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#4</w:t>
      </w:r>
    </w:p>
    <w:p>
      <w:r>
        <w:t>Empresa: Los makis</w:t>
        <w:br/>
      </w:r>
      <w:r>
        <w:t>Fecha de generación: 2026-05-19 21:59</w:t>
        <w:br/>
      </w:r>
    </w:p>
    <w:p>
      <w:pPr>
        <w:pStyle w:val="Heading1"/>
      </w:pPr>
      <w:r>
        <w:t>1. Análisis Global</w:t>
      </w:r>
    </w:p>
    <w:p>
      <w:r>
        <w:t>No hay datos globales calculados.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350072.28 €</w:t>
            </w:r>
          </w:p>
        </w:tc>
        <w:tc>
          <w:tcPr>
            <w:tcW w:type="dxa" w:w="2160"/>
          </w:tcPr>
          <w:p>
            <w:r>
              <w:t>275839.47 €</w:t>
            </w:r>
          </w:p>
        </w:tc>
        <w:tc>
          <w:tcPr>
            <w:tcW w:type="dxa" w:w="2160"/>
          </w:tcPr>
          <w:p>
            <w:r>
              <w:t>21.20%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140968.64 €</w:t>
            </w:r>
          </w:p>
        </w:tc>
        <w:tc>
          <w:tcPr>
            <w:tcW w:type="dxa" w:w="2160"/>
          </w:tcPr>
          <w:p>
            <w:r>
              <w:t>113768.78 €</w:t>
            </w:r>
          </w:p>
        </w:tc>
        <w:tc>
          <w:tcPr>
            <w:tcW w:type="dxa" w:w="2160"/>
          </w:tcPr>
          <w:p>
            <w:r>
              <w:t>19.30%</w:t>
            </w:r>
          </w:p>
        </w:tc>
      </w:tr>
      <w:tr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144975.00 €</w:t>
            </w:r>
          </w:p>
        </w:tc>
        <w:tc>
          <w:tcPr>
            <w:tcW w:type="dxa" w:w="2160"/>
          </w:tcPr>
          <w:p>
            <w:r>
              <w:t>107011.81 €</w:t>
            </w:r>
          </w:p>
        </w:tc>
        <w:tc>
          <w:tcPr>
            <w:tcW w:type="dxa" w:w="2160"/>
          </w:tcPr>
          <w:p>
            <w:r>
              <w:t>26.19%</w:t>
            </w:r>
          </w:p>
        </w:tc>
      </w:tr>
      <w:tr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106377.26 €</w:t>
            </w:r>
          </w:p>
        </w:tc>
        <w:tc>
          <w:tcPr>
            <w:tcW w:type="dxa" w:w="2160"/>
          </w:tcPr>
          <w:p>
            <w:r>
              <w:t>105286.62 €</w:t>
            </w:r>
          </w:p>
        </w:tc>
        <w:tc>
          <w:tcPr>
            <w:tcW w:type="dxa" w:w="2160"/>
          </w:tcPr>
          <w:p>
            <w:r>
              <w:t>1.02%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70359.39 €</w:t>
            </w:r>
          </w:p>
        </w:tc>
        <w:tc>
          <w:tcPr>
            <w:tcW w:type="dxa" w:w="2160"/>
          </w:tcPr>
          <w:p>
            <w:r>
              <w:t>74352.32 €</w:t>
            </w:r>
          </w:p>
        </w:tc>
        <w:tc>
          <w:tcPr>
            <w:tcW w:type="dxa" w:w="2160"/>
          </w:tcPr>
          <w:p>
            <w:r>
              <w:t>-5.68%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