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fill="F9FAFB"/>
            <w:tcMar>
              <w:top w:w="540" w:type="dxa"/>
              <w:bottom w:w="540" w:type="dxa"/>
              <w:left w:w="360" w:type="dxa"/>
              <w:right w:w="360" w:type="dxa"/>
            </w:tcMar>
          </w:tcPr>
          <w:p>
            <w:pPr>
              <w:spacing w:before="200" w:after="40"/>
              <w:jc w:val="center"/>
            </w:pPr>
            <w:r>
              <w:rPr>
                <w:rFonts w:ascii="Arial" w:hAnsi="Arial"/>
                <w:b/>
                <w:color w:val="2C3E50"/>
                <w:sz w:val="24"/>
              </w:rPr>
              <w:t>CAMPUSFP MADRID</w:t>
              <w:br/>
            </w:r>
            <w:r>
              <w:rPr>
                <w:rFonts w:ascii="Arial" w:hAnsi="Arial"/>
                <w:color w:val="7F8C8D"/>
                <w:sz w:val="20"/>
              </w:rPr>
              <w:t>ÁREA DE INFORMÁTICA Y COMUNICACIONES</w:t>
            </w:r>
          </w:p>
          <w:p>
            <w:pPr>
              <w:spacing w:before="1400" w:after="240" w:line="300" w:lineRule="auto"/>
              <w:jc w:val="center"/>
            </w:pPr>
            <w:r>
              <w:rPr>
                <w:rFonts w:ascii="Arial" w:hAnsi="Arial"/>
                <w:b/>
                <w:color w:val="1B4F72"/>
                <w:sz w:val="36"/>
              </w:rPr>
              <w:t>PLATAFORMA DE AUDITORÍA RETRIBUTIVA Y</w:t>
              <w:br/>
              <w:t>ANÁLISIS DE BRECHA SALARIAL (AUDIT SALARIAL)</w:t>
            </w:r>
          </w:p>
          <w:p>
            <w:pPr>
              <w:spacing w:before="0" w:after="1200" w:line="276" w:lineRule="auto"/>
              <w:jc w:val="center"/>
            </w:pPr>
            <w:r>
              <w:rPr>
                <w:rFonts w:ascii="Arial" w:hAnsi="Arial"/>
                <w:i/>
                <w:color w:val="4A5568"/>
                <w:sz w:val="22"/>
              </w:rPr>
              <w:t>Implementación de lógica de negocio en Pandas, algoritmos de detección de</w:t>
              <w:br/>
              <w:t>anomalías estadísticas (Z-Score / IQR) y factoría documental automatizada</w:t>
            </w:r>
          </w:p>
          <w:p>
            <w:pPr>
              <w:spacing w:before="400" w:after="80"/>
              <w:jc w:val="center"/>
            </w:pPr>
            <w:r>
              <w:rPr>
                <w:rFonts w:ascii="Arial" w:hAnsi="Arial"/>
                <w:b/>
                <w:color w:val="2C3E50"/>
                <w:sz w:val="24"/>
              </w:rPr>
              <w:t>PROYECTO FIN DE CICLO</w:t>
              <w:br/>
            </w:r>
            <w:r>
              <w:rPr>
                <w:rFonts w:ascii="Arial" w:hAnsi="Arial"/>
                <w:color w:val="566573"/>
                <w:sz w:val="22"/>
              </w:rPr>
              <w:t>Para la obtención del título de Técnico Superior en</w:t>
              <w:br/>
            </w:r>
            <w:r>
              <w:rPr>
                <w:rFonts w:ascii="Arial" w:hAnsi="Arial"/>
                <w:b/>
                <w:color w:val="117A65"/>
                <w:sz w:val="24"/>
              </w:rPr>
              <w:t>DESARROLLO DE APLICACIONES MULTIPLATAFORMA (DAM)</w:t>
            </w:r>
          </w:p>
          <w:p>
            <w:pPr>
              <w:spacing w:before="300" w:after="800"/>
              <w:jc w:val="center"/>
            </w:pPr>
            <w:r>
              <w:rPr>
                <w:color w:val="BDC3C7"/>
              </w:rPr>
              <w:t>____________________________________________________</w:t>
            </w:r>
          </w:p>
          <w:p>
            <w:pPr>
              <w:spacing w:before="200" w:after="1600"/>
              <w:jc w:val="center"/>
            </w:pPr>
            <w:r>
              <w:rPr>
                <w:rFonts w:ascii="Arial" w:hAnsi="Arial"/>
                <w:color w:val="7F8C8D"/>
                <w:sz w:val="20"/>
              </w:rPr>
              <w:t>AUTOR:</w:t>
              <w:br/>
            </w:r>
            <w:r>
              <w:rPr>
                <w:rFonts w:ascii="Arial" w:hAnsi="Arial"/>
                <w:b/>
                <w:color w:val="2C3E50"/>
                <w:sz w:val="26"/>
              </w:rPr>
              <w:t>JESÚS BLANCO ALEGRE</w:t>
            </w:r>
          </w:p>
          <w:p>
            <w:pPr>
              <w:spacing w:before="600" w:after="200"/>
              <w:jc w:val="center"/>
            </w:pPr>
            <w:r>
              <w:rPr>
                <w:rFonts w:ascii="Arial" w:hAnsi="Arial"/>
                <w:b/>
                <w:color w:val="95A5A6"/>
                <w:sz w:val="20"/>
              </w:rPr>
              <w:t>JUNIO 2026  |  MADRID, ESPAÑA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