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gif" ContentType="image/gi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88635" cy="9107805"/>
                <wp:effectExtent l="0" t="0" r="17145" b="22225"/>
                <wp:wrapTopAndBottom/>
                <wp:docPr id="1" name="Text Box 2"/>
                <a:graphic xmlns:a="http://schemas.openxmlformats.org/drawingml/2006/main">
                  <a:graphicData uri="http://schemas.microsoft.com/office/word/2010/wordprocessingShape">
                    <wps:wsp>
                      <wps:cNvSpPr/>
                      <wps:spPr>
                        <a:xfrm>
                          <a:off x="0" y="0"/>
                          <a:ext cx="5587920" cy="91072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39.95pt;height:717.0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2130" cy="8944610"/>
                <wp:effectExtent l="0" t="0" r="0" b="0"/>
                <wp:wrapNone/>
                <wp:docPr id="2" name="Frame1"/>
                <a:graphic xmlns:a="http://schemas.openxmlformats.org/drawingml/2006/main">
                  <a:graphicData uri="http://schemas.microsoft.com/office/word/2010/wordprocessingShape">
                    <wps:wsp>
                      <wps:cNvSpPr/>
                      <wps:spPr>
                        <a:xfrm>
                          <a:off x="0" y="0"/>
                          <a:ext cx="5611320" cy="894384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1.8pt;height:704.2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88635" cy="9107805"/>
                <wp:effectExtent l="0" t="0" r="17145" b="22225"/>
                <wp:wrapTopAndBottom/>
                <wp:docPr id="8" name="Text Box 2"/>
                <a:graphic xmlns:a="http://schemas.openxmlformats.org/drawingml/2006/main">
                  <a:graphicData uri="http://schemas.microsoft.com/office/word/2010/wordprocessingShape">
                    <wps:wsp>
                      <wps:cNvSpPr/>
                      <wps:spPr>
                        <a:xfrm>
                          <a:off x="0" y="0"/>
                          <a:ext cx="5587920" cy="91072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39.95pt;height:717.0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4350" cy="8978265"/>
                <wp:effectExtent l="0" t="0" r="0" b="0"/>
                <wp:wrapNone/>
                <wp:docPr id="9" name="Frame2"/>
                <a:graphic xmlns:a="http://schemas.openxmlformats.org/drawingml/2006/main">
                  <a:graphicData uri="http://schemas.microsoft.com/office/word/2010/wordprocessingShape">
                    <wps:wsp>
                      <wps:cNvSpPr/>
                      <wps:spPr>
                        <a:xfrm>
                          <a:off x="0" y="0"/>
                          <a:ext cx="5593680" cy="897768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4pt;height:706.8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b/>
          <w:b/>
          <w:sz w:val="32"/>
          <w:szCs w:val="32"/>
        </w:rPr>
      </w:pPr>
      <w:r>
        <w:rPr>
          <w:b/>
          <w:sz w:val="32"/>
          <w:szCs w:val="32"/>
        </w:rPr>
        <w:t>Requisitos software(teoría)</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b/>
          <w:b/>
          <w:sz w:val="32"/>
          <w:szCs w:val="32"/>
        </w:rPr>
      </w:pPr>
      <w:r>
        <w:rPr>
          <w:b/>
          <w:sz w:val="32"/>
          <w:szCs w:val="32"/>
        </w:rPr>
        <w:t>Optimización multiobjetivo</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 xml:space="preserve">MultiObjetivo Algoritmo Genético Celular). </w:t>
      </w:r>
      <w:r>
        <w:rPr>
          <w:rFonts w:ascii="Arial" w:hAnsi="Arial"/>
          <w:lang w:val="es-ES"/>
        </w:rPr>
        <w:t>Pero todos estos algoritmos siguen teniendo un problema y es que no resuelven del todo bien la interrelación entre los recursos, al final se resolvió con un a</w:t>
      </w:r>
      <w:r>
        <w:rPr>
          <w:rFonts w:ascii="Arial" w:hAnsi="Arial"/>
          <w:lang w:val="es-ES"/>
        </w:rPr>
        <w:t>lgoritmo optimización de enjambre (ACO - Ant Optimization Colony).</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dfasdfasdf</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
    </w:p>
    <w:sectPr>
      <w:headerReference w:type="default" r:id="rId9"/>
      <w:footerReference w:type="default" r:id="rId10"/>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TotalTime>
  <Application>LibreOffice/5.4.1.2$Linux_X86_64 LibreOffice_project/ea7cb86e6eeb2bf3a5af73a8f7777ac570321527</Application>
  <Pages>14</Pages>
  <Words>1920</Words>
  <Characters>10525</Characters>
  <CharactersWithSpaces>12633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2017-11-06T19:58:48Z</dcterms:modified>
  <cp:revision>18</cp:revision>
  <dc:subject/>
  <dc:title/>
</cp:coreProperties>
</file>