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COOKIES Y TECNOLOGÍAS DE ALMACENAMIENTO</w:t>
      </w:r>
    </w:p>
    <w:p>
      <w:pPr>
        <w:spacing w:after="40"/>
      </w:pPr>
      <w:r>
        <w:rPr>
          <w:b/>
          <w:i w:val="0"/>
          <w:color w:val="555F6D"/>
          <w:sz w:val="24"/>
        </w:rPr>
        <w:t>Geminis Labs</w:t>
      </w:r>
    </w:p>
    <w:p>
      <w:r>
        <w:rPr>
          <w:b w:val="0"/>
          <w:i/>
          <w:color w:val="555F6D"/>
          <w:sz w:val="19"/>
        </w:rPr>
        <w:t>Versión 1.0 · Última actualización: 6 de agosto de 2026 · Jurisdicción: Estados Unidos Mexicanos</w:t>
      </w:r>
    </w:p>
    <w:p>
      <w:pPr>
        <w:spacing w:before="160"/>
      </w:pPr>
      <w:r>
        <w:rPr>
          <w:i/>
          <w:color w:val="555F6D"/>
          <w:sz w:val="18"/>
        </w:rPr>
        <w:t>NOTA PARA REVISIÓN LEGAL: Los campos entre corchetes deben completarse con los datos corporativos definitivos antes de su publicación. Documento redactado a partir de una revisión técnica de las plataformas y sujeto a la Ley Federal de Protección de Datos Personales en Posesión de los Particulares publicada en el Diario Oficial de la Federación el 20 de marzo de 2025.</w:t>
      </w:r>
    </w:p>
    <w:p>
      <w:r>
        <w:rPr>
          <w:b w:val="0"/>
        </w:rPr>
        <w:t>Esta política describe las cookies y demás tecnologías de almacenamiento que utilizan las plataformas de Geminis Labs, su finalidad, su duración y la forma de gestionarlas.</w:t>
      </w:r>
    </w:p>
    <w:p>
      <w:r>
        <w:rPr>
          <w:b w:val="0"/>
        </w:rPr>
      </w:r>
      <w:r>
        <w:rPr>
          <w:b/>
        </w:rPr>
        <w:t>Las plataformas de Geminis Labs no utilizan cookies de analítica, publicidad ni perfilamiento. Todo el almacenamiento es técnico o de preferencias configuradas por el propio usuario.</w:t>
      </w:r>
      <w:r>
        <w:rPr>
          <w:b w:val="0"/>
        </w:rPr>
      </w:r>
    </w:p>
    <w:p>
      <w:pPr>
        <w:pStyle w:val="Heading2"/>
      </w:pPr>
      <w:r>
        <w:t>1. Responsable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72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6350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Razón social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[RAZÓN SOCIAL COMPLETA, S.A. DE C.V. / S. DE R.L. DE C.V.]</w:t>
            </w:r>
          </w:p>
        </w:tc>
      </w:tr>
      <w:tr>
        <w:tc>
          <w:tcPr>
            <w:tcW w:type="dxa" w:w="272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Nombre comercial</w:t>
            </w:r>
          </w:p>
        </w:tc>
        <w:tc>
          <w:tcPr>
            <w:tcW w:type="dxa" w:w="6350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Geminis Labs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R.F.C.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[REGISTRO FEDERAL DE CONTRIBUYENTES]</w:t>
            </w:r>
          </w:p>
        </w:tc>
      </w:tr>
      <w:tr>
        <w:tc>
          <w:tcPr>
            <w:tcW w:type="dxa" w:w="272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Domicilio fiscal</w:t>
            </w:r>
          </w:p>
        </w:tc>
        <w:tc>
          <w:tcPr>
            <w:tcW w:type="dxa" w:w="6350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[CALLE Y NÚMERO, COLONIA, ALCALDÍA/MUNICIPIO, C.P., ENTIDAD FEDERATIVA, MÉXICO]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Correo de contacto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contacto@geminislabs.com</w:t>
            </w:r>
          </w:p>
        </w:tc>
      </w:tr>
      <w:tr>
        <w:tc>
          <w:tcPr>
            <w:tcW w:type="dxa" w:w="272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Asuntos de privacidad</w:t>
            </w:r>
          </w:p>
        </w:tc>
        <w:tc>
          <w:tcPr>
            <w:tcW w:type="dxa" w:w="6350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privacidad@geminislabs.com</w:t>
            </w:r>
          </w:p>
        </w:tc>
      </w:tr>
    </w:tbl>
    <w:p>
      <w:pPr>
        <w:spacing w:after="80"/>
      </w:pPr>
    </w:p>
    <w:p>
      <w:pPr>
        <w:pStyle w:val="Heading2"/>
      </w:pPr>
      <w:r>
        <w:t>2. Marco normativo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LFPDPPP</w:t>
      </w:r>
      <w:r>
        <w:rPr>
          <w:b w:val="0"/>
        </w:rPr>
        <w:t>, publicada en el DOF el 20 de marzo de 2025 y en vigor desde el 21 de marzo de 2025.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Reglamento de la LFPDPPP</w:t>
      </w:r>
      <w:r>
        <w:rPr>
          <w:b w:val="0"/>
        </w:rPr>
        <w:t xml:space="preserve"> (DOF 21/12/2011), aplicable supletoriamente en lo que no contravenga la ley vigente.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Lineamientos del Aviso de Privacidad</w:t>
      </w:r>
      <w:r>
        <w:rPr>
          <w:b w:val="0"/>
        </w:rPr>
        <w:t xml:space="preserve"> (DOF 17/01/2013), que regulan el uso de mecanismos en medios remotos o locales de comunicación electrónica —cookies, web beacons y análogos—.</w:t>
      </w:r>
    </w:p>
    <w:p>
      <w:r>
        <w:rPr>
          <w:b w:val="0"/>
        </w:rPr>
        <w:t xml:space="preserve">La autoridad competente es la </w:t>
      </w:r>
      <w:r>
        <w:rPr>
          <w:b/>
        </w:rPr>
        <w:t>Secretaría Anticorrupción y Buen Gobierno</w:t>
      </w:r>
      <w:r>
        <w:rPr>
          <w:b w:val="0"/>
        </w:rPr>
        <w:t>, que asumió las atribuciones del extinto INAI tras la reforma constitucional de diciembre de 2024.</w:t>
      </w:r>
    </w:p>
    <w:p>
      <w:pPr>
        <w:pStyle w:val="Heading2"/>
      </w:pPr>
      <w:r>
        <w:t>3. Qué son y qué alcanza esta política</w:t>
      </w:r>
    </w:p>
    <w:p>
      <w:r>
        <w:rPr>
          <w:b w:val="0"/>
        </w:rPr>
        <w:t xml:space="preserve">Una </w:t>
      </w:r>
      <w:r>
        <w:rPr>
          <w:b/>
        </w:rPr>
        <w:t>cookie</w:t>
      </w:r>
      <w:r>
        <w:rPr>
          <w:b w:val="0"/>
        </w:rPr>
        <w:t xml:space="preserve"> es un archivo que un sitio descarga en el equipo del usuario para almacenar información recuperable posteriormente. La normativa mexicana no se limita a las cookies: alcanza a </w:t>
      </w:r>
      <w:r>
        <w:rPr>
          <w:b/>
        </w:rPr>
        <w:t>cualquier mecanismo que recabe información de manera automática y simultánea</w:t>
      </w:r>
      <w:r>
        <w:rPr>
          <w:b w:val="0"/>
        </w:rPr>
        <w:t xml:space="preserve"> al contacto del titular con el medio. Por ello esta política cubre también: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localStorage</w:t>
      </w:r>
      <w:r>
        <w:rPr>
          <w:b w:val="0"/>
        </w:rPr>
        <w:t xml:space="preserve">: almacenamiento persistente en el navegador, que </w:t>
      </w:r>
      <w:r>
        <w:rPr>
          <w:b/>
        </w:rPr>
        <w:t>no se envía automáticamente al servidor</w:t>
      </w:r>
      <w:r>
        <w:rPr>
          <w:b w:val="0"/>
        </w:rPr>
        <w:t xml:space="preserve"> en cada petición.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sessionStorage</w:t>
      </w:r>
      <w:r>
        <w:rPr>
          <w:b w:val="0"/>
        </w:rPr>
        <w:t xml:space="preserve">: equivalente pero volátil; </w:t>
      </w:r>
      <w:r>
        <w:rPr>
          <w:b/>
        </w:rPr>
        <w:t>se borra al cerrar la pestaña o el navegador</w:t>
      </w:r>
      <w:r>
        <w:rPr>
          <w:b w:val="0"/>
        </w:rPr>
        <w:t>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Cookies de terceros</w:t>
      </w:r>
      <w:r>
        <w:rPr>
          <w:b w:val="0"/>
        </w:rPr>
        <w:t xml:space="preserve"> establecidas por proveedores externos integrados en las plataformas.</w:t>
      </w:r>
    </w:p>
    <w:p>
      <w:pPr>
        <w:pStyle w:val="Heading2"/>
      </w:pPr>
      <w:r>
        <w:t>4. Declaración general</w:t>
      </w:r>
    </w:p>
    <w:p>
      <w:pPr>
        <w:pStyle w:val="ListBullet"/>
        <w:spacing w:after="60"/>
        <w:ind w:left="425"/>
      </w:pPr>
      <w:r>
        <w:rPr>
          <w:b w:val="0"/>
        </w:rPr>
        <w:t xml:space="preserve">Las plataformas de Geminis Labs </w:t>
      </w:r>
      <w:r>
        <w:rPr>
          <w:b/>
        </w:rPr>
        <w:t>no utilizan cookies ni almacenamiento propio con fines publicitarios, de perfilamiento comercial ni de publicidad conductual</w:t>
      </w:r>
      <w:r>
        <w:rPr>
          <w:b w:val="0"/>
        </w:rPr>
        <w:t>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No se incorporan herramientas de analítica web de terceros</w:t>
      </w:r>
      <w:r>
        <w:rPr>
          <w:b w:val="0"/>
        </w:rPr>
        <w:t xml:space="preserve"> (Google Analytics, Google Tag Manager, Meta Pixel, Hotjar u otras equivalentes).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No se comercializa ni comparte</w:t>
      </w:r>
      <w:r>
        <w:rPr>
          <w:b w:val="0"/>
        </w:rPr>
        <w:t xml:space="preserve"> con terceros la información almacenada en el dispositivo con fines de mercadotecnia.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El almacenamiento es </w:t>
      </w:r>
      <w:r>
        <w:rPr>
          <w:b/>
        </w:rPr>
        <w:t>técnico y estrictamente necesario</w:t>
      </w:r>
      <w:r>
        <w:rPr>
          <w:b w:val="0"/>
        </w:rPr>
        <w:t xml:space="preserve"> para la autenticación y el mantenimiento de la sesión, o responde a </w:t>
      </w:r>
      <w:r>
        <w:rPr>
          <w:b/>
        </w:rPr>
        <w:t>preferencias de personalización</w:t>
      </w:r>
      <w:r>
        <w:rPr>
          <w:b w:val="0"/>
        </w:rPr>
        <w:t xml:space="preserve"> configuradas por el propio usuario.</w:t>
      </w:r>
    </w:p>
    <w:p>
      <w:pPr>
        <w:pStyle w:val="Heading2"/>
      </w:pPr>
      <w:r>
        <w:t>5. NEXUS — almacenamiento utilizado</w:t>
      </w:r>
    </w:p>
    <w:p>
      <w:pPr>
        <w:pStyle w:val="Heading3"/>
      </w:pPr>
      <w:r>
        <w:t>Técnico necesario (autenticación y sesión)</w:t>
      </w:r>
    </w:p>
    <w:p>
      <w:r>
        <w:rPr>
          <w:b w:val="0"/>
        </w:rPr>
      </w:r>
      <w:r>
        <w:rPr>
          <w:b/>
        </w:rPr>
        <w:t>Indispensable</w:t>
      </w:r>
      <w:r>
        <w:rPr>
          <w:b w:val="0"/>
        </w:rPr>
        <w:t xml:space="preserve">: permite verificar la identidad, mantener la sesión y evitar reintroducir credenciales. </w:t>
      </w:r>
      <w:r>
        <w:rPr>
          <w:b/>
        </w:rPr>
        <w:t>Su deshabilitación impide el uso del servicio.</w:t>
      </w: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Identificador</w:t>
            </w:r>
          </w:p>
        </w:tc>
        <w:tc>
          <w:tcPr>
            <w:tcW w:type="dxa" w:w="1304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3969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Finalidad</w:t>
            </w:r>
          </w:p>
        </w:tc>
        <w:tc>
          <w:tcPr>
            <w:tcW w:type="dxa" w:w="2098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Duración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token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localStorage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Token de acceso (JWT) que acredita la sesión autenticada ante las API.</w:t>
            </w:r>
          </w:p>
        </w:tc>
        <w:tc>
          <w:tcPr>
            <w:tcW w:type="dxa" w:w="209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Hasta el cierre de sesión o su expiración</w:t>
            </w:r>
          </w:p>
        </w:tc>
      </w:tr>
      <w:tr>
        <w:tc>
          <w:tcPr>
            <w:tcW w:type="dxa" w:w="170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refresh_token</w:t>
            </w:r>
          </w:p>
        </w:tc>
        <w:tc>
          <w:tcPr>
            <w:tcW w:type="dxa" w:w="1304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localStorage</w:t>
            </w:r>
          </w:p>
        </w:tc>
        <w:tc>
          <w:tcPr>
            <w:tcW w:type="dxa" w:w="3969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Token de renovación que prolonga la sesión sin pedir credenciales.</w:t>
            </w:r>
          </w:p>
        </w:tc>
        <w:tc>
          <w:tcPr>
            <w:tcW w:type="dxa" w:w="2098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Hasta el cierre de sesión o su expiración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id_token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localStorage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Token de identidad con los datos identificativos básicos de la cuenta.</w:t>
            </w:r>
          </w:p>
        </w:tc>
        <w:tc>
          <w:tcPr>
            <w:tcW w:type="dxa" w:w="209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Hasta el cierre de sesión o su expiración</w:t>
            </w:r>
          </w:p>
        </w:tc>
      </w:tr>
      <w:tr>
        <w:tc>
          <w:tcPr>
            <w:tcW w:type="dxa" w:w="170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token_expires_at</w:t>
            </w:r>
          </w:p>
        </w:tc>
        <w:tc>
          <w:tcPr>
            <w:tcW w:type="dxa" w:w="1304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localStorage</w:t>
            </w:r>
          </w:p>
        </w:tc>
        <w:tc>
          <w:tcPr>
            <w:tcW w:type="dxa" w:w="3969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Marca de caducidad de la sesión; permite cerrarla automáticamente.</w:t>
            </w:r>
          </w:p>
        </w:tc>
        <w:tc>
          <w:tcPr>
            <w:tcW w:type="dxa" w:w="2098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Hasta el cierre de sesión o su expiración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user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localStorage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Datos básicos del perfil autenticado (identificador, nombre, rol).</w:t>
            </w:r>
          </w:p>
        </w:tc>
        <w:tc>
          <w:tcPr>
            <w:tcW w:type="dxa" w:w="209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Hasta el cierre de sesión</w:t>
            </w:r>
          </w:p>
        </w:tc>
      </w:tr>
      <w:tr>
        <w:tc>
          <w:tcPr>
            <w:tcW w:type="dxa" w:w="170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nexus-workspace</w:t>
            </w:r>
          </w:p>
        </w:tc>
        <w:tc>
          <w:tcPr>
            <w:tcW w:type="dxa" w:w="1304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sessionStorage</w:t>
            </w:r>
          </w:p>
        </w:tc>
        <w:tc>
          <w:tcPr>
            <w:tcW w:type="dxa" w:w="3969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Espacio de trabajo o cliente activo durante la navegación.</w:t>
            </w:r>
          </w:p>
        </w:tc>
        <w:tc>
          <w:tcPr>
            <w:tcW w:type="dxa" w:w="2098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Sesión</w:t>
            </w:r>
          </w:p>
        </w:tc>
      </w:tr>
    </w:tbl>
    <w:p>
      <w:pPr>
        <w:spacing w:after="80"/>
      </w:pPr>
    </w:p>
    <w:p>
      <w:pPr>
        <w:pStyle w:val="Heading3"/>
      </w:pPr>
      <w:r>
        <w:t>Preferencias y personalización</w:t>
      </w:r>
    </w:p>
    <w:p>
      <w:r>
        <w:rPr>
          <w:b w:val="0"/>
        </w:rPr>
      </w:r>
      <w:r>
        <w:rPr>
          <w:b/>
        </w:rPr>
        <w:t>No identifican a personas físicas ni permiten seguimiento.</w:t>
      </w:r>
      <w:r>
        <w:rPr>
          <w:b w:val="0"/>
        </w:rPr>
        <w:t xml:space="preserve"> Su eliminación no impide el uso del servicio: restablece los valores por omisión.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Identificador</w:t>
            </w:r>
          </w:p>
        </w:tc>
        <w:tc>
          <w:tcPr>
            <w:tcW w:type="dxa" w:w="1304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3969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Finalidad</w:t>
            </w:r>
          </w:p>
        </w:tc>
        <w:tc>
          <w:tcPr>
            <w:tcW w:type="dxa" w:w="2098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Duración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nexus-theme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localStorage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Modo de visualización elegido (claro u oscuro); se lee antes del renderizado para evitar parpadeos.</w:t>
            </w:r>
          </w:p>
        </w:tc>
        <w:tc>
          <w:tcPr>
            <w:tcW w:type="dxa" w:w="209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Persistente</w:t>
            </w:r>
          </w:p>
        </w:tc>
      </w:tr>
      <w:tr>
        <w:tc>
          <w:tcPr>
            <w:tcW w:type="dxa" w:w="170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app_theme</w:t>
            </w:r>
          </w:p>
        </w:tc>
        <w:tc>
          <w:tcPr>
            <w:tcW w:type="dxa" w:w="1304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localStorage</w:t>
            </w:r>
          </w:p>
        </w:tc>
        <w:tc>
          <w:tcPr>
            <w:tcW w:type="dxa" w:w="3969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Preferencia de tema en módulos heredados de la interfaz.</w:t>
            </w:r>
          </w:p>
        </w:tc>
        <w:tc>
          <w:tcPr>
            <w:tcW w:type="dxa" w:w="2098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Persistente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nexus_onboarding_complete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localStorage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Indica que el tutorial de bienvenida ya se completó.</w:t>
            </w:r>
          </w:p>
        </w:tc>
        <w:tc>
          <w:tcPr>
            <w:tcW w:type="dxa" w:w="209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Persistente</w:t>
            </w:r>
          </w:p>
        </w:tc>
      </w:tr>
    </w:tbl>
    <w:p>
      <w:pPr>
        <w:spacing w:after="80"/>
      </w:pPr>
    </w:p>
    <w:p>
      <w:pPr>
        <w:pStyle w:val="Heading2"/>
      </w:pPr>
      <w:r>
        <w:t>6. Signum — cookies utilizadas</w:t>
      </w:r>
    </w:p>
    <w:p>
      <w:r>
        <w:rPr>
          <w:b w:val="0"/>
        </w:rPr>
        <w:t xml:space="preserve">Signum instala cookies </w:t>
      </w:r>
      <w:r>
        <w:rPr>
          <w:b/>
        </w:rPr>
        <w:t>únicamente al iniciar sesión</w:t>
      </w:r>
      <w:r>
        <w:rPr>
          <w:b w:val="0"/>
        </w:rPr>
        <w:t>. Todas llevan los atributos httpOnly, secure, sameSite lax y el prefijo __Host-, que las restringe a su propio subdominio e impide compartirlas con el resto de la infraestructura corporativa.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Cookie</w:t>
            </w:r>
          </w:p>
        </w:tc>
        <w:tc>
          <w:tcPr>
            <w:tcW w:type="dxa" w:w="4309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Finalidad</w:t>
            </w:r>
          </w:p>
        </w:tc>
        <w:tc>
          <w:tcPr>
            <w:tcW w:type="dxa" w:w="1928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Duración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__Host-signum_session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Mantiene la sesión iniciada en el portal.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30 días</w:t>
            </w:r>
          </w:p>
        </w:tc>
      </w:tr>
      <w:tr>
        <w:tc>
          <w:tcPr>
            <w:tcW w:type="dxa" w:w="2835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__Host-signum_admin</w:t>
            </w:r>
          </w:p>
        </w:tc>
        <w:tc>
          <w:tcPr>
            <w:tcW w:type="dxa" w:w="4309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Mantiene la sesión del panel interno del equipo.</w:t>
            </w:r>
          </w:p>
        </w:tc>
        <w:tc>
          <w:tcPr>
            <w:tcW w:type="dxa" w:w="1928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8 horas</w:t>
            </w:r>
          </w:p>
        </w:tc>
      </w:tr>
    </w:tbl>
    <w:p>
      <w:pPr>
        <w:spacing w:after="80"/>
      </w:pPr>
    </w:p>
    <w:p>
      <w:r>
        <w:rPr>
          <w:b w:val="0"/>
        </w:rPr>
      </w:r>
      <w:r>
        <w:rPr>
          <w:b/>
        </w:rPr>
        <w:t>La página pública accesible mediante código QR no instala cookie alguna</w:t>
      </w:r>
      <w:r>
        <w:rPr>
          <w:b w:val="0"/>
        </w:rPr>
        <w:t>, no ejecuta JavaScript y no carga recursos de terceros: nadie observa quién consulta una ficha.</w:t>
      </w:r>
    </w:p>
    <w:p>
      <w:pPr>
        <w:pStyle w:val="Heading2"/>
      </w:pPr>
      <w:r>
        <w:t>7. Servicios de terceros</w:t>
      </w:r>
    </w:p>
    <w:p>
      <w:r>
        <w:rPr>
          <w:b w:val="0"/>
        </w:rPr>
        <w:t xml:space="preserve">Los siguientes proveedores pueden establecer cookies o acceder a información del dispositivo. </w:t>
      </w:r>
      <w:r>
        <w:rPr>
          <w:b/>
        </w:rPr>
        <w:t>Geminis Labs no controla dichas tecnologías</w:t>
      </w:r>
      <w:r>
        <w:rPr>
          <w:b w:val="0"/>
        </w:rPr>
        <w:t>, regidas por las políticas de sus titulares.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Proveedor</w:t>
            </w:r>
          </w:p>
        </w:tc>
        <w:tc>
          <w:tcPr>
            <w:tcW w:type="dxa" w:w="2835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Finalidad</w:t>
            </w:r>
          </w:p>
        </w:tc>
        <w:tc>
          <w:tcPr>
            <w:tcW w:type="dxa" w:w="4309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Google Maps Platform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Cartografía, geolocalización de unidades, rutas y zonas geográficas.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Puede establecer cookies en dominios de Google y recibir la dirección IP, con fines de seguridad, prevención del fraude y control de cuotas. Técnica necesaria para la funcionalidad principal.</w:t>
            </w:r>
          </w:p>
        </w:tc>
      </w:tr>
      <w:tr>
        <w:tc>
          <w:tcPr>
            <w:tcW w:type="dxa" w:w="1928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Google Fonts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Tipografías de determinados módulos de la interfaz.</w:t>
            </w:r>
          </w:p>
        </w:tc>
        <w:tc>
          <w:tcPr>
            <w:tcW w:type="dxa" w:w="4309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 xml:space="preserve">Implica la comunicación de la dirección IP a Google. </w:t>
            </w:r>
            <w:r>
              <w:rPr>
                <w:b/>
                <w:sz w:val="17"/>
              </w:rPr>
              <w:t>No instala cookies de seguimiento.</w:t>
            </w:r>
            <w:r>
              <w:rPr>
                <w:b w:val="0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8. Régimen de consentimiento en México</w:t>
      </w:r>
    </w:p>
    <w:p>
      <w:r>
        <w:rPr>
          <w:b w:val="0"/>
        </w:rPr>
      </w:r>
      <w:r>
        <w:rPr>
          <w:b/>
        </w:rPr>
        <w:t>La legislación mexicana no exige un panel o banner de consentimiento de cookies.</w:t>
      </w:r>
      <w:r>
        <w:rPr>
          <w:b w:val="0"/>
        </w:rPr>
        <w:t xml:space="preserve"> Los Lineamientos del Aviso de Privacidad establecen un régimen de transparencia: cuando se utilizan mecanismos que recaban datos personales de manera automática y simultánea, debe informarse al titular mediante comunicación o advertencia visible, señalando su uso, que por su medio se obtienen datos personales y </w:t>
      </w:r>
      <w:r>
        <w:rPr>
          <w:b/>
        </w:rPr>
        <w:t>la forma de deshabilitarlos, salvo que sean necesarios por motivos técnicos</w:t>
      </w:r>
      <w:r>
        <w:rPr>
          <w:b w:val="0"/>
        </w:rPr>
        <w:t>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El almacenamiento técnico es </w:t>
      </w:r>
      <w:r>
        <w:rPr>
          <w:b/>
        </w:rPr>
        <w:t>necesario por motivos técnicos</w:t>
      </w:r>
      <w:r>
        <w:rPr>
          <w:b w:val="0"/>
        </w:rPr>
        <w:t xml:space="preserve"> y queda comprendido en la excepción: no puede deshabilitarse sin impedir el funcionamiento.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El almacenamiento de preferencias </w:t>
      </w:r>
      <w:r>
        <w:rPr>
          <w:b/>
        </w:rPr>
        <w:t>puede eliminarse libremente</w:t>
      </w:r>
      <w:r>
        <w:rPr>
          <w:b w:val="0"/>
        </w:rPr>
        <w:t>, sin consecuencia sobre la prestación.</w:t>
      </w:r>
    </w:p>
    <w:p>
      <w:r>
        <w:rPr>
          <w:b w:val="0"/>
        </w:rPr>
        <w:t xml:space="preserve">Si en el futuro se incorporan cookies analíticas, publicitarias o de finalidad no necesaria, </w:t>
      </w:r>
      <w:r>
        <w:rPr>
          <w:b/>
        </w:rPr>
        <w:t>se implementarán previamente los mecanismos de información y deshabilitación correspondientes</w:t>
      </w:r>
      <w:r>
        <w:rPr>
          <w:b w:val="0"/>
        </w:rPr>
        <w:t xml:space="preserve"> y se actualizará este documento.</w:t>
      </w:r>
    </w:p>
    <w:p>
      <w:pPr>
        <w:pStyle w:val="Heading2"/>
      </w:pPr>
      <w:r>
        <w:t>9. Cómo gestionarlas y eliminarlas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Cerrando sesión</w:t>
      </w:r>
      <w:r>
        <w:rPr>
          <w:b w:val="0"/>
        </w:rPr>
        <w:t>, lo que elimina de inmediato los tokens de autenticación y las cookies de sesión.</w:t>
      </w:r>
    </w:p>
    <w:p>
      <w:pPr>
        <w:pStyle w:val="ListBullet"/>
        <w:spacing w:after="60"/>
        <w:ind w:left="425"/>
      </w:pPr>
      <w:r>
        <w:rPr>
          <w:b w:val="0"/>
        </w:rPr>
      </w:r>
      <w:r>
        <w:rPr>
          <w:b/>
        </w:rPr>
        <w:t>Cerrando el navegador o la pestaña</w:t>
      </w:r>
      <w:r>
        <w:rPr>
          <w:b w:val="0"/>
        </w:rPr>
        <w:t>, lo que elimina el contenido de sessionStorage.</w:t>
      </w:r>
    </w:p>
    <w:p>
      <w:pPr>
        <w:pStyle w:val="ListBullet"/>
        <w:spacing w:after="60"/>
        <w:ind w:left="425"/>
      </w:pPr>
      <w:r>
        <w:rPr>
          <w:b w:val="0"/>
        </w:rPr>
        <w:t xml:space="preserve">Desde la </w:t>
      </w:r>
      <w:r>
        <w:rPr>
          <w:b/>
        </w:rPr>
        <w:t>configuración del navegador</w:t>
      </w:r>
      <w:r>
        <w:rPr>
          <w:b w:val="0"/>
        </w:rPr>
        <w:t>: Chrome, Firefox, Edge, Safari u Opera, siguiendo la documentación oficial de cada fabricante.</w:t>
      </w:r>
    </w:p>
    <w:p>
      <w:r>
        <w:rPr>
          <w:b w:val="0"/>
        </w:rPr>
      </w:r>
      <w:r>
        <w:rPr>
          <w:b/>
        </w:rPr>
        <w:t>Advertencia</w:t>
      </w:r>
      <w:r>
        <w:rPr>
          <w:b w:val="0"/>
        </w:rPr>
        <w:t xml:space="preserve">: bloquear o eliminar el almacenamiento técnico provoca el cierre de sesión y </w:t>
      </w:r>
      <w:r>
        <w:rPr>
          <w:b/>
        </w:rPr>
        <w:t>la imposibilidad de acceder a las plataformas</w:t>
      </w:r>
      <w:r>
        <w:rPr>
          <w:b w:val="0"/>
        </w:rPr>
        <w:t>. La página pública de Signum, en cambio, seguirá funcionando con normalidad.</w:t>
      </w:r>
    </w:p>
    <w:p>
      <w:pPr>
        <w:pStyle w:val="Heading2"/>
      </w:pPr>
      <w:r>
        <w:t>10. Relación con el Aviso de Privacidad</w:t>
      </w:r>
    </w:p>
    <w:p>
      <w:r>
        <w:rPr>
          <w:b w:val="0"/>
        </w:rPr>
        <w:t xml:space="preserve">Parte de la información descrita constituye datos personales. El régimen completo —finalidades, plazos de conservación, transferencias y procedimiento de derechos ARCO— se detalla en el </w:t>
      </w:r>
      <w:r>
        <w:rPr>
          <w:b/>
        </w:rPr>
        <w:t>Aviso de Privacidad Integral</w:t>
      </w:r>
      <w:r>
        <w:rPr>
          <w:b w:val="0"/>
        </w:rPr>
        <w:t>, disponible en /legal/privacidad, que forma parte integrante de esta política.</w:t>
      </w:r>
    </w:p>
    <w:p>
      <w:r>
        <w:rPr>
          <w:b w:val="0"/>
        </w:rPr>
        <w:t xml:space="preserve">El titular puede ejercer sus derechos ARCO y revocar su consentimiento escribiendo a </w:t>
      </w:r>
      <w:r>
        <w:rPr>
          <w:b/>
        </w:rPr>
        <w:t>privacidad@geminislabs.com</w:t>
      </w:r>
      <w:r>
        <w:rPr>
          <w:b w:val="0"/>
        </w:rPr>
        <w:t xml:space="preserve">, y acudir ante la </w:t>
      </w:r>
      <w:r>
        <w:rPr>
          <w:b/>
        </w:rPr>
        <w:t>Secretaría Anticorrupción y Buen Gobierno</w:t>
      </w:r>
      <w:r>
        <w:rPr>
          <w:b w:val="0"/>
        </w:rPr>
        <w:t xml:space="preserve"> si considera que sus derechos no fueron debidamente atendidos.</w:t>
      </w:r>
    </w:p>
    <w:p>
      <w:pPr>
        <w:pStyle w:val="Heading2"/>
      </w:pPr>
      <w:r>
        <w:t>11. Actualizaciones</w:t>
      </w:r>
    </w:p>
    <w:p>
      <w:r>
        <w:rPr>
          <w:b w:val="0"/>
        </w:rPr>
        <w:t>Las modificaciones se publicarán en esta dirección con la fecha de última actualización y, cuando el cambio sea sustancial, mediante aviso destacado dentro de las plataformas.</w:t>
      </w:r>
    </w:p>
    <w:p>
      <w:pPr>
        <w:pStyle w:val="Heading2"/>
      </w:pPr>
      <w:r>
        <w:t>12. Contacto</w:t>
      </w:r>
    </w:p>
    <w:p>
      <w:r>
        <w:rPr>
          <w:b w:val="0"/>
        </w:rPr>
        <w:t>privacidad@geminislabs.com</w:t>
      </w:r>
    </w:p>
    <w:p>
      <w:pPr>
        <w:pStyle w:val="Heading2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36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4876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Descripción del cambio</w:t>
            </w:r>
          </w:p>
        </w:tc>
        <w:tc>
          <w:tcPr>
            <w:tcW w:type="dxa" w:w="170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Aprobado por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06/08/2026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Generado desde la fuente única de contenido legal. Fusiona lo publicado en geminislabs.com con la revisión técnica de las plataformas NEXUS, Signum y Orion.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[Pendiente de aprobación]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1F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B1F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