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AVISO DE PRIVACIDAD INTEGRAL</w:t>
      </w:r>
    </w:p>
    <w:p>
      <w:pPr>
        <w:spacing w:after="40"/>
      </w:pPr>
      <w:r>
        <w:rPr>
          <w:b/>
          <w:i w:val="0"/>
          <w:color w:val="555F6D"/>
          <w:sz w:val="24"/>
        </w:rPr>
        <w:t>Geminis Labs</w:t>
      </w:r>
    </w:p>
    <w:p>
      <w:r>
        <w:rPr>
          <w:b w:val="0"/>
          <w:i/>
          <w:color w:val="555F6D"/>
          <w:sz w:val="19"/>
        </w:rPr>
        <w:t>Versión 1.0 · Última actualización: 6 de agosto de 2026 · Jurisdicción: Estados Unidos Mexicanos</w:t>
      </w:r>
    </w:p>
    <w:p>
      <w:pPr>
        <w:spacing w:before="160"/>
      </w:pPr>
      <w:r>
        <w:rPr>
          <w:i/>
          <w:color w:val="555F6D"/>
          <w:sz w:val="18"/>
        </w:rPr>
        <w:t>NOTA PARA REVISIÓN LEGAL: Los campos entre corchetes deben completarse con los datos corporativos definitivos antes de su publicación. Documento redactado a partir de una revisión técnica de las plataformas y sujeto a la Ley Federal de Protección de Datos Personales en Posesión de los Particulares publicada en el Diario Oficial de la Federación el 20 de marzo de 2025.</w:t>
      </w:r>
    </w:p>
    <w:p>
      <w:r>
        <w:rPr>
          <w:b w:val="0"/>
        </w:rPr>
        <w:t xml:space="preserve">En cumplimiento de la </w:t>
      </w:r>
      <w:r>
        <w:rPr>
          <w:b/>
        </w:rPr>
        <w:t>Ley Federal de Protección de Datos Personales en Posesión de los Particulares</w:t>
      </w:r>
      <w:r>
        <w:rPr>
          <w:b w:val="0"/>
        </w:rPr>
        <w:t xml:space="preserve"> (LFPDPPP), publicada en el Diario Oficial de la Federación el 20 de marzo de 2025, su Reglamento y los Lineamientos del Aviso de Privacidad, se pone a disposición del titular el presente Aviso de Privacidad Integral.</w:t>
      </w:r>
    </w:p>
    <w:p>
      <w:r>
        <w:rPr>
          <w:b w:val="0"/>
        </w:rPr>
      </w:r>
      <w:r>
        <w:rPr>
          <w:b/>
        </w:rPr>
        <w:t>El uso de nuestros servicios, el registro de una cuenta o la entrega voluntaria de datos personales implican que has leído y entendido este Aviso.</w:t>
      </w:r>
      <w:r>
        <w:rPr>
          <w:b w:val="0"/>
        </w:rPr>
      </w:r>
    </w:p>
    <w:p>
      <w:pPr>
        <w:pStyle w:val="Heading2"/>
      </w:pPr>
      <w:r>
        <w:t>1. Identidad y domicilio del responsable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72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6350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Información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Razón social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[RAZÓN SOCIAL COMPLETA, S.A. DE C.V. / S. DE R.L. DE C.V.]</w:t>
            </w:r>
          </w:p>
        </w:tc>
      </w:tr>
      <w:tr>
        <w:tc>
          <w:tcPr>
            <w:tcW w:type="dxa" w:w="272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Nombre comercial</w:t>
            </w:r>
          </w:p>
        </w:tc>
        <w:tc>
          <w:tcPr>
            <w:tcW w:type="dxa" w:w="6350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Geminis Labs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R.F.C.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[REGISTRO FEDERAL DE CONTRIBUYENTES]</w:t>
            </w:r>
          </w:p>
        </w:tc>
      </w:tr>
      <w:tr>
        <w:tc>
          <w:tcPr>
            <w:tcW w:type="dxa" w:w="272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Domicilio fiscal</w:t>
            </w:r>
          </w:p>
        </w:tc>
        <w:tc>
          <w:tcPr>
            <w:tcW w:type="dxa" w:w="6350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[CALLE Y NÚMERO, COLONIA, ALCALDÍA/MUNICIPIO, C.P., ENTIDAD FEDERATIVA, MÉXICO]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Correo de contacto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contacto@geminislabs.com</w:t>
            </w:r>
          </w:p>
        </w:tc>
      </w:tr>
      <w:tr>
        <w:tc>
          <w:tcPr>
            <w:tcW w:type="dxa" w:w="272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Asuntos de privacidad</w:t>
            </w:r>
          </w:p>
        </w:tc>
        <w:tc>
          <w:tcPr>
            <w:tcW w:type="dxa" w:w="6350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privacidad@geminislabs.com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Sitio web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[https://www.geminislabs.com]</w:t>
            </w:r>
          </w:p>
        </w:tc>
      </w:tr>
    </w:tbl>
    <w:p>
      <w:pPr>
        <w:spacing w:after="80"/>
      </w:pPr>
    </w:p>
    <w:p>
      <w:pPr>
        <w:pStyle w:val="Heading2"/>
      </w:pPr>
      <w:r>
        <w:t>2. Alcance y estructura de este Aviso</w:t>
      </w:r>
    </w:p>
    <w:p>
      <w:r>
        <w:rPr>
          <w:b w:val="0"/>
        </w:rPr>
        <w:t xml:space="preserve">El presente Aviso rige el tratamiento de datos personales en </w:t>
      </w:r>
      <w:r>
        <w:rPr>
          <w:b/>
        </w:rPr>
        <w:t>todos los servicios, plataformas, aplicaciones móviles y sitios web de Geminis Labs</w:t>
      </w:r>
      <w:r>
        <w:rPr>
          <w:b w:val="0"/>
        </w:rPr>
        <w:t>. Su cuerpo principal contiene las reglas comunes; las particularidades de cada producto se detallan en los anexos, que forman parte integrante del documento.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36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Anexo</w:t>
            </w:r>
          </w:p>
        </w:tc>
        <w:tc>
          <w:tcPr>
            <w:tcW w:type="dxa" w:w="3515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Producto</w:t>
            </w:r>
          </w:p>
        </w:tc>
        <w:tc>
          <w:tcPr>
            <w:tcW w:type="dxa" w:w="4195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Particularidad relevante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Anexo A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NEXUS</w:t>
            </w:r>
            <w:r>
              <w:rPr>
                <w:b w:val="0"/>
                <w:sz w:val="17"/>
              </w:rPr>
              <w:t xml:space="preserve"> — monitoreo y gestión de flotas vehiculares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Geolocalización y telemetría tratadas por cuenta del Cliente</w:t>
            </w:r>
          </w:p>
        </w:tc>
      </w:tr>
      <w:tr>
        <w:tc>
          <w:tcPr>
            <w:tcW w:type="dxa" w:w="136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Anexo B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3515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Signum</w:t>
            </w:r>
            <w:r>
              <w:rPr>
                <w:b w:val="0"/>
                <w:sz w:val="17"/>
              </w:rPr>
              <w:t xml:space="preserve"> — identidades accesibles por código QR</w:t>
            </w:r>
          </w:p>
        </w:tc>
        <w:tc>
          <w:tcPr>
            <w:tcW w:type="dxa" w:w="4195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Datos personales sensibles de salud publicados en abierto</w:t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Anexo C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Orion</w:t>
            </w:r>
            <w:r>
              <w:rPr>
                <w:b w:val="0"/>
                <w:sz w:val="17"/>
              </w:rPr>
              <w:t xml:space="preserve"> — API de localización de celdas móviles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Servicio de infraestructura entre sistemas</w:t>
            </w:r>
          </w:p>
        </w:tc>
      </w:tr>
    </w:tbl>
    <w:p>
      <w:pPr>
        <w:spacing w:after="80"/>
      </w:pPr>
    </w:p>
    <w:p>
      <w:r>
        <w:rPr>
          <w:b w:val="0"/>
        </w:rPr>
      </w:r>
      <w:r>
        <w:rPr>
          <w:b/>
        </w:rPr>
        <w:t>En caso de discrepancia entre el cuerpo principal y un anexo, prevalece el anexo</w:t>
      </w:r>
      <w:r>
        <w:rPr>
          <w:b w:val="0"/>
        </w:rPr>
        <w:t xml:space="preserve"> respecto del producto que regula.</w:t>
      </w:r>
    </w:p>
    <w:p>
      <w:pPr>
        <w:pStyle w:val="Heading2"/>
      </w:pPr>
      <w:r>
        <w:t>3. Doble carácter: responsable y encargado</w:t>
      </w:r>
    </w:p>
    <w:p>
      <w:r>
        <w:rPr>
          <w:b w:val="0"/>
        </w:rPr>
        <w:t xml:space="preserve">Los servicios de Geminis Labs se contratan mayoritariamente por personas morales o físicas con actividad empresarial (el </w:t>
      </w:r>
      <w:r>
        <w:rPr>
          <w:b/>
        </w:rPr>
        <w:t>«Cliente»</w:t>
      </w:r>
      <w:r>
        <w:rPr>
          <w:b w:val="0"/>
        </w:rPr>
        <w:t xml:space="preserve">) para tratar información propia. Esto determina que Geminis Labs intervenga bajo </w:t>
      </w:r>
      <w:r>
        <w:rPr>
          <w:b/>
        </w:rPr>
        <w:t>dos calidades jurídicas distintas</w:t>
      </w:r>
      <w:r>
        <w:rPr>
          <w:b w:val="0"/>
        </w:rPr>
        <w:t>, cuya diferenciación es esencial para la correcta lectura de este Aviso.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Calidad</w:t>
            </w:r>
          </w:p>
        </w:tc>
        <w:tc>
          <w:tcPr>
            <w:tcW w:type="dxa" w:w="3742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Datos comprendidos</w:t>
            </w:r>
          </w:p>
        </w:tc>
        <w:tc>
          <w:tcPr>
            <w:tcW w:type="dxa" w:w="3628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Alcance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Responsable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Datos de quienes contratan, administran o utilizan los servicios: representantes del Cliente, administradores y usuarios con cuenta.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 xml:space="preserve">Geminis Labs decide sobre el tratamiento y responde directamente ante el titular. </w:t>
            </w:r>
            <w:r>
              <w:rPr>
                <w:b/>
                <w:sz w:val="17"/>
              </w:rPr>
              <w:t>Es respecto de estos datos que se emite este Aviso.</w:t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Encargado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3742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Datos que el Cliente incorpora o genera a través de los servicios: geolocalización y telemetría de unidades, identificación de vehículos y conductores, y demás contenido cargado por el Cliente.</w:t>
            </w:r>
          </w:p>
        </w:tc>
        <w:tc>
          <w:tcPr>
            <w:tcW w:type="dxa" w:w="3628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 xml:space="preserve">Geminis Labs trata estos datos </w:t>
            </w:r>
            <w:r>
              <w:rPr>
                <w:b/>
                <w:sz w:val="17"/>
              </w:rPr>
              <w:t>únicamente conforme a las instrucciones del Cliente</w:t>
            </w:r>
            <w:r>
              <w:rPr>
                <w:b w:val="0"/>
                <w:sz w:val="17"/>
              </w:rPr>
              <w:t>, que conserva la calidad de responsable.</w:t>
            </w:r>
          </w:p>
        </w:tc>
      </w:tr>
    </w:tbl>
    <w:p>
      <w:pPr>
        <w:spacing w:after="80"/>
      </w:pPr>
    </w:p>
    <w:p>
      <w:pPr>
        <w:pStyle w:val="Heading2"/>
      </w:pPr>
      <w:r>
        <w:t>4. Datos personales sometidos a tratamiento</w:t>
      </w:r>
    </w:p>
    <w:p>
      <w:r>
        <w:rPr>
          <w:b w:val="0"/>
        </w:rPr>
        <w:t xml:space="preserve">Geminis Labs trata, en su calidad de </w:t>
      </w:r>
      <w:r>
        <w:rPr>
          <w:b/>
        </w:rPr>
        <w:t>responsable</w:t>
      </w:r>
      <w:r>
        <w:rPr>
          <w:b w:val="0"/>
        </w:rPr>
        <w:t>, las siguientes categorías de datos, recabadas de forma directa del titular o de forma indirecta a través del Cliente que da de alta a sus usuarios.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5102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Datos concretos</w:t>
            </w:r>
          </w:p>
        </w:tc>
        <w:tc>
          <w:tcPr>
            <w:tcW w:type="dxa" w:w="2268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Obtención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Identificativos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Nombre completo; identificador de usuario asignado por la plataforma.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Directa o indirecta</w:t>
            </w:r>
          </w:p>
        </w:tc>
      </w:tr>
      <w:tr>
        <w:tc>
          <w:tcPr>
            <w:tcW w:type="dxa" w:w="170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De contacto</w:t>
            </w:r>
          </w:p>
        </w:tc>
        <w:tc>
          <w:tcPr>
            <w:tcW w:type="dxa" w:w="5102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Correo electrónico; número telefónico.</w:t>
            </w:r>
          </w:p>
        </w:tc>
        <w:tc>
          <w:tcPr>
            <w:tcW w:type="dxa" w:w="2268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Directa o indirecta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Laborales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Empresa u organización; rol o perfil asignado (administrador, operador, consulta); espacio de trabajo o permisos concedidos.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Directa o indirecta</w:t>
            </w:r>
          </w:p>
        </w:tc>
      </w:tr>
      <w:tr>
        <w:tc>
          <w:tcPr>
            <w:tcW w:type="dxa" w:w="170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De autenticación</w:t>
            </w:r>
          </w:p>
        </w:tc>
        <w:tc>
          <w:tcPr>
            <w:tcW w:type="dxa" w:w="5102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Contraseña resguardada mediante funciones criptográficas de derivación; tokens de sesión y de renovación; marcas de expiración; registros de inicio y cierre de sesión.</w:t>
            </w:r>
          </w:p>
        </w:tc>
        <w:tc>
          <w:tcPr>
            <w:tcW w:type="dxa" w:w="2268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Automática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Técnicos y de conexión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Dirección IP; tipo y versión de navegador; modelo de dispositivo y sistema operativo; versión de la aplicación; idioma y configuración regional; identificadores técnicos; fecha y hora de acceso; registros de auditoría de las operaciones.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Automática</w:t>
            </w:r>
          </w:p>
        </w:tc>
      </w:tr>
      <w:tr>
        <w:tc>
          <w:tcPr>
            <w:tcW w:type="dxa" w:w="170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De notificación</w:t>
            </w:r>
          </w:p>
        </w:tc>
        <w:tc>
          <w:tcPr>
            <w:tcW w:type="dxa" w:w="5102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Token del dispositivo para el envío de notificaciones push en las aplicaciones móviles de Android e iOS.</w:t>
            </w:r>
          </w:p>
        </w:tc>
        <w:tc>
          <w:tcPr>
            <w:tcW w:type="dxa" w:w="2268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Automática, previa autorización del sistema operativo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De facturación y pago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[Razón social, R.F.C., domicilio fiscal, régimen fiscal y uso de CFDI] de los contactos administrativos. Del medio de pago, únicamente referencia tokenizada, cuatro últimos dígitos, marca y fecha de vencimiento.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Directa</w:t>
            </w:r>
          </w:p>
        </w:tc>
      </w:tr>
    </w:tbl>
    <w:p>
      <w:pPr>
        <w:spacing w:after="80"/>
      </w:pPr>
    </w:p>
    <w:p>
      <w:pPr>
        <w:pStyle w:val="Heading3"/>
      </w:pPr>
      <w:r>
        <w:t>Datos personales sensibles</w:t>
      </w:r>
    </w:p>
    <w:p>
      <w:r>
        <w:rPr>
          <w:b w:val="0"/>
        </w:rPr>
      </w:r>
      <w:r>
        <w:rPr>
          <w:b/>
        </w:rPr>
        <w:t>Con la única excepción del producto Signum</w:t>
      </w:r>
      <w:r>
        <w:rPr>
          <w:b w:val="0"/>
        </w:rPr>
        <w:t>, Geminis Labs no recaba ni trata datos personales sensibles: no se solicita información sobre origen racial o étnico, estado de salud, información genética, creencias religiosas, filosóficas o morales, afiliación sindical, opiniones políticas o preferencia sexual.</w:t>
      </w:r>
    </w:p>
    <w:p>
      <w:r>
        <w:rPr>
          <w:b w:val="0"/>
        </w:rPr>
      </w:r>
      <w:r>
        <w:rPr>
          <w:b/>
        </w:rPr>
        <w:t>Signum trata datos de salud por definición del producto.</w:t>
      </w:r>
      <w:r>
        <w:rPr>
          <w:b w:val="0"/>
        </w:rPr>
        <w:t xml:space="preserve"> Su régimen —consentimiento expreso, publicación en abierto y medidas reforzadas— se detalla en el Anexo B.</w:t>
      </w:r>
    </w:p>
    <w:p>
      <w:r>
        <w:rPr>
          <w:b w:val="0"/>
        </w:rPr>
        <w:t xml:space="preserve">Respecto de la geolocalización se precisa que </w:t>
      </w:r>
      <w:r>
        <w:rPr>
          <w:b/>
        </w:rPr>
        <w:t>no está catalogada como dato sensible por la LFPDPPP</w:t>
      </w:r>
      <w:r>
        <w:rPr>
          <w:b w:val="0"/>
        </w:rPr>
        <w:t>, cuya enumeración es limitativa. No obstante, dada su capacidad para revelar patrones de desplazamiento de personas físicas, Geminis Labs la somete voluntariamente a medidas reforzadas y limita su acceso al personal estrictamente necesario.</w:t>
      </w:r>
    </w:p>
    <w:p>
      <w:pPr>
        <w:pStyle w:val="Heading2"/>
      </w:pPr>
      <w:r>
        <w:t>5. Finalidades del tratamiento</w:t>
      </w:r>
    </w:p>
    <w:p>
      <w:pPr>
        <w:pStyle w:val="Heading3"/>
      </w:pPr>
      <w:r>
        <w:t>Finalidades primarias (necesarias)</w:t>
      </w:r>
    </w:p>
    <w:p>
      <w:r>
        <w:rPr>
          <w:b w:val="0"/>
        </w:rPr>
        <w:t xml:space="preserve">Son necesarias para la existencia y cumplimiento de la relación jurídica. </w:t>
      </w:r>
      <w:r>
        <w:rPr>
          <w:b/>
        </w:rPr>
        <w:t>No requieren consentimiento adicional</w:t>
      </w:r>
      <w:r>
        <w:rPr>
          <w:b w:val="0"/>
        </w:rPr>
        <w:t xml:space="preserve"> y el titular no puede oponerse a ellas sin que se extinga la posibilidad de prestar el servicio.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Alta, identificación y administración de la cuenta</w:t>
      </w:r>
      <w:r>
        <w:rPr>
          <w:b w:val="0"/>
        </w:rPr>
        <w:t>, incluida la asignación de roles y permisos.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Autenticación y control de acceso</w:t>
      </w:r>
      <w:r>
        <w:rPr>
          <w:b w:val="0"/>
        </w:rPr>
        <w:t>, mantenimiento de la sesión y verificación de identidad en cada operación.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Prestación de las funcionalidades contratadas</w:t>
      </w:r>
      <w:r>
        <w:rPr>
          <w:b w:val="0"/>
        </w:rPr>
        <w:t>, en los términos del anexo correspondiente a cada producto.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Envío de notificaciones operativas y alertas</w:t>
      </w:r>
      <w:r>
        <w:rPr>
          <w:b w:val="0"/>
        </w:rPr>
        <w:t>, incluidas las notificaciones push de las aplicaciones móviles.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Atención de solicitudes de soporte técnico</w:t>
      </w:r>
      <w:r>
        <w:rPr>
          <w:b w:val="0"/>
        </w:rPr>
        <w:t>, incidencias y aclaraciones.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Facturación, cobranza y cumplimiento de obligaciones fiscales</w:t>
      </w:r>
      <w:r>
        <w:rPr>
          <w:b w:val="0"/>
        </w:rPr>
        <w:t>, incluida la emisión de comprobantes fiscales digitales.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Seguridad</w:t>
      </w:r>
      <w:r>
        <w:rPr>
          <w:b w:val="0"/>
        </w:rPr>
        <w:t>: prevención, detección e investigación de accesos no autorizados, fraude o uso indebido; conservación de registros de auditoría.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Cumplimiento de obligaciones legales</w:t>
      </w:r>
      <w:r>
        <w:rPr>
          <w:b w:val="0"/>
        </w:rPr>
        <w:t xml:space="preserve"> y atención de requerimientos de autoridad competente.</w:t>
      </w:r>
    </w:p>
    <w:p>
      <w:pPr>
        <w:pStyle w:val="Heading3"/>
      </w:pPr>
      <w:r>
        <w:t>Finalidades secundarias (no necesarias)</w:t>
      </w:r>
    </w:p>
    <w:p>
      <w:r>
        <w:rPr>
          <w:b w:val="0"/>
        </w:rPr>
        <w:t>El titular puede oponerse a ellas sin que se afecte la prestación del servicio.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Comunicaciones informativas</w:t>
      </w:r>
      <w:r>
        <w:rPr>
          <w:b w:val="0"/>
        </w:rPr>
        <w:t xml:space="preserve"> sobre nuevas funcionalidades, mejoras y novedades.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Encuestas</w:t>
      </w:r>
      <w:r>
        <w:rPr>
          <w:b w:val="0"/>
        </w:rPr>
        <w:t xml:space="preserve"> de satisfacción y calidad del servicio.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Invitación a programas piloto</w:t>
      </w:r>
      <w:r>
        <w:rPr>
          <w:b w:val="0"/>
        </w:rPr>
        <w:t>, capacitaciones y eventos.</w:t>
      </w:r>
    </w:p>
    <w:p>
      <w:r>
        <w:rPr>
          <w:b w:val="0"/>
        </w:rPr>
      </w:r>
      <w:r>
        <w:rPr>
          <w:b/>
        </w:rPr>
        <w:t>Mecanismo para manifestar la negativa</w:t>
      </w:r>
      <w:r>
        <w:rPr>
          <w:b w:val="0"/>
        </w:rPr>
        <w:t xml:space="preserve">: correo a </w:t>
      </w:r>
      <w:r>
        <w:rPr>
          <w:b/>
        </w:rPr>
        <w:t>privacidad@geminislabs.com</w:t>
      </w:r>
      <w:r>
        <w:rPr>
          <w:b w:val="0"/>
        </w:rPr>
        <w:t xml:space="preserve"> con el asunto «Negativa finalidades secundarias», dentro de los </w:t>
      </w:r>
      <w:r>
        <w:rPr>
          <w:b/>
        </w:rPr>
        <w:t>cinco (5) días hábiles</w:t>
      </w:r>
      <w:r>
        <w:rPr>
          <w:b w:val="0"/>
        </w:rPr>
        <w:t xml:space="preserve"> siguientes a la puesta a disposición de este Aviso, indicando nombre completo y correo de la cuenta. También puede manifestarse en cualquier momento posterior, y mediante el enlace de baja incluido en cada comunicación. </w:t>
      </w:r>
      <w:r>
        <w:rPr>
          <w:b/>
        </w:rPr>
        <w:t>La negativa no será motivo para negar el servicio.</w:t>
      </w:r>
      <w:r>
        <w:rPr>
          <w:b w:val="0"/>
        </w:rPr>
      </w:r>
    </w:p>
    <w:p>
      <w:pPr>
        <w:pStyle w:val="Heading3"/>
      </w:pPr>
      <w:r>
        <w:t>Información agregada y disociada</w:t>
      </w:r>
    </w:p>
    <w:p>
      <w:r>
        <w:rPr>
          <w:b w:val="0"/>
        </w:rPr>
        <w:t xml:space="preserve">Geminis Labs elabora estadísticas e indicadores para operar y mejorar sus servicios. Cuando dicha información </w:t>
      </w:r>
      <w:r>
        <w:rPr>
          <w:b/>
        </w:rPr>
        <w:t>pierde de forma irreversible la vinculación con una persona física identificable</w:t>
      </w:r>
      <w:r>
        <w:rPr>
          <w:b w:val="0"/>
        </w:rPr>
        <w:t xml:space="preserve">, deja de constituir dato personal y queda fuera del ámbito de este Aviso. </w:t>
      </w:r>
      <w:r>
        <w:rPr>
          <w:b/>
        </w:rPr>
        <w:t>Geminis Labs no comercializa datos personales.</w:t>
      </w:r>
      <w:r>
        <w:rPr>
          <w:b w:val="0"/>
        </w:rPr>
      </w:r>
    </w:p>
    <w:p>
      <w:r>
        <w:rPr>
          <w:b w:val="0"/>
        </w:rPr>
      </w:r>
      <w:r>
        <w:rPr>
          <w:b/>
        </w:rPr>
        <w:t>Geminis Labs no utiliza los datos personales de sus usuarios ni de sus clientes para entrenar modelos de inteligencia artificial</w:t>
      </w:r>
      <w:r>
        <w:rPr>
          <w:b w:val="0"/>
        </w:rPr>
        <w:t>, propios o de terceros.</w:t>
      </w:r>
    </w:p>
    <w:p>
      <w:pPr>
        <w:pStyle w:val="Heading2"/>
      </w:pPr>
      <w:r>
        <w:t>6. Consentimiento</w:t>
      </w:r>
    </w:p>
    <w:p>
      <w:r>
        <w:rPr>
          <w:b w:val="0"/>
        </w:rPr>
        <w:t xml:space="preserve">El consentimiento puede ser </w:t>
      </w:r>
      <w:r>
        <w:rPr>
          <w:b/>
        </w:rPr>
        <w:t>expreso</w:t>
      </w:r>
      <w:r>
        <w:rPr>
          <w:b w:val="0"/>
        </w:rPr>
        <w:t xml:space="preserve"> —verbal, por escrito, por medios electrónicos u ópticos, mediante signos inequívocos o cualquier otra tecnología— o </w:t>
      </w:r>
      <w:r>
        <w:rPr>
          <w:b/>
        </w:rPr>
        <w:t>tácito</w:t>
      </w:r>
      <w:r>
        <w:rPr>
          <w:b w:val="0"/>
        </w:rPr>
        <w:t>, cuando habiéndose puesto a disposición del titular el aviso de privacidad, este no manifiesta oposición.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Respecto de las </w:t>
      </w:r>
      <w:r>
        <w:rPr>
          <w:b/>
        </w:rPr>
        <w:t>finalidades primarias</w:t>
      </w:r>
      <w:r>
        <w:rPr>
          <w:b w:val="0"/>
        </w:rPr>
        <w:t>, el tratamiento es necesario para el cumplimiento de la relación jurídica, por lo que se ubica en los supuestos de excepción legalmente previstos.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Respecto de las </w:t>
      </w:r>
      <w:r>
        <w:rPr>
          <w:b/>
        </w:rPr>
        <w:t>finalidades secundarias</w:t>
      </w:r>
      <w:r>
        <w:rPr>
          <w:b w:val="0"/>
        </w:rPr>
        <w:t>, el consentimiento se entiende otorgado tácitamente si no se manifiesta la negativa.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Respecto de los </w:t>
      </w:r>
      <w:r>
        <w:rPr>
          <w:b/>
        </w:rPr>
        <w:t>datos sensibles tratados en Signum</w:t>
      </w:r>
      <w:r>
        <w:rPr>
          <w:b w:val="0"/>
        </w:rPr>
        <w:t xml:space="preserve">, se requiere </w:t>
      </w:r>
      <w:r>
        <w:rPr>
          <w:b/>
        </w:rPr>
        <w:t>consentimiento expreso</w:t>
      </w:r>
      <w:r>
        <w:rPr>
          <w:b w:val="0"/>
        </w:rPr>
        <w:t>, recabado de forma separada, informada y versionada conforme al Anexo B.</w:t>
      </w:r>
    </w:p>
    <w:p>
      <w:pPr>
        <w:pStyle w:val="Heading2"/>
      </w:pPr>
      <w:r>
        <w:t>7. Transferencias y remisiones de datos</w:t>
      </w:r>
    </w:p>
    <w:p>
      <w:pPr>
        <w:pStyle w:val="Heading3"/>
      </w:pPr>
      <w:r>
        <w:t>Remisiones a encargados (no requieren consentimiento)</w:t>
      </w:r>
    </w:p>
    <w:p>
      <w:r>
        <w:rPr>
          <w:b w:val="0"/>
        </w:rPr>
        <w:t xml:space="preserve">Geminis Labs se apoya en proveedores que tratan datos personales </w:t>
      </w:r>
      <w:r>
        <w:rPr>
          <w:b/>
        </w:rPr>
        <w:t>por su cuenta y bajo sus instrucciones</w:t>
      </w:r>
      <w:r>
        <w:rPr>
          <w:b w:val="0"/>
        </w:rPr>
        <w:t>, con instrumentos contractuales que les imponen las mismas obligaciones de protección que corresponden al responsable.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835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Proveedor</w:t>
            </w:r>
          </w:p>
        </w:tc>
        <w:tc>
          <w:tcPr>
            <w:tcW w:type="dxa" w:w="3742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Finalidad</w:t>
            </w:r>
          </w:p>
        </w:tc>
        <w:tc>
          <w:tcPr>
            <w:tcW w:type="dxa" w:w="2494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Ubicación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Amazon Web Services, Inc.</w:t>
            </w:r>
            <w:r>
              <w:rPr>
                <w:b w:val="0"/>
                <w:sz w:val="17"/>
              </w:rPr>
              <w:t xml:space="preserve"> (EC2, S3)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Alojamiento de las plataformas, bases de datos y copias de respaldo.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EE. UU. — región us-east-1</w:t>
            </w:r>
          </w:p>
        </w:tc>
      </w:tr>
      <w:tr>
        <w:tc>
          <w:tcPr>
            <w:tcW w:type="dxa" w:w="2835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Amazon Simple Email Service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3742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Correos de verificación, recuperación de contraseña y notificaciones del servicio.</w:t>
            </w:r>
          </w:p>
        </w:tc>
        <w:tc>
          <w:tcPr>
            <w:tcW w:type="dxa" w:w="2494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EE. UU. — región us-east-1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Google Maps Platform</w:t>
            </w:r>
            <w:r>
              <w:rPr>
                <w:b w:val="0"/>
                <w:sz w:val="17"/>
              </w:rPr>
              <w:t xml:space="preserve"> (Google LLC)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Renderizado cartográfico, geocodificación y cálculo de rutas.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EE. UU.</w:t>
            </w:r>
          </w:p>
        </w:tc>
      </w:tr>
      <w:tr>
        <w:tc>
          <w:tcPr>
            <w:tcW w:type="dxa" w:w="2835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Google Firebase Cloud Messaging</w:t>
            </w:r>
            <w:r>
              <w:rPr>
                <w:b w:val="0"/>
                <w:sz w:val="17"/>
              </w:rPr>
              <w:t xml:space="preserve"> (Google LLC)</w:t>
            </w:r>
          </w:p>
        </w:tc>
        <w:tc>
          <w:tcPr>
            <w:tcW w:type="dxa" w:w="3742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Notificaciones push a las aplicaciones de Android e iOS.</w:t>
            </w:r>
          </w:p>
        </w:tc>
        <w:tc>
          <w:tcPr>
            <w:tcW w:type="dxa" w:w="2494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EE. UU.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Apple Inc.</w:t>
            </w:r>
            <w:r>
              <w:rPr>
                <w:b w:val="0"/>
                <w:sz w:val="17"/>
              </w:rPr>
              <w:t xml:space="preserve"> (APNs)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Entrega de notificaciones push en dispositivos iOS.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EE. UU.</w:t>
            </w:r>
          </w:p>
        </w:tc>
      </w:tr>
      <w:tr>
        <w:tc>
          <w:tcPr>
            <w:tcW w:type="dxa" w:w="2835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Stripe, Inc.</w:t>
            </w:r>
            <w:r>
              <w:rPr>
                <w:b w:val="0"/>
                <w:sz w:val="17"/>
              </w:rPr>
            </w:r>
          </w:p>
        </w:tc>
        <w:tc>
          <w:tcPr>
            <w:tcW w:type="dxa" w:w="3742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Procesamiento de pagos y cobro de contraprestaciones.</w:t>
            </w:r>
          </w:p>
        </w:tc>
        <w:tc>
          <w:tcPr>
            <w:tcW w:type="dxa" w:w="2494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EE. UU.</w:t>
            </w:r>
          </w:p>
        </w:tc>
      </w:tr>
    </w:tbl>
    <w:p>
      <w:pPr>
        <w:spacing w:after="80"/>
      </w:pPr>
    </w:p>
    <w:p>
      <w:r>
        <w:rPr>
          <w:b w:val="0"/>
        </w:rPr>
      </w:r>
      <w:r>
        <w:rPr>
          <w:b/>
        </w:rPr>
        <w:t>La totalidad del tratamiento se realiza en servidores ubicados en los Estados Unidos de América.</w:t>
      </w:r>
      <w:r>
        <w:rPr>
          <w:b w:val="0"/>
        </w:rPr>
        <w:t xml:space="preserve"> Geminis Labs no realiza actualmente tratamiento en servidores ubicados en territorio nacional. La atención de soporte se realiza por correo electrónico, sin plataformas de ticketing de terceros.</w:t>
      </w:r>
    </w:p>
    <w:p>
      <w:pPr>
        <w:pStyle w:val="Heading3"/>
      </w:pPr>
      <w:r>
        <w:t>Transferencias a terceros</w:t>
      </w:r>
    </w:p>
    <w:p>
      <w:r>
        <w:rPr>
          <w:b w:val="0"/>
        </w:rPr>
      </w:r>
      <w:r>
        <w:rPr>
          <w:b/>
        </w:rPr>
        <w:t>Geminis Labs no vende, renta ni comercializa datos personales.</w:t>
      </w:r>
      <w:r>
        <w:rPr>
          <w:b w:val="0"/>
        </w:rPr>
        <w:t xml:space="preserve"> Únicamente podrán realizarse las siguientes transferencias, que </w:t>
      </w:r>
      <w:r>
        <w:rPr>
          <w:b/>
        </w:rPr>
        <w:t>no requieren consentimiento</w:t>
      </w:r>
      <w:r>
        <w:rPr>
          <w:b w:val="0"/>
        </w:rPr>
        <w:t xml:space="preserve"> por actualizarse los supuestos de excepción legalmente previstos:</w:t>
      </w:r>
    </w:p>
    <w:p>
      <w:pPr>
        <w:pStyle w:val="ListBullet"/>
        <w:spacing w:after="60"/>
        <w:ind w:left="425"/>
      </w:pPr>
      <w:r>
        <w:rPr>
          <w:b w:val="0"/>
        </w:rPr>
        <w:t xml:space="preserve">A </w:t>
      </w:r>
      <w:r>
        <w:rPr>
          <w:b/>
        </w:rPr>
        <w:t>autoridades administrativas o judiciales competentes</w:t>
      </w:r>
      <w:r>
        <w:rPr>
          <w:b w:val="0"/>
        </w:rPr>
        <w:t>, cuando resulte legalmente exigible o necesario para el reconocimiento, ejercicio o defensa de un derecho en un proceso.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A </w:t>
      </w:r>
      <w:r>
        <w:rPr>
          <w:b/>
        </w:rPr>
        <w:t>sociedades del mismo grupo corporativo</w:t>
      </w:r>
      <w:r>
        <w:rPr>
          <w:b w:val="0"/>
        </w:rPr>
        <w:t xml:space="preserve"> que operen bajo los mismos procesos y políticas internas de privacidad.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A </w:t>
      </w:r>
      <w:r>
        <w:rPr>
          <w:b/>
        </w:rPr>
        <w:t>terceros adquirentes</w:t>
      </w:r>
      <w:r>
        <w:rPr>
          <w:b w:val="0"/>
        </w:rPr>
        <w:t>, en supuestos de fusión, escisión, adquisición o reestructuración corporativa.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A </w:t>
      </w:r>
      <w:r>
        <w:rPr>
          <w:b/>
        </w:rPr>
        <w:t>asesores legales, contables o auditores externos</w:t>
      </w:r>
      <w:r>
        <w:rPr>
          <w:b w:val="0"/>
        </w:rPr>
        <w:t xml:space="preserve"> obligados a confidencialidad, cuando sea necesario para cumplir obligaciones legales.</w:t>
      </w:r>
    </w:p>
    <w:p>
      <w:r>
        <w:rPr>
          <w:b w:val="0"/>
        </w:rPr>
        <w:t xml:space="preserve">Cualquier transferencia distinta será sometida al </w:t>
      </w:r>
      <w:r>
        <w:rPr>
          <w:b/>
        </w:rPr>
        <w:t>consentimiento previo y expreso</w:t>
      </w:r>
      <w:r>
        <w:rPr>
          <w:b w:val="0"/>
        </w:rPr>
        <w:t xml:space="preserve"> del titular.</w:t>
      </w:r>
    </w:p>
    <w:p>
      <w:pPr>
        <w:pStyle w:val="Heading3"/>
      </w:pPr>
      <w:r>
        <w:t>Datos de pago</w:t>
      </w:r>
    </w:p>
    <w:p>
      <w:r>
        <w:rPr>
          <w:b w:val="0"/>
        </w:rPr>
        <w:t xml:space="preserve">Stripe, Inc. trata los datos de pago por cuenta de Geminis Labs y, además, </w:t>
      </w:r>
      <w:r>
        <w:rPr>
          <w:b/>
        </w:rPr>
        <w:t>como responsable independiente</w:t>
      </w:r>
      <w:r>
        <w:rPr>
          <w:b w:val="0"/>
        </w:rPr>
        <w:t xml:space="preserve"> para el cumplimiento de sus propias obligaciones legales, fiscales y de prevención del fraude. </w:t>
      </w:r>
      <w:r>
        <w:rPr>
          <w:b/>
        </w:rPr>
        <w:t>Geminis Labs no almacena el número completo de la tarjeta ni el código de seguridad (CVV/CVC)</w:t>
      </w:r>
      <w:r>
        <w:rPr>
          <w:b w:val="0"/>
        </w:rPr>
        <w:t>: únicamente conserva una referencia tokenizada del instrumento de pago, los cuatro últimos dígitos, la marca y la fecha de vencimiento.</w:t>
      </w:r>
    </w:p>
    <w:p>
      <w:pPr>
        <w:pStyle w:val="Heading2"/>
      </w:pPr>
      <w:r>
        <w:t>8. Derechos ARCO</w:t>
      </w:r>
    </w:p>
    <w:p>
      <w:r>
        <w:rPr>
          <w:b w:val="0"/>
        </w:rPr>
        <w:t xml:space="preserve">El titular puede </w:t>
      </w:r>
      <w:r>
        <w:rPr>
          <w:b/>
        </w:rPr>
        <w:t>acceder</w:t>
      </w:r>
      <w:r>
        <w:rPr>
          <w:b w:val="0"/>
        </w:rPr>
        <w:t xml:space="preserve"> a sus datos y conocer los detalles de su tratamiento; </w:t>
      </w:r>
      <w:r>
        <w:rPr>
          <w:b/>
        </w:rPr>
        <w:t>rectificarlos</w:t>
      </w:r>
      <w:r>
        <w:rPr>
          <w:b w:val="0"/>
        </w:rPr>
        <w:t xml:space="preserve"> cuando sean inexactos o incompletos; </w:t>
      </w:r>
      <w:r>
        <w:rPr>
          <w:b/>
        </w:rPr>
        <w:t>cancelarlos</w:t>
      </w:r>
      <w:r>
        <w:rPr>
          <w:b w:val="0"/>
        </w:rPr>
        <w:t xml:space="preserve"> cuando considere que no se tratan conforme a los principios y deberes legales; y </w:t>
      </w:r>
      <w:r>
        <w:rPr>
          <w:b/>
        </w:rPr>
        <w:t>oponerse</w:t>
      </w:r>
      <w:r>
        <w:rPr>
          <w:b w:val="0"/>
        </w:rPr>
        <w:t xml:space="preserve"> a su tratamiento para fines específicos.</w:t>
      </w:r>
    </w:p>
    <w:p>
      <w:pPr>
        <w:pStyle w:val="Heading3"/>
      </w:pPr>
      <w:r>
        <w:t>Procedimiento</w:t>
      </w:r>
    </w:p>
    <w:p>
      <w:r>
        <w:rPr>
          <w:b w:val="0"/>
        </w:rPr>
        <w:t xml:space="preserve">Mediante correo a </w:t>
      </w:r>
      <w:r>
        <w:rPr>
          <w:b/>
        </w:rPr>
        <w:t>privacidad@geminislabs.com</w:t>
      </w:r>
      <w:r>
        <w:rPr>
          <w:b w:val="0"/>
        </w:rPr>
        <w:t>, con el asunto «Solicitud de Derechos ARCO», acompañando:</w:t>
      </w:r>
    </w:p>
    <w:p>
      <w:pPr>
        <w:pStyle w:val="ListNumber"/>
        <w:spacing w:after="60"/>
        <w:ind w:left="425"/>
      </w:pPr>
      <w:r>
        <w:rPr>
          <w:b w:val="0"/>
        </w:rPr>
        <w:t>Nombre completo del titular y medio para comunicarle la respuesta.</w:t>
      </w:r>
    </w:p>
    <w:p>
      <w:pPr>
        <w:pStyle w:val="ListNumber"/>
        <w:spacing w:after="60"/>
        <w:ind w:left="425"/>
      </w:pPr>
      <w:r>
        <w:rPr>
          <w:b w:val="0"/>
        </w:rPr>
        <w:t>Identificación oficial vigente o, en su caso, documento que acredite la representación legal.</w:t>
      </w:r>
    </w:p>
    <w:p>
      <w:pPr>
        <w:pStyle w:val="ListNumber"/>
        <w:spacing w:after="60"/>
        <w:ind w:left="425"/>
      </w:pPr>
      <w:r>
        <w:rPr>
          <w:b w:val="0"/>
        </w:rPr>
        <w:t>Descripción clara y precisa de los datos y del derecho que se pretende ejercer.</w:t>
      </w:r>
    </w:p>
    <w:p>
      <w:pPr>
        <w:pStyle w:val="ListNumber"/>
        <w:spacing w:after="60"/>
        <w:ind w:left="425"/>
      </w:pPr>
      <w:r>
        <w:rPr>
          <w:b w:val="0"/>
        </w:rPr>
        <w:t>Cualquier elemento que facilite la localización de los datos.</w:t>
      </w:r>
    </w:p>
    <w:p>
      <w:pPr>
        <w:pStyle w:val="ListNumber"/>
        <w:spacing w:after="60"/>
        <w:ind w:left="425"/>
      </w:pPr>
      <w:r>
        <w:rPr>
          <w:b w:val="0"/>
        </w:rPr>
        <w:t>Tratándose de rectificación, las modificaciones solicitadas y la documentación que las sustente.</w:t>
      </w:r>
    </w:p>
    <w:p>
      <w:pPr>
        <w:pStyle w:val="Heading3"/>
      </w:pPr>
      <w:r>
        <w:t>Plazos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175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5896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Plazo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Comunicación de la determinación adoptada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20 días hábiles</w:t>
            </w:r>
            <w:r>
              <w:rPr>
                <w:b w:val="0"/>
                <w:sz w:val="17"/>
              </w:rPr>
              <w:t xml:space="preserve"> desde la recepción, prorrogables por una sola vez y por un periodo igual cuando las circunstancias lo justifiquen.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Ejecución, una vez declarada procedente</w:t>
            </w:r>
          </w:p>
        </w:tc>
        <w:tc>
          <w:tcPr>
            <w:tcW w:type="dxa" w:w="5896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15 días hábiles</w:t>
            </w:r>
            <w:r>
              <w:rPr>
                <w:b w:val="0"/>
                <w:sz w:val="17"/>
              </w:rPr>
              <w:t xml:space="preserve"> siguientes a la comunicación de la respuesta.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Prevención por información insuficiente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Requerimiento por una sola vez dentro de los 5 días hábiles siguientes; el titular cuenta con 10 días hábiles para atenderlo.</w:t>
            </w:r>
          </w:p>
        </w:tc>
      </w:tr>
    </w:tbl>
    <w:p>
      <w:pPr>
        <w:spacing w:after="80"/>
      </w:pPr>
    </w:p>
    <w:p>
      <w:r>
        <w:rPr>
          <w:b w:val="0"/>
        </w:rPr>
        <w:t xml:space="preserve">El ejercicio es </w:t>
      </w:r>
      <w:r>
        <w:rPr>
          <w:b/>
        </w:rPr>
        <w:t>gratuito</w:t>
      </w:r>
      <w:r>
        <w:rPr>
          <w:b w:val="0"/>
        </w:rPr>
        <w:t xml:space="preserve">; solo podrán cobrarse gastos justificados de envío o el costo de reproducción. Geminis Labs mantiene un </w:t>
      </w:r>
      <w:r>
        <w:rPr>
          <w:b/>
        </w:rPr>
        <w:t>registro de las solicitudes recibidas y de su respuesta</w:t>
      </w:r>
      <w:r>
        <w:rPr>
          <w:b w:val="0"/>
        </w:rPr>
        <w:t>, con el fin de acreditar el cumplimiento de los plazos.</w:t>
      </w:r>
    </w:p>
    <w:p>
      <w:pPr>
        <w:pStyle w:val="Heading3"/>
      </w:pPr>
      <w:r>
        <w:t>Improcedencia</w:t>
      </w:r>
    </w:p>
    <w:p>
      <w:r>
        <w:rPr>
          <w:b w:val="0"/>
        </w:rPr>
        <w:t>El ejercicio podrá resultar improcedente cuando el solicitante no sea el titular o su representante acreditado; cuando los datos no obren en las bases de Geminis Labs; cuando se lesionen derechos de un tercero; cuando exista impedimento legal o resolución de autoridad; o cuando la rectificación, cancelación u oposición se hayan realizado previamente.</w:t>
      </w:r>
    </w:p>
    <w:p>
      <w:pPr>
        <w:pStyle w:val="Heading2"/>
      </w:pPr>
      <w:r>
        <w:t>9. Revocación del consentimiento y límites al uso</w:t>
      </w:r>
    </w:p>
    <w:p>
      <w:r>
        <w:rPr>
          <w:b w:val="0"/>
        </w:rPr>
        <w:t xml:space="preserve">El titular puede </w:t>
      </w:r>
      <w:r>
        <w:rPr>
          <w:b/>
        </w:rPr>
        <w:t>revocar en cualquier momento</w:t>
      </w:r>
      <w:r>
        <w:rPr>
          <w:b w:val="0"/>
        </w:rPr>
        <w:t xml:space="preserve"> su consentimiento, por la misma vía y con los mismos requisitos del ejercicio de derechos ARCO, indicando como asunto «Revocación del consentimiento».</w:t>
      </w:r>
    </w:p>
    <w:p>
      <w:r>
        <w:rPr>
          <w:b w:val="0"/>
        </w:rPr>
        <w:t xml:space="preserve">La revocación </w:t>
      </w:r>
      <w:r>
        <w:rPr>
          <w:b/>
        </w:rPr>
        <w:t>no podrá tener efecto inmediato ni absoluto</w:t>
      </w:r>
      <w:r>
        <w:rPr>
          <w:b w:val="0"/>
        </w:rPr>
        <w:t xml:space="preserve"> cuando el tratamiento sea necesario para cumplir obligaciones legales —en particular fiscales y de conservación de registros— o para la defensa de intereses en un procedimiento; en tales casos los datos se conservarán bloqueados durante los plazos de prescripción aplicables. </w:t>
      </w:r>
      <w:r>
        <w:rPr>
          <w:b/>
        </w:rPr>
        <w:t>La revocación respecto de las finalidades primarias implica la imposibilidad de continuar prestando el servicio.</w:t>
      </w:r>
      <w:r>
        <w:rPr>
          <w:b w:val="0"/>
        </w:rPr>
      </w:r>
    </w:p>
    <w:p>
      <w:r>
        <w:rPr>
          <w:b w:val="0"/>
        </w:rPr>
        <w:t>Adicionalmente, el titular dispone de los siguientes medios para limitar el uso o divulgación de sus datos: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Configuración de la cuenta</w:t>
      </w:r>
      <w:r>
        <w:rPr>
          <w:b w:val="0"/>
        </w:rPr>
        <w:t>: actualizar datos de perfil y preferencias de notificación.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Desactivar las notificaciones push</w:t>
      </w:r>
      <w:r>
        <w:rPr>
          <w:b w:val="0"/>
        </w:rPr>
        <w:t xml:space="preserve"> desde los ajustes del sistema operativo del dispositivo.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Baja de comunicaciones</w:t>
      </w:r>
      <w:r>
        <w:rPr>
          <w:b w:val="0"/>
        </w:rPr>
        <w:t xml:space="preserve"> mediante el enlace de cancelación incluido en cada correo informativo.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Gestión del almacenamiento del navegador</w:t>
      </w:r>
      <w:r>
        <w:rPr>
          <w:b w:val="0"/>
        </w:rPr>
        <w:t>, conforme a la Política de Cookies.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Solicitud al Departamento de Datos Personales</w:t>
      </w:r>
      <w:r>
        <w:rPr>
          <w:b w:val="0"/>
        </w:rPr>
        <w:t>, en los términos del apartado anterior.</w:t>
      </w:r>
    </w:p>
    <w:p>
      <w:r>
        <w:rPr>
          <w:b w:val="0"/>
        </w:rPr>
        <w:t xml:space="preserve">Geminis Labs </w:t>
      </w:r>
      <w:r>
        <w:rPr>
          <w:b/>
        </w:rPr>
        <w:t>no participa en listados de exclusión publicitaria de terceros</w:t>
      </w:r>
      <w:r>
        <w:rPr>
          <w:b w:val="0"/>
        </w:rPr>
        <w:t>, al no realizar tratamientos con fines de mercadotecnia distintos de los descritos.</w:t>
      </w:r>
    </w:p>
    <w:p>
      <w:pPr>
        <w:pStyle w:val="Heading2"/>
      </w:pPr>
      <w:r>
        <w:t>10. Medidas de seguridad</w:t>
      </w:r>
    </w:p>
    <w:p>
      <w:r>
        <w:rPr>
          <w:b w:val="0"/>
        </w:rPr>
        <w:t>Geminis Labs ha implementado medidas administrativas, técnicas y físicas para proteger los datos personales contra daño, pérdida, alteración, destrucción o uso, acceso o tratamiento no autorizados: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Cifrado de las comunicaciones</w:t>
      </w:r>
      <w:r>
        <w:rPr>
          <w:b w:val="0"/>
        </w:rPr>
        <w:t xml:space="preserve"> mediante protocolo TLS.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Autenticación basada en tokens</w:t>
      </w:r>
      <w:r>
        <w:rPr>
          <w:b w:val="0"/>
        </w:rPr>
        <w:t xml:space="preserve"> con vigencia limitada, renovación controlada y expiración automática de la sesión.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Control de acceso basado en roles</w:t>
      </w:r>
      <w:r>
        <w:rPr>
          <w:b w:val="0"/>
        </w:rPr>
        <w:t xml:space="preserve"> y segmentación por espacio de trabajo, de modo que cada Cliente accede exclusivamente a su propia información.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Resguardo de contraseñas</w:t>
      </w:r>
      <w:r>
        <w:rPr>
          <w:b w:val="0"/>
        </w:rPr>
        <w:t xml:space="preserve"> mediante funciones criptográficas de derivación, sin almacenamiento en claro.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Direcciones IP resguardadas mediante huella irreversible</w:t>
      </w:r>
      <w:r>
        <w:rPr>
          <w:b w:val="0"/>
        </w:rPr>
        <w:t xml:space="preserve"> en los servicios que las registran.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Registros de auditoría</w:t>
      </w:r>
      <w:r>
        <w:rPr>
          <w:b w:val="0"/>
        </w:rPr>
        <w:t xml:space="preserve"> de accesos y operaciones relevantes.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Análisis automatizado de vulnerabilidades en dependencias y de secretos expuestos</w:t>
      </w:r>
      <w:r>
        <w:rPr>
          <w:b w:val="0"/>
        </w:rPr>
        <w:t xml:space="preserve"> en el ciclo de integración continua.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Modelado de amenazas</w:t>
      </w:r>
      <w:r>
        <w:rPr>
          <w:b w:val="0"/>
        </w:rPr>
        <w:t xml:space="preserve"> documentado y revisado periódicamente.</w:t>
      </w:r>
    </w:p>
    <w:p>
      <w:pPr>
        <w:pStyle w:val="ListBullet"/>
        <w:spacing w:after="60"/>
        <w:ind w:left="425"/>
      </w:pPr>
      <w:r>
        <w:rPr>
          <w:b w:val="0"/>
        </w:rPr>
        <w:t>[Cifrado de la información en reposo y política de respaldos: CONFIRMAR ALCANCE CON INFRAESTRUCTURA ANTES DE PUBLICAR]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Confidencialidad contractual</w:t>
      </w:r>
      <w:r>
        <w:rPr>
          <w:b w:val="0"/>
        </w:rPr>
        <w:t xml:space="preserve"> del personal y de los proveedores con acceso a la información.</w:t>
      </w:r>
    </w:p>
    <w:p>
      <w:r>
        <w:rPr>
          <w:b w:val="0"/>
        </w:rPr>
        <w:t xml:space="preserve">Ningún sistema es completamente invulnerable. En caso de </w:t>
      </w:r>
      <w:r>
        <w:rPr>
          <w:b/>
        </w:rPr>
        <w:t>vulneración de seguridad</w:t>
      </w:r>
      <w:r>
        <w:rPr>
          <w:b w:val="0"/>
        </w:rPr>
        <w:t xml:space="preserve"> que afecte de forma significativa los derechos patrimoniales o morales de los titulares, Geminis Labs la informará sin dilación a los afectados y, en su caso, al Cliente responsable.</w:t>
      </w:r>
    </w:p>
    <w:p>
      <w:pPr>
        <w:pStyle w:val="Heading2"/>
      </w:pPr>
      <w:r>
        <w:t>11. Plazos de conservación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402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Categoría de información</w:t>
            </w:r>
          </w:p>
        </w:tc>
        <w:tc>
          <w:tcPr>
            <w:tcW w:type="dxa" w:w="5669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Plazo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Datos de cuenta y perfil de usuario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Durante la vigencia de la relación contractual y hasta 3 meses después de su terminación.</w:t>
            </w:r>
          </w:p>
        </w:tc>
      </w:tr>
      <w:tr>
        <w:tc>
          <w:tcPr>
            <w:tcW w:type="dxa" w:w="3402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Geolocalización y telemetría en crudo</w:t>
            </w:r>
            <w:r>
              <w:rPr>
                <w:b w:val="0"/>
                <w:sz w:val="17"/>
              </w:rPr>
              <w:t xml:space="preserve"> (posiciones, comunicaciones y puntos de recorrido)</w:t>
            </w:r>
          </w:p>
        </w:tc>
        <w:tc>
          <w:tcPr>
            <w:tcW w:type="dxa" w:w="5669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3 meses</w:t>
            </w:r>
            <w:r>
              <w:rPr>
                <w:b w:val="0"/>
                <w:sz w:val="17"/>
              </w:rPr>
              <w:t xml:space="preserve"> desde la fecha de cada registro, transcurridos los cuales se suprimen automáticamente.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Métricas agregadas por dispositivo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12 meses. Conservan vinculación con el vehículo, por lo que siguen siendo datos personales.</w:t>
            </w:r>
          </w:p>
        </w:tc>
      </w:tr>
      <w:tr>
        <w:tc>
          <w:tcPr>
            <w:tcW w:type="dxa" w:w="3402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Métricas disociadas, sin vinculación a dispositivo o persona</w:t>
            </w:r>
          </w:p>
        </w:tc>
        <w:tc>
          <w:tcPr>
            <w:tcW w:type="dxa" w:w="5669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Sin plazo determinado; no constituyen datos personales.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Registros de acceso y auditoría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12 meses, por seguridad, trazabilidad e investigación de incidentes.</w:t>
            </w:r>
          </w:p>
        </w:tc>
      </w:tr>
      <w:tr>
        <w:tc>
          <w:tcPr>
            <w:tcW w:type="dxa" w:w="3402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Documentación fiscal y contable</w:t>
            </w:r>
          </w:p>
        </w:tc>
        <w:tc>
          <w:tcPr>
            <w:tcW w:type="dxa" w:w="5669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5 años, conforme a la legislación fiscal aplicable.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Solicitudes de derechos ARCO y su respuesta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5 años, para acreditar el cumplimiento de las obligaciones legales.</w:t>
            </w:r>
          </w:p>
        </w:tc>
      </w:tr>
      <w:tr>
        <w:tc>
          <w:tcPr>
            <w:tcW w:type="dxa" w:w="3402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Registros de consentimiento (Signum)</w:t>
            </w:r>
          </w:p>
        </w:tc>
        <w:tc>
          <w:tcPr>
            <w:tcW w:type="dxa" w:w="5669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5 años tras la terminación de la relación.</w:t>
            </w:r>
          </w:p>
        </w:tc>
      </w:tr>
    </w:tbl>
    <w:p>
      <w:pPr>
        <w:spacing w:after="80"/>
      </w:pPr>
    </w:p>
    <w:p>
      <w:r>
        <w:rPr>
          <w:b w:val="0"/>
        </w:rPr>
        <w:t xml:space="preserve">Concluido el plazo aplicable, los datos serán </w:t>
      </w:r>
      <w:r>
        <w:rPr>
          <w:b/>
        </w:rPr>
        <w:t>bloqueados</w:t>
      </w:r>
      <w:r>
        <w:rPr>
          <w:b w:val="0"/>
        </w:rPr>
        <w:t xml:space="preserve"> durante el periodo de prescripción de las acciones que pudieran derivarse del tratamiento y, posteriormente, </w:t>
      </w:r>
      <w:r>
        <w:rPr>
          <w:b/>
        </w:rPr>
        <w:t>suprimidos</w:t>
      </w:r>
      <w:r>
        <w:rPr>
          <w:b w:val="0"/>
        </w:rPr>
        <w:t xml:space="preserve"> de forma segura. Los plazos instruidos por el Cliente en su contrato prevalecen respecto de los datos tratados por cuenta de este.</w:t>
      </w:r>
    </w:p>
    <w:p>
      <w:pPr>
        <w:pStyle w:val="Heading2"/>
      </w:pPr>
      <w:r>
        <w:t>12. Tratamiento por cuenta del Cliente</w:t>
      </w:r>
    </w:p>
    <w:p>
      <w:r>
        <w:rPr>
          <w:b w:val="0"/>
        </w:rPr>
        <w:t xml:space="preserve">Respecto de la información que el Cliente incorpora o genera en las plataformas, </w:t>
      </w:r>
      <w:r>
        <w:rPr>
          <w:b/>
        </w:rPr>
        <w:t>el Cliente actúa como responsable y Geminis Labs como encargado</w:t>
      </w:r>
      <w:r>
        <w:rPr>
          <w:b w:val="0"/>
        </w:rPr>
        <w:t>.</w:t>
      </w:r>
    </w:p>
    <w:p>
      <w:pPr>
        <w:pStyle w:val="Heading3"/>
      </w:pPr>
      <w:r>
        <w:t>Obligaciones de Geminis Labs como encargado</w:t>
      </w:r>
    </w:p>
    <w:p>
      <w:pPr>
        <w:pStyle w:val="ListBullet"/>
        <w:spacing w:after="60"/>
        <w:ind w:left="425"/>
      </w:pPr>
      <w:r>
        <w:rPr>
          <w:b w:val="0"/>
        </w:rPr>
        <w:t xml:space="preserve">Tratar los datos </w:t>
      </w:r>
      <w:r>
        <w:rPr>
          <w:b/>
        </w:rPr>
        <w:t>únicamente conforme a las instrucciones del Cliente</w:t>
      </w:r>
      <w:r>
        <w:rPr>
          <w:b w:val="0"/>
        </w:rPr>
        <w:t>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Abstenerse de tratarlos para finalidades distintas</w:t>
      </w:r>
      <w:r>
        <w:rPr>
          <w:b w:val="0"/>
        </w:rPr>
        <w:t xml:space="preserve"> de las instruidas.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Implementar las </w:t>
      </w:r>
      <w:r>
        <w:rPr>
          <w:b/>
        </w:rPr>
        <w:t>medidas de seguridad</w:t>
      </w:r>
      <w:r>
        <w:rPr>
          <w:b w:val="0"/>
        </w:rPr>
        <w:t xml:space="preserve"> descritas en este Aviso.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Guardar </w:t>
      </w:r>
      <w:r>
        <w:rPr>
          <w:b/>
        </w:rPr>
        <w:t>confidencialidad</w:t>
      </w:r>
      <w:r>
        <w:rPr>
          <w:b w:val="0"/>
        </w:rPr>
        <w:t>, obligación que subsiste tras concluida la relación.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Suprimir los datos</w:t>
      </w:r>
      <w:r>
        <w:rPr>
          <w:b w:val="0"/>
        </w:rPr>
        <w:t xml:space="preserve"> al cumplirse la relación jurídica o por instrucción del Cliente, salvo disposición legal en contrario.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Abstenerse de transferirlos</w:t>
      </w:r>
      <w:r>
        <w:rPr>
          <w:b w:val="0"/>
        </w:rPr>
        <w:t>, salvo instrucción expresa, requerimiento de autoridad o subcontratación autorizada.</w:t>
      </w:r>
    </w:p>
    <w:p>
      <w:pPr>
        <w:pStyle w:val="Heading3"/>
      </w:pPr>
      <w:r>
        <w:t>Obligaciones del Cliente</w:t>
      </w:r>
    </w:p>
    <w:p>
      <w:r>
        <w:rPr>
          <w:b w:val="0"/>
        </w:rPr>
        <w:t xml:space="preserve">El Cliente es el </w:t>
      </w:r>
      <w:r>
        <w:rPr>
          <w:b/>
        </w:rPr>
        <w:t>único obligado frente a los titulares</w:t>
      </w:r>
      <w:r>
        <w:rPr>
          <w:b w:val="0"/>
        </w:rPr>
        <w:t xml:space="preserve"> de dichos datos —en particular, frente a conductores y demás personas cuya ubicación pueda inferirse—. Le corresponde: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Emitir y poner a disposición su propio aviso de privacidad</w:t>
      </w:r>
      <w:r>
        <w:rPr>
          <w:b w:val="0"/>
        </w:rPr>
        <w:t xml:space="preserve"> ante empleados, conductores y terceros afectados, informando expresamente sobre el monitoreo, su finalidad, alcance y temporalidad.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Recabar el consentimiento</w:t>
      </w:r>
      <w:r>
        <w:rPr>
          <w:b w:val="0"/>
        </w:rPr>
        <w:t xml:space="preserve"> legalmente exigible. Tratándose de personas trabajadoras, se recomienda enfáticamente </w:t>
      </w:r>
      <w:r>
        <w:rPr>
          <w:b/>
        </w:rPr>
        <w:t>obtenerlo por escrito</w:t>
      </w:r>
      <w:r>
        <w:rPr>
          <w:b w:val="0"/>
        </w:rPr>
        <w:t xml:space="preserve"> y reflejar la medida en el contrato individual, el reglamento interior de trabajo o la política interna correspondiente.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Limitar el monitoreo a la jornada laboral</w:t>
      </w:r>
      <w:r>
        <w:rPr>
          <w:b w:val="0"/>
        </w:rPr>
        <w:t xml:space="preserve"> y a unidades de su propiedad o legítima posesión, conforme a los principios de licitud, finalidad, proporcionalidad y minimización.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Atender las solicitudes de derechos ARCO</w:t>
      </w:r>
      <w:r>
        <w:rPr>
          <w:b w:val="0"/>
        </w:rPr>
        <w:t xml:space="preserve"> de los titulares, con la asistencia técnica razonable de Geminis Labs.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Administrar responsablemente</w:t>
      </w:r>
      <w:r>
        <w:rPr>
          <w:b w:val="0"/>
        </w:rPr>
        <w:t xml:space="preserve"> los permisos concedidos a los usuarios de su organización y los mecanismos de compartición habilitados.</w:t>
      </w:r>
    </w:p>
    <w:p>
      <w:r>
        <w:rPr>
          <w:b w:val="0"/>
        </w:rPr>
        <w:t xml:space="preserve">El detalle se formaliza en el </w:t>
      </w:r>
      <w:r>
        <w:rPr>
          <w:b/>
        </w:rPr>
        <w:t>contrato de prestación de servicios y en el convenio de tratamiento de datos personales</w:t>
      </w:r>
      <w:r>
        <w:rPr>
          <w:b w:val="0"/>
        </w:rPr>
        <w:t xml:space="preserve"> suscritos entre Geminis Labs y el Cliente, que prevalecen sobre este Aviso respecto de dicho tratamiento.</w:t>
      </w:r>
    </w:p>
    <w:p>
      <w:pPr>
        <w:pStyle w:val="Heading2"/>
      </w:pPr>
      <w:r>
        <w:t>13. Cookies y tecnologías de almacenamiento</w:t>
      </w:r>
    </w:p>
    <w:p>
      <w:r>
        <w:rPr>
          <w:b w:val="0"/>
        </w:rPr>
        <w:t xml:space="preserve">Las plataformas utilizan tecnologías de almacenamiento local de carácter </w:t>
      </w:r>
      <w:r>
        <w:rPr>
          <w:b/>
        </w:rPr>
        <w:t>técnico y necesario</w:t>
      </w:r>
      <w:r>
        <w:rPr>
          <w:b w:val="0"/>
        </w:rPr>
        <w:t xml:space="preserve"> para la autenticación y el mantenimiento de la sesión, así como para conservar preferencias de personalización. </w:t>
      </w:r>
      <w:r>
        <w:rPr>
          <w:b/>
        </w:rPr>
        <w:t>No se emplean cookies analíticas, publicitarias ni de perfilamiento</w:t>
      </w:r>
      <w:r>
        <w:rPr>
          <w:b w:val="0"/>
        </w:rPr>
        <w:t>, ni herramientas de analítica web de terceros.</w:t>
      </w:r>
    </w:p>
    <w:p>
      <w:r>
        <w:rPr>
          <w:b w:val="0"/>
        </w:rPr>
        <w:t xml:space="preserve">El detalle se describe en la </w:t>
      </w:r>
      <w:r>
        <w:rPr>
          <w:b/>
        </w:rPr>
        <w:t>Política de Cookies</w:t>
      </w:r>
      <w:r>
        <w:rPr>
          <w:b w:val="0"/>
        </w:rPr>
        <w:t>, disponible en /legal/cookies, documento que forma parte integrante de este Aviso.</w:t>
      </w:r>
    </w:p>
    <w:p>
      <w:pPr>
        <w:pStyle w:val="Heading2"/>
      </w:pPr>
      <w:r>
        <w:t>14. Menores de edad</w:t>
      </w:r>
    </w:p>
    <w:p>
      <w:r>
        <w:rPr>
          <w:b w:val="0"/>
        </w:rPr>
        <w:t xml:space="preserve">Los servicios de Geminis Labs son de uso profesional y están dirigidos a personas mayores de edad con capacidad jurídica para contratar. </w:t>
      </w:r>
      <w:r>
        <w:rPr>
          <w:b/>
        </w:rPr>
        <w:t>No se recaban de forma consciente datos de menores de edad</w:t>
      </w:r>
      <w:r>
        <w:rPr>
          <w:b w:val="0"/>
        </w:rPr>
        <w:t>, salvo en el supuesto expresamente previsto en el Anexo B para las fichas de Signum creadas por quien ejerce la patria potestad o la tutela. Detectado un registro indebido, se procederá a su supresión inmediata.</w:t>
      </w:r>
    </w:p>
    <w:p>
      <w:pPr>
        <w:pStyle w:val="Heading2"/>
      </w:pPr>
      <w:r>
        <w:t>15. Modificaciones a este Aviso</w:t>
      </w:r>
    </w:p>
    <w:p>
      <w:r>
        <w:rPr>
          <w:b w:val="0"/>
        </w:rPr>
        <w:t>Geminis Labs podrá modificar el presente Aviso por nuevos requerimientos legales, necesidades de los productos, cambios en sus prácticas de privacidad o en su modelo de negocio.</w:t>
      </w:r>
    </w:p>
    <w:p>
      <w:r>
        <w:rPr>
          <w:b w:val="0"/>
        </w:rPr>
      </w:r>
      <w:r>
        <w:rPr>
          <w:b/>
        </w:rPr>
        <w:t>Medio de comunicación de los cambios</w:t>
      </w:r>
      <w:r>
        <w:rPr>
          <w:b w:val="0"/>
        </w:rPr>
        <w:t xml:space="preserve">: publicación de la versión vigente en esta misma dirección, con la fecha de última actualización en el encabezado. Cuando los cambios sean sustanciales o afecten a las finalidades del tratamiento, se comunicarán además mediante </w:t>
      </w:r>
      <w:r>
        <w:rPr>
          <w:b/>
        </w:rPr>
        <w:t>aviso destacado dentro de las plataformas y correo electrónico</w:t>
      </w:r>
      <w:r>
        <w:rPr>
          <w:b w:val="0"/>
        </w:rPr>
        <w:t xml:space="preserve"> a la dirección registrada. Tratándose de datos sensibles, </w:t>
      </w:r>
      <w:r>
        <w:rPr>
          <w:b/>
        </w:rPr>
        <w:t>se recabará nuevamente el consentimiento</w:t>
      </w:r>
      <w:r>
        <w:rPr>
          <w:b w:val="0"/>
        </w:rPr>
        <w:t>.</w:t>
      </w:r>
    </w:p>
    <w:p>
      <w:pPr>
        <w:pStyle w:val="Heading2"/>
      </w:pPr>
      <w:r>
        <w:t>16. Autoridad competente</w:t>
      </w:r>
    </w:p>
    <w:p>
      <w:r>
        <w:rPr>
          <w:b w:val="0"/>
        </w:rPr>
        <w:t xml:space="preserve">Si el titular considera que su derecho a la protección de datos personales ha sido lesionado, podrá interponer la denuncia o el procedimiento de protección de derechos que corresponda ante la </w:t>
      </w:r>
      <w:r>
        <w:rPr>
          <w:b/>
        </w:rPr>
        <w:t>Secretaría Anticorrupción y Buen Gobierno</w:t>
      </w:r>
      <w:r>
        <w:rPr>
          <w:b w:val="0"/>
        </w:rPr>
        <w:t>, autoridad que asumió las atribuciones del extinto Instituto Nacional de Transparencia, Acceso a la Información y Protección de Datos Personales (INAI).</w:t>
      </w:r>
    </w:p>
    <w:p>
      <w:r>
        <w:rPr>
          <w:b w:val="0"/>
        </w:rPr>
        <w:t xml:space="preserve">El plazo para interponer el procedimiento de protección de derechos es de </w:t>
      </w:r>
      <w:r>
        <w:rPr>
          <w:b/>
        </w:rPr>
        <w:t>15 días hábiles</w:t>
      </w:r>
      <w:r>
        <w:rPr>
          <w:b w:val="0"/>
        </w:rPr>
        <w:t xml:space="preserve"> contados a partir del día siguiente a aquel en que se comunique la respuesta, o a partir de que concluya el plazo para responder sin que Geminis Labs lo haya hecho.</w:t>
      </w:r>
    </w:p>
    <w:p>
      <w:pPr>
        <w:pStyle w:val="Heading2"/>
      </w:pPr>
      <w:r>
        <w:t>17. Anexo A — NEXUS</w:t>
      </w:r>
    </w:p>
    <w:p>
      <w:r>
        <w:rPr>
          <w:b w:val="0"/>
        </w:rPr>
        <w:t>*Monitoreo y gestión de flotas vehiculares.*</w:t>
      </w:r>
    </w:p>
    <w:p>
      <w:r>
        <w:rPr>
          <w:b w:val="0"/>
        </w:rPr>
        <w:t xml:space="preserve">NEXUS permite visualizar la ubicación de las unidades del Cliente sobre cartografía digital, consultar su histórico, definir zonas geográficas, generar alertas y elaborar reportes. Respecto de los datos de las unidades y de sus conductores, </w:t>
      </w:r>
      <w:r>
        <w:rPr>
          <w:b/>
        </w:rPr>
        <w:t>el Cliente es responsable y Geminis Labs encargado</w:t>
      </w:r>
      <w:r>
        <w:rPr>
          <w:b w:val="0"/>
        </w:rPr>
        <w:t>.</w:t>
      </w:r>
    </w:p>
    <w:p>
      <w:pPr>
        <w:pStyle w:val="Heading3"/>
      </w:pPr>
      <w:r>
        <w:t>Datos tratados por cuenta del Cliente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494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6576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Datos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Identificación de la unidad</w:t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Nombre o alias, placa, número de serie o VIN, identificador del dispositivo telemático, tipo de vehículo.</w:t>
            </w:r>
          </w:p>
        </w:tc>
      </w:tr>
      <w:tr>
        <w:tc>
          <w:tcPr>
            <w:tcW w:type="dxa" w:w="2494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Geolocalización y telemetría</w:t>
            </w:r>
          </w:p>
        </w:tc>
        <w:tc>
          <w:tcPr>
            <w:tcW w:type="dxa" w:w="6576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Latitud, longitud, velocidad, rumbo, estado de encendido, odómetro, niveles de batería, calidad de señal, fecha y hora de la comunicación.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Recorridos y eventos</w:t>
            </w:r>
          </w:p>
        </w:tc>
        <w:tc>
          <w:tcPr>
            <w:tcW w:type="dxa" w:w="6576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Viajes, puntos de recorrido, eventos y alarmas asociadas a zonas geográficas.</w:t>
            </w:r>
          </w:p>
        </w:tc>
      </w:tr>
      <w:tr>
        <w:tc>
          <w:tcPr>
            <w:tcW w:type="dxa" w:w="2494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Conductor</w:t>
            </w:r>
          </w:p>
        </w:tc>
        <w:tc>
          <w:tcPr>
            <w:tcW w:type="dxa" w:w="6576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Identificación del conductor asignado a la unidad, cuando el Cliente decide capturarla.</w:t>
            </w:r>
          </w:p>
        </w:tc>
      </w:tr>
    </w:tbl>
    <w:p>
      <w:pPr>
        <w:spacing w:after="80"/>
      </w:pPr>
    </w:p>
    <w:p>
      <w:pPr>
        <w:pStyle w:val="Heading3"/>
      </w:pPr>
      <w:r>
        <w:t>Compartición de ubicación mediante enlace temporal</w:t>
      </w:r>
    </w:p>
    <w:p>
      <w:r>
        <w:rPr>
          <w:b w:val="0"/>
        </w:rPr>
        <w:t xml:space="preserve">NEXUS permite generar un </w:t>
      </w:r>
      <w:r>
        <w:rPr>
          <w:b/>
        </w:rPr>
        <w:t>enlace temporal</w:t>
      </w:r>
      <w:r>
        <w:rPr>
          <w:b w:val="0"/>
        </w:rPr>
        <w:t xml:space="preserve"> para compartir con terceros la ubicación de una unidad. </w:t>
      </w:r>
      <w:r>
        <w:rPr>
          <w:b/>
        </w:rPr>
        <w:t>La decisión de generarlo y difundirlo corresponde en exclusiva al usuario que lo activa</w:t>
      </w:r>
      <w:r>
        <w:rPr>
          <w:b w:val="0"/>
        </w:rPr>
        <w:t>, quien asume la responsabilidad de contar con base legítima y de dirigirlo únicamente a destinatarios autorizados. Cualquier persona que disponga del enlace puede consultar la información mientras esté vigente, sin autenticarse. Geminis Labs se limita a habilitar el mecanismo y a aplicar las medidas de caducidad y revocación.</w:t>
      </w:r>
    </w:p>
    <w:p>
      <w:pPr>
        <w:pStyle w:val="Heading3"/>
      </w:pPr>
      <w:r>
        <w:t>Aplicaciones móviles</w:t>
      </w:r>
    </w:p>
    <w:p>
      <w:r>
        <w:rPr>
          <w:b w:val="0"/>
        </w:rPr>
        <w:t xml:space="preserve">Las aplicaciones de Android e iOS tratan, además, el </w:t>
      </w:r>
      <w:r>
        <w:rPr>
          <w:b/>
        </w:rPr>
        <w:t>token de notificaciones push</w:t>
      </w:r>
      <w:r>
        <w:rPr>
          <w:b w:val="0"/>
        </w:rPr>
        <w:t xml:space="preserve"> del dispositivo para entregar alertas operativas, a través de Google Firebase Cloud Messaging y, en iOS, del servicio de notificaciones de Apple. El titular puede </w:t>
      </w:r>
      <w:r>
        <w:rPr>
          <w:b/>
        </w:rPr>
        <w:t>desactivarlas en cualquier momento</w:t>
      </w:r>
      <w:r>
        <w:rPr>
          <w:b w:val="0"/>
        </w:rPr>
        <w:t xml:space="preserve"> desde los ajustes del sistema operativo, sin que ello impida el uso de la aplicación.</w:t>
      </w:r>
    </w:p>
    <w:p>
      <w:pPr>
        <w:pStyle w:val="Heading2"/>
      </w:pPr>
      <w:r>
        <w:t>18. Anexo B — Signum</w:t>
      </w:r>
    </w:p>
    <w:p>
      <w:r>
        <w:rPr>
          <w:b w:val="0"/>
        </w:rPr>
        <w:t>*Identidades accesibles mediante código QR · Datos personales sensibles.*</w:t>
      </w:r>
    </w:p>
    <w:p>
      <w:r>
        <w:rPr>
          <w:b w:val="0"/>
        </w:rPr>
      </w:r>
      <w:r>
        <w:rPr>
          <w:b/>
        </w:rPr>
        <w:t>Signum trata datos personales sensibles de salud y los publica en una página accesible sin autenticación.</w:t>
      </w:r>
      <w:r>
        <w:rPr>
          <w:b w:val="0"/>
        </w:rPr>
        <w:t xml:space="preserve"> Es la función del producto. Por su naturaleza, Signum cuenta con un juego documental propio —aviso de privacidad, términos, aviso médico y aviso de cookies— accesible desde la propia plataforma, que desarrolla lo aquí resumido.</w:t>
      </w:r>
    </w:p>
    <w:p>
      <w:r>
        <w:rPr>
          <w:b w:val="0"/>
        </w:rPr>
      </w:r>
      <w:r>
        <w:rPr>
          <w:b/>
        </w:rPr>
        <w:t>Calidad de Geminis Labs: responsable.</w:t>
      </w:r>
      <w:r>
        <w:rPr>
          <w:b w:val="0"/>
        </w:rPr>
        <w:t xml:space="preserve"> A diferencia de NEXUS, en Signum el titular contrata directamente y decide por sí mismo qué publicar.</w:t>
      </w:r>
    </w:p>
    <w:p>
      <w:pPr>
        <w:pStyle w:val="Heading3"/>
      </w:pPr>
      <w:r>
        <w:t>Datos sensibles tratados</w:t>
      </w:r>
    </w:p>
    <w:p>
      <w:r>
        <w:rPr>
          <w:b w:val="0"/>
        </w:rPr>
        <w:t xml:space="preserve">Tipo de sangre, alergias, padecimientos relevantes, medicamentos, voluntad de donación de órganos y seguro médico, además de observaciones en campo libre. </w:t>
      </w:r>
      <w:r>
        <w:rPr>
          <w:b/>
        </w:rPr>
        <w:t>Todos los campos son opcionales.</w:t>
      </w:r>
      <w:r>
        <w:rPr>
          <w:b w:val="0"/>
        </w:rPr>
        <w:t xml:space="preserve"> Se tratan igualmente nombre completo, fecha de nacimiento, dirección, ciudad y contactos de emergencia.</w:t>
      </w:r>
    </w:p>
    <w:p>
      <w:pPr>
        <w:pStyle w:val="Heading3"/>
      </w:pPr>
      <w:r>
        <w:t>Consentimiento expreso</w:t>
      </w:r>
    </w:p>
    <w:p>
      <w:pPr>
        <w:pStyle w:val="ListBullet"/>
        <w:spacing w:after="60"/>
        <w:ind w:left="425"/>
      </w:pPr>
      <w:r>
        <w:rPr>
          <w:b w:val="0"/>
        </w:rPr>
        <w:t xml:space="preserve">Se recaba </w:t>
      </w:r>
      <w:r>
        <w:rPr>
          <w:b/>
        </w:rPr>
        <w:t>al publicar la ficha</w:t>
      </w:r>
      <w:r>
        <w:rPr>
          <w:b w:val="0"/>
        </w:rPr>
        <w:t>, no al registrarse.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Se otorga mediante </w:t>
      </w:r>
      <w:r>
        <w:rPr>
          <w:b/>
        </w:rPr>
        <w:t>casilla que nunca viene marcada de antemano</w:t>
      </w:r>
      <w:r>
        <w:rPr>
          <w:b w:val="0"/>
        </w:rPr>
        <w:t>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Se acompaña de una </w:t>
      </w:r>
      <w:r>
        <w:rPr>
          <w:b/>
        </w:rPr>
        <w:t>vista previa obligatoria</w:t>
      </w:r>
      <w:r>
        <w:rPr>
          <w:b w:val="0"/>
        </w:rPr>
        <w:t xml:space="preserve"> de cómo quedará la ficha ante un desconocido.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Queda </w:t>
      </w:r>
      <w:r>
        <w:rPr>
          <w:b/>
        </w:rPr>
        <w:t>registrado con la versión exacta</w:t>
      </w:r>
      <w:r>
        <w:rPr>
          <w:b w:val="0"/>
        </w:rPr>
        <w:t xml:space="preserve"> del documento aceptado, momento y huella irreversible de la IP.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Se solicita de nuevo</w:t>
      </w:r>
      <w:r>
        <w:rPr>
          <w:b w:val="0"/>
        </w:rPr>
        <w:t xml:space="preserve"> al publicarse una versión nueva del aviso.</w:t>
      </w:r>
    </w:p>
    <w:p>
      <w:r>
        <w:rPr>
          <w:b w:val="0"/>
        </w:rPr>
        <w:t xml:space="preserve">El titular puede </w:t>
      </w:r>
      <w:r>
        <w:rPr>
          <w:b/>
        </w:rPr>
        <w:t>revocarlo en cualquier momento</w:t>
      </w:r>
      <w:r>
        <w:rPr>
          <w:b w:val="0"/>
        </w:rPr>
        <w:t xml:space="preserve"> despublicando la ficha o </w:t>
      </w:r>
      <w:r>
        <w:rPr>
          <w:b/>
        </w:rPr>
        <w:t>revocando el token</w:t>
      </w:r>
      <w:r>
        <w:rPr>
          <w:b w:val="0"/>
        </w:rPr>
        <w:t>, lo que invalida de inmediato los códigos QR ya impresos.</w:t>
      </w:r>
    </w:p>
    <w:p>
      <w:pPr>
        <w:pStyle w:val="Heading3"/>
      </w:pPr>
      <w:r>
        <w:t>Fichas de terceros y de personas menores de edad</w:t>
      </w:r>
    </w:p>
    <w:p>
      <w:r>
        <w:rPr>
          <w:b w:val="0"/>
        </w:rPr>
        <w:t xml:space="preserve">Quien crea una ficha para otra persona declara </w:t>
      </w:r>
      <w:r>
        <w:rPr>
          <w:b/>
        </w:rPr>
        <w:t>ejercer la patria potestad o la tutela, o contar con su autorización</w:t>
      </w:r>
      <w:r>
        <w:rPr>
          <w:b w:val="0"/>
        </w:rPr>
        <w:t>, y asume la obligación de informarle. Tratándose de personas menores de edad, el consentimiento debe otorgarlo quien ejerza la patria potestad o la tutela.</w:t>
      </w:r>
    </w:p>
    <w:p>
      <w:pPr>
        <w:pStyle w:val="Heading3"/>
      </w:pPr>
      <w:r>
        <w:t>Advertencias específicas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Signum no es un expediente clínico, ni un dispositivo médico, ni un servicio de emergencias</w:t>
      </w:r>
      <w:r>
        <w:rPr>
          <w:b w:val="0"/>
        </w:rPr>
        <w:t>, y no sustituye la atención médica profesional.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No aplica la normativa estadounidense HIPAA</w:t>
      </w:r>
      <w:r>
        <w:rPr>
          <w:b w:val="0"/>
        </w:rPr>
        <w:t>: Geminis Labs no es *covered entity* ni *business associate*, y tiene prohibido insinuar cumplimiento alguno de dicha normativa.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Durante la prueba cerrada el servicio se ofrece </w:t>
      </w:r>
      <w:r>
        <w:rPr>
          <w:b/>
        </w:rPr>
        <w:t>sin costo y exclusivamente a titulares ubicados en México</w:t>
      </w:r>
      <w:r>
        <w:rPr>
          <w:b w:val="0"/>
        </w:rPr>
        <w:t>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La página pública </w:t>
      </w:r>
      <w:r>
        <w:rPr>
          <w:b/>
        </w:rPr>
        <w:t>no instala cookies, no ejecuta JavaScript y no carga recursos de terceros</w:t>
      </w:r>
      <w:r>
        <w:rPr>
          <w:b w:val="0"/>
        </w:rPr>
        <w:t>: nadie observa quién consulta una ficha.</w:t>
      </w:r>
    </w:p>
    <w:p>
      <w:pPr>
        <w:pStyle w:val="Heading2"/>
      </w:pPr>
      <w:r>
        <w:t>19. Anexo C — Orion</w:t>
      </w:r>
    </w:p>
    <w:p>
      <w:r>
        <w:rPr>
          <w:b w:val="0"/>
        </w:rPr>
        <w:t>*API de localización de celdas móviles.*</w:t>
      </w:r>
    </w:p>
    <w:p>
      <w:r>
        <w:rPr>
          <w:b w:val="0"/>
        </w:rPr>
        <w:t xml:space="preserve">Orion es un </w:t>
      </w:r>
      <w:r>
        <w:rPr>
          <w:b/>
        </w:rPr>
        <w:t>servicio de infraestructura entre sistemas</w:t>
      </w:r>
      <w:r>
        <w:rPr>
          <w:b w:val="0"/>
        </w:rPr>
        <w:t>: dado un identificador de celda de red móvil (MCC, MNC, LAC, CID), devuelve las coordenadas geográficas asociadas. Se consume mediante API con credencial de acceso.</w:t>
      </w:r>
    </w:p>
    <w:p>
      <w:r>
        <w:rPr>
          <w:b w:val="0"/>
        </w:rPr>
        <w:t xml:space="preserve">Orion </w:t>
      </w:r>
      <w:r>
        <w:rPr>
          <w:b/>
        </w:rPr>
        <w:t>no recaba datos personales de personas físicas identificadas o identificables</w:t>
      </w:r>
      <w:r>
        <w:rPr>
          <w:b w:val="0"/>
        </w:rPr>
        <w:t xml:space="preserve"> como parte de su función: opera sobre identificadores de infraestructura de red, no sobre personas. Geminis Labs trata, en calidad de </w:t>
      </w:r>
      <w:r>
        <w:rPr>
          <w:b/>
        </w:rPr>
        <w:t>responsable</w:t>
      </w:r>
      <w:r>
        <w:rPr>
          <w:b w:val="0"/>
        </w:rPr>
        <w:t>, únicamente:</w:t>
      </w:r>
    </w:p>
    <w:p>
      <w:pPr>
        <w:pStyle w:val="ListBullet"/>
        <w:spacing w:after="60"/>
        <w:ind w:left="425"/>
      </w:pPr>
      <w:r>
        <w:rPr>
          <w:b w:val="0"/>
        </w:rPr>
        <w:t xml:space="preserve">Los </w:t>
      </w:r>
      <w:r>
        <w:rPr>
          <w:b/>
        </w:rPr>
        <w:t>datos de la cuenta</w:t>
      </w:r>
      <w:r>
        <w:rPr>
          <w:b w:val="0"/>
        </w:rPr>
        <w:t xml:space="preserve"> del Cliente que contrata el servicio.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Las </w:t>
      </w:r>
      <w:r>
        <w:rPr>
          <w:b/>
        </w:rPr>
        <w:t>credenciales de acceso a la API</w:t>
      </w:r>
      <w:r>
        <w:rPr>
          <w:b w:val="0"/>
        </w:rPr>
        <w:t xml:space="preserve"> y los </w:t>
      </w:r>
      <w:r>
        <w:rPr>
          <w:b/>
        </w:rPr>
        <w:t>registros de uso</w:t>
      </w:r>
      <w:r>
        <w:rPr>
          <w:b w:val="0"/>
        </w:rPr>
        <w:t xml:space="preserve"> —fecha, volumen de consultas y límites aplicados—, con fines de facturación, control de cuotas, seguridad y prevención del abuso.</w:t>
      </w:r>
    </w:p>
    <w:p>
      <w:r>
        <w:rPr>
          <w:b w:val="0"/>
        </w:rPr>
      </w:r>
      <w:r>
        <w:rPr>
          <w:b/>
        </w:rPr>
        <w:t>Advertencia</w:t>
      </w:r>
      <w:r>
        <w:rPr>
          <w:b w:val="0"/>
        </w:rPr>
        <w:t xml:space="preserve">: las consultas que el Cliente formula pueden formar parte, en sus propios sistemas, de un tratamiento de datos personales. En tal caso </w:t>
      </w:r>
      <w:r>
        <w:rPr>
          <w:b/>
        </w:rPr>
        <w:t>el Cliente es el responsable de dicho tratamiento</w:t>
      </w:r>
      <w:r>
        <w:rPr>
          <w:b w:val="0"/>
        </w:rPr>
        <w:t xml:space="preserve"> y le corresponde contar con la base legítima correspondiente.</w:t>
      </w:r>
    </w:p>
    <w:p>
      <w:pPr>
        <w:pStyle w:val="Heading2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134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36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4876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Descripción del cambio</w:t>
            </w:r>
          </w:p>
        </w:tc>
        <w:tc>
          <w:tcPr>
            <w:tcW w:type="dxa" w:w="170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Aprobado por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06/08/2026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Generado desde la fuente única de contenido legal. Fusiona lo publicado en geminislabs.com con la revisión técnica de las plataformas NEXUS, Signum y Orion.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[Pendiente de aprobación]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1F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1F3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1F3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