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4320"/>
        <w:gridCol w:w="3600"/>
      </w:tblGrid>
      <w:tr>
        <w:tc>
          <w:tcPr>
            <w:tcW w:type="dxa" w:w="2880"/>
          </w:tcPr>
          <w:p>
            <w:pPr>
              <w:jc w:val="left"/>
            </w:pPr>
          </w:p>
          <w:p>
            <w:r>
              <w:rPr>
                <w:sz w:val="28"/>
              </w:rPr>
              <w:t>LOGO POLIFUSIÓN</w:t>
            </w:r>
            <w:r>
              <w:rPr>
                <w:sz w:val="16"/>
              </w:rPr>
              <w:br/>
            </w:r>
            <w:r>
              <w:rPr>
                <w:sz w:val="20"/>
              </w:rPr>
              <w:t>Especialistas en Tuberías y Fittings de Polipropileno</w:t>
            </w:r>
          </w:p>
        </w:tc>
        <w:tc>
          <w:tcPr>
            <w:tcW w:type="dxa" w:w="2880"/>
          </w:tcPr>
          <w:p>
            <w:pPr>
              <w:jc w:val="center"/>
            </w:pPr>
          </w:p>
          <w:p>
            <w:pPr>
              <w:jc w:val="center"/>
            </w:pPr>
            <w:r>
              <w:rPr>
                <w:sz w:val="24"/>
              </w:rPr>
              <w:t>Departamento de control de Calidad</w:t>
            </w:r>
            <w:r>
              <w:rPr>
                <w:sz w:val="16"/>
              </w:rPr>
              <w:br/>
            </w:r>
          </w:p>
          <w:p>
            <w:pPr>
              <w:jc w:val="center"/>
            </w:pPr>
            <w:r>
              <w:rPr>
                <w:sz w:val="28"/>
              </w:rPr>
              <w:t>Informe de laboratorio</w:t>
            </w:r>
            <w:r>
              <w:rPr>
                <w:sz w:val="16"/>
              </w:rPr>
              <w:br/>
            </w:r>
          </w:p>
        </w:tc>
        <w:tc>
          <w:tcPr>
            <w:tcW w:type="dxa" w:w="2880"/>
          </w:tcPr>
          <w:p>
            <w:pPr>
              <w:jc w:val="right"/>
            </w:pPr>
          </w:p>
          <w:p>
            <w:pPr>
              <w:jc w:val="right"/>
            </w:pPr>
            <w:r>
              <w:rPr>
                <w:sz w:val="20"/>
              </w:rPr>
              <w:t>FORM-SERTEC-0007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En uso desde el: 28-08-2013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Página 1 de 1</w:t>
            </w:r>
          </w:p>
        </w:tc>
      </w:tr>
    </w:tbl>
    <w:p/>
    <w:p>
      <w:r>
        <w:t>{{ANALISIS_DETALLADO}}</w:t>
        <w:br/>
        <w:br/>
      </w:r>
      <w:r>
        <w:t>CORDÓN DE SOLDADURA EXTERIOR IRREGULAR</w:t>
        <w:br/>
        <w:br/>
      </w:r>
      <w:r>
        <w:t>SOLDADURA EXTERIOR IRREGULAR, INDICA SOBRE CALENTAMIENTO EXCESIVO DE TIEMPO Y TEMPERATURA.</w:t>
      </w:r>
    </w:p>
    <w:p/>
    <w:p>
      <w:pPr>
        <w:jc w:val="center"/>
      </w:pPr>
      <w:r>
        <w:rPr>
          <w:sz w:val="20"/>
        </w:rPr>
        <w:t>[FOTOGRAFÍA: CORDÓN DE SOLDADURA IRREGULAR]</w:t>
      </w:r>
    </w:p>
    <w:p/>
    <w:p>
      <w:pPr>
        <w:jc w:val="center"/>
      </w:pPr>
      <w:r>
        <w:rPr>
          <w:sz w:val="20"/>
        </w:rPr>
        <w:t>[FOTOGRAFÍA: SOBRECALENTAMIENTO]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