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olor w:val="1F5FA8"/>
          <w:sz w:val="22"/>
          <w:szCs w:val="22"/>
        </w:rPr>
        <w:t xml:space="preserve">FACULTAD DE INGENIERÍA, CIENCIAS Y ADMINISTRACIÓN</w:t>
      </w:r>
    </w:p>
    <w:p>
      <w:pPr>
        <w:pBdr>
          <w:bottom w:val="single" w:color="1F5FA8" w:sz="6" w:space="6"/>
        </w:pBdr>
        <w:spacing w:after="600"/>
        <w:jc w:val="center"/>
      </w:pPr>
    </w:p>
    <w:p>
      <w:pPr>
        <w:spacing w:after="120" w:before="1200"/>
        <w:jc w:val="center"/>
      </w:pPr>
      <w:r>
        <w:rPr>
          <w:color w:val="555555"/>
          <w:sz w:val="32"/>
          <w:szCs w:val="32"/>
        </w:rPr>
        <w:t xml:space="preserve">Informe de Práctica</w:t>
      </w:r>
    </w:p>
    <w:p>
      <w:pPr>
        <w:spacing w:after="120"/>
        <w:jc w:val="center"/>
      </w:pPr>
      <w:r>
        <w:rPr>
          <w:b/>
          <w:bCs/>
          <w:color w:val="203864"/>
          <w:sz w:val="52"/>
          <w:szCs w:val="52"/>
        </w:rPr>
        <w:t xml:space="preserve">Análisis de Accidentes de Tránsito en EE. UU. (2022)</w:t>
      </w:r>
    </w:p>
    <w:p>
      <w:pPr>
        <w:spacing w:after="600"/>
        <w:jc w:val="center"/>
      </w:pPr>
      <w:r>
        <w:rPr>
          <w:b/>
          <w:bCs/>
          <w:color w:val="1F5FA8"/>
          <w:sz w:val="36"/>
          <w:szCs w:val="36"/>
        </w:rPr>
        <w:t xml:space="preserve">con Microsoft Power BI</w:t>
      </w:r>
    </w:p>
    <w:p>
      <w:pPr>
        <w:spacing w:after="1400"/>
        <w:jc w:val="center"/>
      </w:pPr>
      <w:r>
        <w:rPr>
          <w:i/>
          <w:iCs/>
          <w:color w:val="555555"/>
          <w:sz w:val="24"/>
          <w:szCs w:val="24"/>
        </w:rPr>
        <w:t xml:space="preserve">Praxis 2 · Power Query y Diseño de Dashboard</w:t>
      </w:r>
    </w:p>
    <w:p>
      <w:pPr>
        <w:spacing w:after="60"/>
        <w:jc w:val="center"/>
      </w:pPr>
      <w:r>
        <w:rPr>
          <w:sz w:val="24"/>
          <w:szCs w:val="24"/>
        </w:rPr>
        <w:t xml:space="preserve">Estudiante: Jesús</w:t>
      </w:r>
    </w:p>
    <w:p>
      <w:pPr>
        <w:spacing w:after="60"/>
        <w:jc w:val="center"/>
      </w:pPr>
      <w:r>
        <w:rPr>
          <w:sz w:val="24"/>
          <w:szCs w:val="24"/>
        </w:rPr>
        <w:t xml:space="preserve">Fecha: 12 de julio de 2026</w:t>
      </w:r>
    </w:p>
    <w:p>
      <w:r>
        <w:br w:type="page"/>
      </w:r>
    </w:p>
    <w:p>
      <w:pPr>
        <w:pStyle w:val="Heading1"/>
        <w:spacing w:after="120" w:before="300"/>
      </w:pPr>
      <w:r>
        <w:rPr>
          <w:b/>
          <w:bCs/>
          <w:color w:val="203864"/>
          <w:sz w:val="30"/>
          <w:szCs w:val="30"/>
        </w:rPr>
        <w:t xml:space="preserve">1. Introducción y objetivos</w:t>
      </w:r>
    </w:p>
    <w:p>
      <w:pPr>
        <w:spacing w:after="120" w:line="276"/>
        <w:jc w:val="both"/>
      </w:pPr>
      <w:r>
        <w:rPr>
          <w:sz w:val="22"/>
          <w:szCs w:val="22"/>
        </w:rPr>
        <w:t xml:space="preserve">El presente informe documenta el desarrollo de la Praxis 2, cuyo propósito es construir un tablero (dashboard) analítico en Microsoft Power BI a partir de un conjunto de datos de accidentes de tránsito ocurridos en los Estados Unidos durante el año 2022. La práctica se divide en dos fases complementarias: la primera consiste en la transformación y limpieza de los datos mediante Power Query, y la segunda en el diseño visual del dashboard con indicadores clave y gráficos.</w:t>
      </w:r>
    </w:p>
    <w:p>
      <w:pPr>
        <w:spacing w:after="120" w:line="276"/>
        <w:jc w:val="both"/>
      </w:pPr>
      <w:r>
        <w:rPr>
          <w:sz w:val="22"/>
          <w:szCs w:val="22"/>
        </w:rPr>
        <w:t xml:space="preserve">Los objetivos específicos de la práctica son los siguientes:</w:t>
      </w:r>
    </w:p>
    <w:p>
      <w:pPr>
        <w:pStyle w:val="ListParagraph"/>
        <w:numPr>
          <w:ilvl w:val="0"/>
          <w:numId w:val="1"/>
        </w:numPr>
        <w:spacing w:after="60" w:line="276"/>
      </w:pPr>
      <w:r>
        <w:rPr>
          <w:sz w:val="22"/>
          <w:szCs w:val="22"/>
        </w:rPr>
        <w:t xml:space="preserve">Cargar y depurar el conjunto de datos usando el editor de Power Query.</w:t>
      </w:r>
    </w:p>
    <w:p>
      <w:pPr>
        <w:pStyle w:val="ListParagraph"/>
        <w:numPr>
          <w:ilvl w:val="0"/>
          <w:numId w:val="1"/>
        </w:numPr>
        <w:spacing w:after="60" w:line="276"/>
      </w:pPr>
      <w:r>
        <w:rPr>
          <w:sz w:val="22"/>
          <w:szCs w:val="22"/>
        </w:rPr>
        <w:t xml:space="preserve">Normalizar la columna de nombres de condado y separar campos combinados.</w:t>
      </w:r>
    </w:p>
    <w:p>
      <w:pPr>
        <w:pStyle w:val="ListParagraph"/>
        <w:numPr>
          <w:ilvl w:val="0"/>
          <w:numId w:val="1"/>
        </w:numPr>
        <w:spacing w:after="60" w:line="276"/>
      </w:pPr>
      <w:r>
        <w:rPr>
          <w:sz w:val="22"/>
          <w:szCs w:val="22"/>
        </w:rPr>
        <w:t xml:space="preserve">Crear una columna calculada de fecha a partir de los campos de año, mes y día.</w:t>
      </w:r>
    </w:p>
    <w:p>
      <w:pPr>
        <w:pStyle w:val="ListParagraph"/>
        <w:numPr>
          <w:ilvl w:val="0"/>
          <w:numId w:val="1"/>
        </w:numPr>
        <w:spacing w:after="60" w:line="276"/>
      </w:pPr>
      <w:r>
        <w:rPr>
          <w:sz w:val="22"/>
          <w:szCs w:val="22"/>
        </w:rPr>
        <w:t xml:space="preserve">Diseñar un dashboard con tres indicadores (KPI) y dos gráficos que respondan a: total de fallecimientos, total de accidentes y bajas promedio por accidente.</w:t>
      </w:r>
    </w:p>
    <w:p>
      <w:pPr>
        <w:pStyle w:val="Heading1"/>
        <w:spacing w:after="120" w:before="300"/>
      </w:pPr>
      <w:r>
        <w:rPr>
          <w:b/>
          <w:bCs/>
          <w:color w:val="203864"/>
          <w:sz w:val="30"/>
          <w:szCs w:val="30"/>
        </w:rPr>
        <w:t xml:space="preserve">2. Descripción del conjunto de datos</w:t>
      </w:r>
    </w:p>
    <w:p>
      <w:pPr>
        <w:spacing w:after="120" w:line="276"/>
        <w:jc w:val="both"/>
      </w:pPr>
      <w:r>
        <w:rPr>
          <w:sz w:val="22"/>
          <w:szCs w:val="22"/>
        </w:rPr>
        <w:t xml:space="preserve">El origen de datos es el archivo de Excel "Praxis 2 - Accidentes 2022 - Traducido Español.xlsx", que contiene una hoja denominada "Accidentes USA 2022". El conjunto está compuesto por 39.221 registros (uno por accidente) y 45 columnas, entre las que se incluyen la ubicación (estado, condado, ciudad, latitud y longitud), variables temporales (año, mes, día, hora), características de la vía, condiciones ambientales (clima e iluminación), la causa y el tipo de accidente, y el número de decesos.</w:t>
      </w:r>
    </w:p>
    <w:p>
      <w:pPr>
        <w:pStyle w:val="Heading1"/>
        <w:spacing w:after="120" w:before="300"/>
      </w:pPr>
      <w:r>
        <w:rPr>
          <w:b/>
          <w:bCs/>
          <w:color w:val="203864"/>
          <w:sz w:val="30"/>
          <w:szCs w:val="30"/>
        </w:rPr>
        <w:t xml:space="preserve">3. Parte 1 — Transformación de datos con Power Query</w:t>
      </w:r>
    </w:p>
    <w:p>
      <w:pPr>
        <w:pStyle w:val="Heading2"/>
        <w:spacing w:after="100" w:before="220"/>
      </w:pPr>
      <w:r>
        <w:rPr>
          <w:b/>
          <w:bCs/>
          <w:color w:val="1F5FA8"/>
          <w:sz w:val="24"/>
          <w:szCs w:val="24"/>
        </w:rPr>
        <w:t xml:space="preserve">3.1. Carga del conjunto de datos</w:t>
      </w:r>
    </w:p>
    <w:p>
      <w:pPr>
        <w:spacing w:after="120" w:line="276"/>
        <w:jc w:val="both"/>
      </w:pPr>
      <w:r>
        <w:rPr>
          <w:sz w:val="22"/>
          <w:szCs w:val="22"/>
        </w:rPr>
        <w:t xml:space="preserve">Desde la pestaña </w:t>
      </w:r>
      <w:r>
        <w:rPr>
          <w:b/>
          <w:bCs/>
          <w:sz w:val="22"/>
          <w:szCs w:val="22"/>
        </w:rPr>
        <w:t xml:space="preserve">Inicio</w:t>
      </w:r>
      <w:r>
        <w:rPr>
          <w:sz w:val="22"/>
          <w:szCs w:val="22"/>
        </w:rPr>
        <w:t xml:space="preserve">, se utilizó </w:t>
      </w:r>
      <w:r>
        <w:rPr>
          <w:b/>
          <w:bCs/>
          <w:sz w:val="22"/>
          <w:szCs w:val="22"/>
        </w:rPr>
        <w:t xml:space="preserve">Obtener datos → Libro de Excel</w:t>
      </w:r>
      <w:r>
        <w:rPr>
          <w:sz w:val="22"/>
          <w:szCs w:val="22"/>
        </w:rPr>
        <w:t xml:space="preserve"> para seleccionar el archivo. En el Navegador se marcó la hoja </w:t>
      </w:r>
      <w:r>
        <w:rPr>
          <w:b/>
          <w:bCs/>
          <w:sz w:val="22"/>
          <w:szCs w:val="22"/>
        </w:rPr>
        <w:t xml:space="preserve">"Accidentes USA 2022"</w:t>
      </w:r>
      <w:r>
        <w:rPr>
          <w:sz w:val="22"/>
          <w:szCs w:val="22"/>
        </w:rPr>
        <w:t xml:space="preserve"> y se optó por </w:t>
      </w:r>
      <w:r>
        <w:rPr>
          <w:b/>
          <w:bCs/>
          <w:sz w:val="22"/>
          <w:szCs w:val="22"/>
        </w:rPr>
        <w:t xml:space="preserve">Transformar datos</w:t>
      </w:r>
      <w:r>
        <w:rPr>
          <w:sz w:val="22"/>
          <w:szCs w:val="22"/>
        </w:rPr>
        <w:t xml:space="preserve"> (en lugar de "Cargar") para abrir el editor de Power Query antes de cargar el modelo.</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1. Navegador de Power BI con la hoja seleccionada y vista previa de los datos.</w:t>
      </w:r>
    </w:p>
    <w:p>
      <w:pPr>
        <w:pStyle w:val="Heading2"/>
        <w:spacing w:after="100" w:before="220"/>
      </w:pPr>
      <w:r>
        <w:rPr>
          <w:b/>
          <w:bCs/>
          <w:color w:val="1F5FA8"/>
          <w:sz w:val="24"/>
          <w:szCs w:val="24"/>
        </w:rPr>
        <w:t xml:space="preserve">3.2. Normalización de la columna "Nombre Condado"</w:t>
      </w:r>
    </w:p>
    <w:p>
      <w:pPr>
        <w:spacing w:after="120" w:line="276"/>
        <w:jc w:val="both"/>
      </w:pPr>
      <w:r>
        <w:rPr>
          <w:sz w:val="22"/>
          <w:szCs w:val="22"/>
        </w:rPr>
        <w:t xml:space="preserve">Los nombres de condado se encontraban en mayúsculas (p. ej. "PICKENS (107)"). Con la columna seleccionada, desde la pestaña </w:t>
      </w:r>
      <w:r>
        <w:rPr>
          <w:b/>
          <w:bCs/>
          <w:sz w:val="22"/>
          <w:szCs w:val="22"/>
        </w:rPr>
        <w:t xml:space="preserve">Transformar</w:t>
      </w:r>
      <w:r>
        <w:rPr>
          <w:sz w:val="22"/>
          <w:szCs w:val="22"/>
        </w:rPr>
        <w:t xml:space="preserve"> → </w:t>
      </w:r>
      <w:r>
        <w:rPr>
          <w:b/>
          <w:bCs/>
          <w:sz w:val="22"/>
          <w:szCs w:val="22"/>
        </w:rPr>
        <w:t xml:space="preserve">Formato → Poner en mayúsculas cada palabra</w:t>
      </w:r>
      <w:r>
        <w:rPr>
          <w:sz w:val="22"/>
          <w:szCs w:val="22"/>
        </w:rPr>
        <w:t xml:space="preserve">, se normalizó el texto a formato de tipo título ("Pickens (107)"), mejorando su legibilidad.</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2. Columna "Nombre Condado" tras aplicar el formato de mayúscula inicial.</w:t>
      </w:r>
    </w:p>
    <w:p>
      <w:pPr>
        <w:pStyle w:val="Heading2"/>
        <w:spacing w:after="100" w:before="220"/>
      </w:pPr>
      <w:r>
        <w:rPr>
          <w:b/>
          <w:bCs/>
          <w:color w:val="1F5FA8"/>
          <w:sz w:val="24"/>
          <w:szCs w:val="24"/>
        </w:rPr>
        <w:t xml:space="preserve">3.3. Separación de la columna "Personas;Personas en Vehículo"</w:t>
      </w:r>
    </w:p>
    <w:p>
      <w:pPr>
        <w:spacing w:after="120" w:line="276"/>
        <w:jc w:val="both"/>
      </w:pPr>
      <w:r>
        <w:rPr>
          <w:sz w:val="22"/>
          <w:szCs w:val="22"/>
        </w:rPr>
        <w:t xml:space="preserve">Esta columna contenía dos valores unidos por un punto y coma (por ejemplo "3;3"). Para separarlos se utilizó, desde </w:t>
      </w:r>
      <w:r>
        <w:rPr>
          <w:b/>
          <w:bCs/>
          <w:sz w:val="22"/>
          <w:szCs w:val="22"/>
        </w:rPr>
        <w:t xml:space="preserve">Agregar columna → Extraer → Texto después del delimitador</w:t>
      </w:r>
      <w:r>
        <w:rPr>
          <w:sz w:val="22"/>
          <w:szCs w:val="22"/>
        </w:rPr>
        <w:t xml:space="preserve"> (delimitador ";"), generando una nueva columna renombrada como </w:t>
      </w:r>
      <w:r>
        <w:rPr>
          <w:b/>
          <w:bCs/>
          <w:sz w:val="22"/>
          <w:szCs w:val="22"/>
        </w:rPr>
        <w:t xml:space="preserve">"Personas en vehículo"</w:t>
      </w:r>
      <w:r>
        <w:rPr>
          <w:sz w:val="22"/>
          <w:szCs w:val="22"/>
        </w:rPr>
        <w:t xml:space="preserve">. Posteriormente, sobre la columna original se aplicó </w:t>
      </w:r>
      <w:r>
        <w:rPr>
          <w:b/>
          <w:bCs/>
          <w:sz w:val="22"/>
          <w:szCs w:val="22"/>
        </w:rPr>
        <w:t xml:space="preserve">Transformar → Extraer → Texto antes del delimitador</w:t>
      </w:r>
      <w:r>
        <w:rPr>
          <w:sz w:val="22"/>
          <w:szCs w:val="22"/>
        </w:rPr>
        <w:t xml:space="preserve">, dejando únicamente el primer valor, y se renombró como </w:t>
      </w:r>
      <w:r>
        <w:rPr>
          <w:b/>
          <w:bCs/>
          <w:sz w:val="22"/>
          <w:szCs w:val="22"/>
        </w:rPr>
        <w:t xml:space="preserve">"Personas"</w:t>
      </w:r>
      <w:r>
        <w:rPr>
          <w:sz w:val="22"/>
          <w:szCs w:val="22"/>
        </w:rPr>
        <w:t xml:space="preserve">.</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3. Extracción del texto posterior al delimitador → columna "Personas en vehículo".</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4. Resultado final: las columnas "Personas" y "Personas en vehículo" separadas.</w:t>
      </w:r>
    </w:p>
    <w:p>
      <w:pPr>
        <w:pStyle w:val="Heading2"/>
        <w:spacing w:after="100" w:before="220"/>
      </w:pPr>
      <w:r>
        <w:rPr>
          <w:b/>
          <w:bCs/>
          <w:color w:val="1F5FA8"/>
          <w:sz w:val="24"/>
          <w:szCs w:val="24"/>
        </w:rPr>
        <w:t xml:space="preserve">3.4. Creación de la columna calculada "Fecha"</w:t>
      </w:r>
    </w:p>
    <w:p>
      <w:pPr>
        <w:spacing w:after="120" w:line="276"/>
        <w:jc w:val="both"/>
      </w:pPr>
      <w:r>
        <w:rPr>
          <w:sz w:val="22"/>
          <w:szCs w:val="22"/>
        </w:rPr>
        <w:t xml:space="preserve">Mediante </w:t>
      </w:r>
      <w:r>
        <w:rPr>
          <w:b/>
          <w:bCs/>
          <w:sz w:val="22"/>
          <w:szCs w:val="22"/>
        </w:rPr>
        <w:t xml:space="preserve">Agregar columna → Columna personalizada</w:t>
      </w:r>
      <w:r>
        <w:rPr>
          <w:sz w:val="22"/>
          <w:szCs w:val="22"/>
        </w:rPr>
        <w:t xml:space="preserve">, se creó el campo </w:t>
      </w:r>
      <w:r>
        <w:rPr>
          <w:b/>
          <w:bCs/>
          <w:sz w:val="22"/>
          <w:szCs w:val="22"/>
        </w:rPr>
        <w:t xml:space="preserve">Fecha</w:t>
      </w:r>
      <w:r>
        <w:rPr>
          <w:sz w:val="22"/>
          <w:szCs w:val="22"/>
        </w:rPr>
        <w:t xml:space="preserve"> con la fórmula </w:t>
      </w:r>
      <w:r>
        <w:rPr>
          <w:rFonts w:ascii="Consolas" w:cs="Consolas" w:eastAsia="Consolas" w:hAnsi="Consolas"/>
          <w:b/>
          <w:bCs/>
          <w:sz w:val="22"/>
          <w:szCs w:val="22"/>
        </w:rPr>
        <w:t xml:space="preserve">= #date([Año],[Mes],[Dia])</w:t>
      </w:r>
      <w:r>
        <w:rPr>
          <w:sz w:val="22"/>
          <w:szCs w:val="22"/>
        </w:rPr>
        <w:t xml:space="preserve">. A continuación se asignó el tipo de dato </w:t>
      </w:r>
      <w:r>
        <w:rPr>
          <w:b/>
          <w:bCs/>
          <w:sz w:val="22"/>
          <w:szCs w:val="22"/>
        </w:rPr>
        <w:t xml:space="preserve">Fecha</w:t>
      </w:r>
      <w:r>
        <w:rPr>
          <w:sz w:val="22"/>
          <w:szCs w:val="22"/>
        </w:rPr>
        <w:t xml:space="preserve"> a la nueva columna, consolidando en un único campo la información temporal dispersa en tres columnas.</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5. Columna "Fecha" generada y con tipo de dato de fecha.</w:t>
      </w:r>
    </w:p>
    <w:p>
      <w:pPr>
        <w:pStyle w:val="Heading2"/>
        <w:spacing w:after="100" w:before="220"/>
      </w:pPr>
      <w:r>
        <w:rPr>
          <w:b/>
          <w:bCs/>
          <w:color w:val="1F5FA8"/>
          <w:sz w:val="24"/>
          <w:szCs w:val="24"/>
        </w:rPr>
        <w:t xml:space="preserve">3.5. Aplicación de los cambios</w:t>
      </w:r>
    </w:p>
    <w:p>
      <w:pPr>
        <w:spacing w:after="120" w:line="276"/>
        <w:jc w:val="both"/>
      </w:pPr>
      <w:r>
        <w:rPr>
          <w:sz w:val="22"/>
          <w:szCs w:val="22"/>
        </w:rPr>
        <w:t xml:space="preserve">Finalmente, desde </w:t>
      </w:r>
      <w:r>
        <w:rPr>
          <w:b/>
          <w:bCs/>
          <w:sz w:val="22"/>
          <w:szCs w:val="22"/>
        </w:rPr>
        <w:t xml:space="preserve">Inicio → Cerrar y aplicar</w:t>
      </w:r>
      <w:r>
        <w:rPr>
          <w:sz w:val="22"/>
          <w:szCs w:val="22"/>
        </w:rPr>
        <w:t xml:space="preserve">, se cargó la consulta al modelo de datos. El panel </w:t>
      </w:r>
      <w:r>
        <w:rPr>
          <w:b/>
          <w:bCs/>
          <w:sz w:val="22"/>
          <w:szCs w:val="22"/>
        </w:rPr>
        <w:t xml:space="preserve">Datos</w:t>
      </w:r>
      <w:r>
        <w:rPr>
          <w:sz w:val="22"/>
          <w:szCs w:val="22"/>
        </w:rPr>
        <w:t xml:space="preserve"> confirma la tabla "Accidentes USA 2022" ya disponible, incluyendo el nuevo campo "Fecha", lista para su visualización.</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6. Modelo de datos cargado en Power BI tras aplicar las transformaciones.</w:t>
      </w:r>
    </w:p>
    <w:p>
      <w:r>
        <w:br w:type="page"/>
      </w:r>
    </w:p>
    <w:p>
      <w:pPr>
        <w:pStyle w:val="Heading1"/>
        <w:spacing w:after="120" w:before="300"/>
      </w:pPr>
      <w:r>
        <w:rPr>
          <w:b/>
          <w:bCs/>
          <w:color w:val="203864"/>
          <w:sz w:val="30"/>
          <w:szCs w:val="30"/>
        </w:rPr>
        <w:t xml:space="preserve">4. Parte 2 — Diseño del Dashboard</w:t>
      </w:r>
    </w:p>
    <w:p>
      <w:pPr>
        <w:pStyle w:val="Heading2"/>
        <w:spacing w:after="100" w:before="220"/>
      </w:pPr>
      <w:r>
        <w:rPr>
          <w:b/>
          <w:bCs/>
          <w:color w:val="1F5FA8"/>
          <w:sz w:val="24"/>
          <w:szCs w:val="24"/>
        </w:rPr>
        <w:t xml:space="preserve">4.1. Título del informe</w:t>
      </w:r>
    </w:p>
    <w:p>
      <w:pPr>
        <w:spacing w:after="120" w:line="276"/>
        <w:jc w:val="both"/>
      </w:pPr>
      <w:r>
        <w:rPr>
          <w:sz w:val="22"/>
          <w:szCs w:val="22"/>
        </w:rPr>
        <w:t xml:space="preserve">Desde la pestaña </w:t>
      </w:r>
      <w:r>
        <w:rPr>
          <w:b/>
          <w:bCs/>
          <w:sz w:val="22"/>
          <w:szCs w:val="22"/>
        </w:rPr>
        <w:t xml:space="preserve">Insertar → Cuadro de texto</w:t>
      </w:r>
      <w:r>
        <w:rPr>
          <w:sz w:val="22"/>
          <w:szCs w:val="22"/>
        </w:rPr>
        <w:t xml:space="preserve">, se añadió el título </w:t>
      </w:r>
      <w:r>
        <w:rPr>
          <w:b/>
          <w:bCs/>
          <w:sz w:val="22"/>
          <w:szCs w:val="22"/>
        </w:rPr>
        <w:t xml:space="preserve">"Reporte de Accidentes de Transito 2022"</w:t>
      </w:r>
      <w:r>
        <w:rPr>
          <w:sz w:val="22"/>
          <w:szCs w:val="22"/>
        </w:rPr>
        <w:t xml:space="preserve">, con formato en negrita, tamaño 32 y alineación centrada, ubicado en la parte superior del lienzo.</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7. Título del dashboard insertado en el lienzo.</w:t>
      </w:r>
    </w:p>
    <w:p>
      <w:pPr>
        <w:pStyle w:val="Heading2"/>
        <w:spacing w:after="100" w:before="220"/>
      </w:pPr>
      <w:r>
        <w:rPr>
          <w:b/>
          <w:bCs/>
          <w:color w:val="1F5FA8"/>
          <w:sz w:val="24"/>
          <w:szCs w:val="24"/>
        </w:rPr>
        <w:t xml:space="preserve">4.2. Indicadores clave (tarjetas KPI)</w:t>
      </w:r>
    </w:p>
    <w:p>
      <w:pPr>
        <w:spacing w:after="120" w:line="276"/>
        <w:jc w:val="both"/>
      </w:pPr>
      <w:r>
        <w:rPr>
          <w:sz w:val="22"/>
          <w:szCs w:val="22"/>
        </w:rPr>
        <w:t xml:space="preserve">Se incorporaron tres tarjetas para responder a las preguntas planteadas en la práctica. Cada una utiliza el campo "Decesos" con una agregación distinta:</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4200"/>
        <w:gridCol w:w="2600"/>
        <w:gridCol w:w="2560"/>
      </w:tblGrid>
      <w:tr>
        <w:trPr>
          <w:tblHeader/>
        </w:trPr>
        <w:tc>
          <w:tcPr>
            <w:tcW w:type="dxa" w:w="4200"/>
            <w:shd w:fill="1F5FA8" w:color="auto" w:val="clear"/>
            <w:tcMar>
              <w:top w:type="dxa" w:w="40"/>
              <w:left w:type="dxa" w:w="100"/>
              <w:bottom w:type="dxa" w:w="40"/>
              <w:right w:type="dxa" w:w="100"/>
            </w:tcMar>
          </w:tcPr>
          <w:p>
            <w:pPr>
              <w:jc w:val="left"/>
            </w:pPr>
            <w:r>
              <w:rPr>
                <w:b/>
                <w:bCs/>
                <w:color w:val="FFFFFF"/>
                <w:sz w:val="20"/>
                <w:szCs w:val="20"/>
              </w:rPr>
              <w:t xml:space="preserve">Indicador</w:t>
            </w:r>
          </w:p>
        </w:tc>
        <w:tc>
          <w:tcPr>
            <w:tcW w:type="dxa" w:w="2600"/>
            <w:shd w:fill="1F5FA8" w:color="auto" w:val="clear"/>
            <w:tcMar>
              <w:top w:type="dxa" w:w="40"/>
              <w:left w:type="dxa" w:w="100"/>
              <w:bottom w:type="dxa" w:w="40"/>
              <w:right w:type="dxa" w:w="100"/>
            </w:tcMar>
          </w:tcPr>
          <w:p>
            <w:pPr>
              <w:jc w:val="left"/>
            </w:pPr>
            <w:r>
              <w:rPr>
                <w:b/>
                <w:bCs/>
                <w:color w:val="FFFFFF"/>
                <w:sz w:val="20"/>
                <w:szCs w:val="20"/>
              </w:rPr>
              <w:t xml:space="preserve">Medida</w:t>
            </w:r>
          </w:p>
        </w:tc>
        <w:tc>
          <w:tcPr>
            <w:tcW w:type="dxa" w:w="2560"/>
            <w:shd w:fill="1F5FA8" w:color="auto" w:val="clear"/>
            <w:tcMar>
              <w:top w:type="dxa" w:w="40"/>
              <w:left w:type="dxa" w:w="100"/>
              <w:bottom w:type="dxa" w:w="40"/>
              <w:right w:type="dxa" w:w="100"/>
            </w:tcMar>
          </w:tcPr>
          <w:p>
            <w:pPr>
              <w:jc w:val="right"/>
            </w:pPr>
            <w:r>
              <w:rPr>
                <w:b/>
                <w:bCs/>
                <w:color w:val="FFFFFF"/>
                <w:sz w:val="20"/>
                <w:szCs w:val="20"/>
              </w:rPr>
              <w:t xml:space="preserve">Valor</w:t>
            </w:r>
          </w:p>
        </w:tc>
      </w:tr>
      <w:tr>
        <w:tc>
          <w:tcPr>
            <w:tcW w:type="dxa" w:w="4200"/>
            <w:tcMar>
              <w:top w:type="dxa" w:w="40"/>
              <w:left w:type="dxa" w:w="100"/>
              <w:bottom w:type="dxa" w:w="40"/>
              <w:right w:type="dxa" w:w="100"/>
            </w:tcMar>
          </w:tcPr>
          <w:p>
            <w:pPr>
              <w:jc w:val="left"/>
            </w:pPr>
            <w:r>
              <w:rPr>
                <w:b w:val="false"/>
                <w:bCs w:val="false"/>
                <w:color w:val="000000"/>
                <w:sz w:val="20"/>
                <w:szCs w:val="20"/>
              </w:rPr>
              <w:t xml:space="preserve">Fallecimientos totales en carretera</w:t>
            </w:r>
          </w:p>
        </w:tc>
        <w:tc>
          <w:tcPr>
            <w:tcW w:type="dxa" w:w="2600"/>
            <w:tcMar>
              <w:top w:type="dxa" w:w="40"/>
              <w:left w:type="dxa" w:w="100"/>
              <w:bottom w:type="dxa" w:w="40"/>
              <w:right w:type="dxa" w:w="100"/>
            </w:tcMar>
          </w:tcPr>
          <w:p>
            <w:pPr>
              <w:jc w:val="left"/>
            </w:pPr>
            <w:r>
              <w:rPr>
                <w:b w:val="false"/>
                <w:bCs w:val="false"/>
                <w:color w:val="000000"/>
                <w:sz w:val="20"/>
                <w:szCs w:val="20"/>
              </w:rPr>
              <w:t xml:space="preserve">Suma de Decesos</w:t>
            </w:r>
          </w:p>
        </w:tc>
        <w:tc>
          <w:tcPr>
            <w:tcW w:type="dxa" w:w="2560"/>
            <w:tcMar>
              <w:top w:type="dxa" w:w="40"/>
              <w:left w:type="dxa" w:w="100"/>
              <w:bottom w:type="dxa" w:w="40"/>
              <w:right w:type="dxa" w:w="100"/>
            </w:tcMar>
          </w:tcPr>
          <w:p>
            <w:pPr>
              <w:jc w:val="right"/>
            </w:pPr>
            <w:r>
              <w:rPr>
                <w:b/>
                <w:bCs/>
                <w:color w:val="000000"/>
                <w:sz w:val="20"/>
                <w:szCs w:val="20"/>
              </w:rPr>
              <w:t xml:space="preserve">42.514</w:t>
            </w:r>
          </w:p>
        </w:tc>
      </w:tr>
      <w:tr>
        <w:tc>
          <w:tcPr>
            <w:tcW w:type="dxa" w:w="4200"/>
            <w:shd w:fill="F2F5FA" w:color="auto" w:val="clear"/>
            <w:tcMar>
              <w:top w:type="dxa" w:w="40"/>
              <w:left w:type="dxa" w:w="100"/>
              <w:bottom w:type="dxa" w:w="40"/>
              <w:right w:type="dxa" w:w="100"/>
            </w:tcMar>
          </w:tcPr>
          <w:p>
            <w:pPr>
              <w:jc w:val="left"/>
            </w:pPr>
            <w:r>
              <w:rPr>
                <w:b w:val="false"/>
                <w:bCs w:val="false"/>
                <w:color w:val="000000"/>
                <w:sz w:val="20"/>
                <w:szCs w:val="20"/>
              </w:rPr>
              <w:t xml:space="preserve">Total de accidentes viales</w:t>
            </w:r>
          </w:p>
        </w:tc>
        <w:tc>
          <w:tcPr>
            <w:tcW w:type="dxa" w:w="2600"/>
            <w:shd w:fill="F2F5FA" w:color="auto" w:val="clear"/>
            <w:tcMar>
              <w:top w:type="dxa" w:w="40"/>
              <w:left w:type="dxa" w:w="100"/>
              <w:bottom w:type="dxa" w:w="40"/>
              <w:right w:type="dxa" w:w="100"/>
            </w:tcMar>
          </w:tcPr>
          <w:p>
            <w:pPr>
              <w:jc w:val="left"/>
            </w:pPr>
            <w:r>
              <w:rPr>
                <w:b w:val="false"/>
                <w:bCs w:val="false"/>
                <w:color w:val="000000"/>
                <w:sz w:val="20"/>
                <w:szCs w:val="20"/>
              </w:rPr>
              <w:t xml:space="preserve">Recuento de Decesos</w:t>
            </w:r>
          </w:p>
        </w:tc>
        <w:tc>
          <w:tcPr>
            <w:tcW w:type="dxa" w:w="2560"/>
            <w:shd w:fill="F2F5FA" w:color="auto" w:val="clear"/>
            <w:tcMar>
              <w:top w:type="dxa" w:w="40"/>
              <w:left w:type="dxa" w:w="100"/>
              <w:bottom w:type="dxa" w:w="40"/>
              <w:right w:type="dxa" w:w="100"/>
            </w:tcMar>
          </w:tcPr>
          <w:p>
            <w:pPr>
              <w:jc w:val="right"/>
            </w:pPr>
            <w:r>
              <w:rPr>
                <w:b/>
                <w:bCs/>
                <w:color w:val="000000"/>
                <w:sz w:val="20"/>
                <w:szCs w:val="20"/>
              </w:rPr>
              <w:t xml:space="preserve">39.221</w:t>
            </w:r>
          </w:p>
        </w:tc>
      </w:tr>
      <w:tr>
        <w:tc>
          <w:tcPr>
            <w:tcW w:type="dxa" w:w="4200"/>
            <w:tcMar>
              <w:top w:type="dxa" w:w="40"/>
              <w:left w:type="dxa" w:w="100"/>
              <w:bottom w:type="dxa" w:w="40"/>
              <w:right w:type="dxa" w:w="100"/>
            </w:tcMar>
          </w:tcPr>
          <w:p>
            <w:pPr>
              <w:jc w:val="left"/>
            </w:pPr>
            <w:r>
              <w:rPr>
                <w:b w:val="false"/>
                <w:bCs w:val="false"/>
                <w:color w:val="000000"/>
                <w:sz w:val="20"/>
                <w:szCs w:val="20"/>
              </w:rPr>
              <w:t xml:space="preserve">Bajas promedio por accidente</w:t>
            </w:r>
          </w:p>
        </w:tc>
        <w:tc>
          <w:tcPr>
            <w:tcW w:type="dxa" w:w="2600"/>
            <w:tcMar>
              <w:top w:type="dxa" w:w="40"/>
              <w:left w:type="dxa" w:w="100"/>
              <w:bottom w:type="dxa" w:w="40"/>
              <w:right w:type="dxa" w:w="100"/>
            </w:tcMar>
          </w:tcPr>
          <w:p>
            <w:pPr>
              <w:jc w:val="left"/>
            </w:pPr>
            <w:r>
              <w:rPr>
                <w:b w:val="false"/>
                <w:bCs w:val="false"/>
                <w:color w:val="000000"/>
                <w:sz w:val="20"/>
                <w:szCs w:val="20"/>
              </w:rPr>
              <w:t xml:space="preserve">Promedio de Decesos</w:t>
            </w:r>
          </w:p>
        </w:tc>
        <w:tc>
          <w:tcPr>
            <w:tcW w:type="dxa" w:w="2560"/>
            <w:tcMar>
              <w:top w:type="dxa" w:w="40"/>
              <w:left w:type="dxa" w:w="100"/>
              <w:bottom w:type="dxa" w:w="40"/>
              <w:right w:type="dxa" w:w="100"/>
            </w:tcMar>
          </w:tcPr>
          <w:p>
            <w:pPr>
              <w:jc w:val="right"/>
            </w:pPr>
            <w:r>
              <w:rPr>
                <w:b/>
                <w:bCs/>
                <w:color w:val="000000"/>
                <w:sz w:val="20"/>
                <w:szCs w:val="20"/>
              </w:rPr>
              <w:t xml:space="preserve">1,08</w:t>
            </w:r>
          </w:p>
        </w:tc>
      </w:tr>
    </w:tbl>
    <w:p>
      <w:pPr>
        <w:spacing w:after="120"/>
      </w:pP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8. Tarjetas con los tres indicadores clave del reporte.</w:t>
      </w:r>
    </w:p>
    <w:p>
      <w:pPr>
        <w:pStyle w:val="Heading2"/>
        <w:spacing w:after="100" w:before="220"/>
      </w:pPr>
      <w:r>
        <w:rPr>
          <w:b/>
          <w:bCs/>
          <w:color w:val="1F5FA8"/>
          <w:sz w:val="24"/>
          <w:szCs w:val="24"/>
        </w:rPr>
        <w:t xml:space="preserve">4.3. Gráfico de área — Decesos por mes</w:t>
      </w:r>
    </w:p>
    <w:p>
      <w:pPr>
        <w:spacing w:after="120" w:line="276"/>
        <w:jc w:val="both"/>
      </w:pPr>
      <w:r>
        <w:rPr>
          <w:sz w:val="22"/>
          <w:szCs w:val="22"/>
        </w:rPr>
        <w:t xml:space="preserve">Para observar la evolución temporal se creó un </w:t>
      </w:r>
      <w:r>
        <w:rPr>
          <w:b/>
          <w:bCs/>
          <w:sz w:val="22"/>
          <w:szCs w:val="22"/>
        </w:rPr>
        <w:t xml:space="preserve">gráfico de áreas</w:t>
      </w:r>
      <w:r>
        <w:rPr>
          <w:sz w:val="22"/>
          <w:szCs w:val="22"/>
        </w:rPr>
        <w:t xml:space="preserve"> con el campo </w:t>
      </w:r>
      <w:r>
        <w:rPr>
          <w:b/>
          <w:bCs/>
          <w:sz w:val="22"/>
          <w:szCs w:val="22"/>
        </w:rPr>
        <w:t xml:space="preserve">Mes</w:t>
      </w:r>
      <w:r>
        <w:rPr>
          <w:sz w:val="22"/>
          <w:szCs w:val="22"/>
        </w:rPr>
        <w:t xml:space="preserve"> en el eje X y la </w:t>
      </w:r>
      <w:r>
        <w:rPr>
          <w:b/>
          <w:bCs/>
          <w:sz w:val="22"/>
          <w:szCs w:val="22"/>
        </w:rPr>
        <w:t xml:space="preserve">Suma de Decesos</w:t>
      </w:r>
      <w:r>
        <w:rPr>
          <w:sz w:val="22"/>
          <w:szCs w:val="22"/>
        </w:rPr>
        <w:t xml:space="preserve"> en el eje Y. La curva evidencia la variación de la mortalidad a lo largo del año.</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9. Gráfico de área de decesos por mes.</w:t>
      </w:r>
    </w:p>
    <w:p>
      <w:pPr>
        <w:pStyle w:val="Heading2"/>
        <w:spacing w:after="100" w:before="220"/>
      </w:pPr>
      <w:r>
        <w:rPr>
          <w:b/>
          <w:bCs/>
          <w:color w:val="1F5FA8"/>
          <w:sz w:val="24"/>
          <w:szCs w:val="24"/>
        </w:rPr>
        <w:t xml:space="preserve">4.4. Gráfico de columnas — Top 10 estados</w:t>
      </w:r>
    </w:p>
    <w:p>
      <w:pPr>
        <w:spacing w:after="120" w:line="276"/>
        <w:jc w:val="both"/>
      </w:pPr>
      <w:r>
        <w:rPr>
          <w:sz w:val="22"/>
          <w:szCs w:val="22"/>
        </w:rPr>
        <w:t xml:space="preserve">Se agregó un </w:t>
      </w:r>
      <w:r>
        <w:rPr>
          <w:b/>
          <w:bCs/>
          <w:sz w:val="22"/>
          <w:szCs w:val="22"/>
        </w:rPr>
        <w:t xml:space="preserve">gráfico de columnas agrupadas</w:t>
      </w:r>
      <w:r>
        <w:rPr>
          <w:sz w:val="22"/>
          <w:szCs w:val="22"/>
        </w:rPr>
        <w:t xml:space="preserve"> con </w:t>
      </w:r>
      <w:r>
        <w:rPr>
          <w:b/>
          <w:bCs/>
          <w:sz w:val="22"/>
          <w:szCs w:val="22"/>
        </w:rPr>
        <w:t xml:space="preserve">Nombre de Estado</w:t>
      </w:r>
      <w:r>
        <w:rPr>
          <w:sz w:val="22"/>
          <w:szCs w:val="22"/>
        </w:rPr>
        <w:t xml:space="preserve"> en el eje X y </w:t>
      </w:r>
      <w:r>
        <w:rPr>
          <w:b/>
          <w:bCs/>
          <w:sz w:val="22"/>
          <w:szCs w:val="22"/>
        </w:rPr>
        <w:t xml:space="preserve">Suma de Decesos</w:t>
      </w:r>
      <w:r>
        <w:rPr>
          <w:sz w:val="22"/>
          <w:szCs w:val="22"/>
        </w:rPr>
        <w:t xml:space="preserve"> en el eje Y. Para enfocar el análisis en los estados más críticos se aplicó un filtro </w:t>
      </w:r>
      <w:r>
        <w:rPr>
          <w:b/>
          <w:bCs/>
          <w:sz w:val="22"/>
          <w:szCs w:val="22"/>
        </w:rPr>
        <w:t xml:space="preserve">N superior (Top N) = 10</w:t>
      </w:r>
      <w:r>
        <w:rPr>
          <w:sz w:val="22"/>
          <w:szCs w:val="22"/>
        </w:rPr>
        <w:t xml:space="preserve">, ordenado por la suma de decesos.</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10. Configuración del filtro Top N y gráfico de los 10 estados con más decesos.</w:t>
      </w:r>
    </w:p>
    <w:p>
      <w:pPr>
        <w:pStyle w:val="Heading2"/>
        <w:spacing w:after="100" w:before="220"/>
      </w:pPr>
      <w:r>
        <w:rPr>
          <w:b/>
          <w:bCs/>
          <w:color w:val="1F5FA8"/>
          <w:sz w:val="24"/>
          <w:szCs w:val="24"/>
        </w:rPr>
        <w:t xml:space="preserve">4.5. Dashboard final</w:t>
      </w:r>
    </w:p>
    <w:p>
      <w:pPr>
        <w:spacing w:after="120" w:line="276"/>
        <w:jc w:val="both"/>
      </w:pPr>
      <w:r>
        <w:rPr>
          <w:sz w:val="22"/>
          <w:szCs w:val="22"/>
        </w:rPr>
        <w:t xml:space="preserve">El resultado integra el título, los tres indicadores y los dos gráficos en una única página, ofreciendo una visión consolidada del panorama de accidentes de tránsito de 2022.</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Figura 11. Dashboard final del reporte de accidentes de tránsito 2022.</w:t>
      </w:r>
    </w:p>
    <w:p>
      <w:r>
        <w:br w:type="page"/>
      </w:r>
    </w:p>
    <w:p>
      <w:pPr>
        <w:pStyle w:val="Heading1"/>
        <w:spacing w:after="120" w:before="300"/>
      </w:pPr>
      <w:r>
        <w:rPr>
          <w:b/>
          <w:bCs/>
          <w:color w:val="203864"/>
          <w:sz w:val="30"/>
          <w:szCs w:val="30"/>
        </w:rPr>
        <w:t xml:space="preserve">5. Análisis de resultados</w:t>
      </w:r>
    </w:p>
    <w:p>
      <w:pPr>
        <w:pStyle w:val="Heading2"/>
        <w:spacing w:after="100" w:before="220"/>
      </w:pPr>
      <w:r>
        <w:rPr>
          <w:b/>
          <w:bCs/>
          <w:color w:val="1F5FA8"/>
          <w:sz w:val="24"/>
          <w:szCs w:val="24"/>
        </w:rPr>
        <w:t xml:space="preserve">5.1. Indicadores generales</w:t>
      </w:r>
    </w:p>
    <w:p>
      <w:pPr>
        <w:spacing w:after="120" w:line="276"/>
        <w:jc w:val="both"/>
      </w:pPr>
      <w:r>
        <w:rPr>
          <w:sz w:val="22"/>
          <w:szCs w:val="22"/>
        </w:rPr>
        <w:t xml:space="preserve">Durante 2022 se registraron 39.221 accidentes viales que dejaron un total de 42.514 fallecimientos, lo que arroja un promedio de 1,08 bajas por accidente. Este promedio, muy cercano a la unidad, indica que la gran mayoría de los siniestros mortales involucraron a una sola víctima fatal, mientras que un número reducido de accidentes de alta severidad concentró múltiples decesos.</w:t>
      </w:r>
    </w:p>
    <w:p>
      <w:pPr>
        <w:pStyle w:val="Heading2"/>
        <w:spacing w:after="100" w:before="220"/>
      </w:pPr>
      <w:r>
        <w:rPr>
          <w:b/>
          <w:bCs/>
          <w:color w:val="1F5FA8"/>
          <w:sz w:val="24"/>
          <w:szCs w:val="24"/>
        </w:rPr>
        <w:t xml:space="preserve">5.2. Distribución mensual</w:t>
      </w:r>
    </w:p>
    <w:p>
      <w:pPr>
        <w:spacing w:after="120" w:line="276"/>
        <w:jc w:val="both"/>
      </w:pPr>
      <w:r>
        <w:rPr>
          <w:sz w:val="22"/>
          <w:szCs w:val="22"/>
        </w:rPr>
        <w:t xml:space="preserve">La mortalidad no se distribuye de manera uniforme a lo largo del año. Los meses de la segunda mitad —de julio a octubre— concentran las cifras más altas, con un máximo en octubre (3.973 decesos), mientras que febrero registra el valor más bajo (2.987). Este patrón sugiere una mayor siniestralidad en los meses de mayor actividad y desplazamiento vehicular.</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4680"/>
        <w:gridCol w:w="4680"/>
      </w:tblGrid>
      <w:tr>
        <w:trPr>
          <w:tblHeader/>
        </w:trPr>
        <w:tc>
          <w:tcPr>
            <w:tcW w:type="dxa" w:w="4680"/>
            <w:shd w:fill="1F5FA8" w:color="auto" w:val="clear"/>
            <w:tcMar>
              <w:top w:type="dxa" w:w="40"/>
              <w:left w:type="dxa" w:w="100"/>
              <w:bottom w:type="dxa" w:w="40"/>
              <w:right w:type="dxa" w:w="100"/>
            </w:tcMar>
          </w:tcPr>
          <w:p>
            <w:pPr>
              <w:jc w:val="left"/>
            </w:pPr>
            <w:r>
              <w:rPr>
                <w:b/>
                <w:bCs/>
                <w:color w:val="FFFFFF"/>
                <w:sz w:val="20"/>
                <w:szCs w:val="20"/>
              </w:rPr>
              <w:t xml:space="preserve">Mes</w:t>
            </w:r>
          </w:p>
        </w:tc>
        <w:tc>
          <w:tcPr>
            <w:tcW w:type="dxa" w:w="4680"/>
            <w:shd w:fill="1F5FA8" w:color="auto" w:val="clear"/>
            <w:tcMar>
              <w:top w:type="dxa" w:w="40"/>
              <w:left w:type="dxa" w:w="100"/>
              <w:bottom w:type="dxa" w:w="40"/>
              <w:right w:type="dxa" w:w="100"/>
            </w:tcMar>
          </w:tcPr>
          <w:p>
            <w:pPr>
              <w:jc w:val="right"/>
            </w:pPr>
            <w:r>
              <w:rPr>
                <w:b/>
                <w:bCs/>
                <w:color w:val="FFFFFF"/>
                <w:sz w:val="20"/>
                <w:szCs w:val="20"/>
              </w:rPr>
              <w:t xml:space="preserve">Decesos</w:t>
            </w:r>
          </w:p>
        </w:tc>
      </w:tr>
      <w:tr>
        <w:tc>
          <w:tcPr>
            <w:tcW w:type="dxa" w:w="4680"/>
            <w:tcMar>
              <w:top w:type="dxa" w:w="40"/>
              <w:left w:type="dxa" w:w="100"/>
              <w:bottom w:type="dxa" w:w="40"/>
              <w:right w:type="dxa" w:w="100"/>
            </w:tcMar>
          </w:tcPr>
          <w:p>
            <w:pPr>
              <w:jc w:val="left"/>
            </w:pPr>
            <w:r>
              <w:rPr>
                <w:b w:val="false"/>
                <w:bCs w:val="false"/>
                <w:color w:val="000000"/>
                <w:sz w:val="20"/>
                <w:szCs w:val="20"/>
              </w:rPr>
              <w:t xml:space="preserve">Enero</w:t>
            </w:r>
          </w:p>
        </w:tc>
        <w:tc>
          <w:tcPr>
            <w:tcW w:type="dxa" w:w="4680"/>
            <w:tcMar>
              <w:top w:type="dxa" w:w="40"/>
              <w:left w:type="dxa" w:w="100"/>
              <w:bottom w:type="dxa" w:w="40"/>
              <w:right w:type="dxa" w:w="100"/>
            </w:tcMar>
          </w:tcPr>
          <w:p>
            <w:pPr>
              <w:jc w:val="right"/>
            </w:pPr>
            <w:r>
              <w:rPr>
                <w:b w:val="false"/>
                <w:bCs w:val="false"/>
                <w:color w:val="000000"/>
                <w:sz w:val="20"/>
                <w:szCs w:val="20"/>
              </w:rPr>
              <w:t xml:space="preserve">3.199</w:t>
            </w:r>
          </w:p>
        </w:tc>
      </w:tr>
      <w:tr>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Febrero</w:t>
            </w:r>
          </w:p>
        </w:tc>
        <w:tc>
          <w:tcPr>
            <w:tcW w:type="dxa" w:w="4680"/>
            <w:shd w:fill="F2F5FA" w:color="auto" w:val="clear"/>
            <w:tcMar>
              <w:top w:type="dxa" w:w="40"/>
              <w:left w:type="dxa" w:w="100"/>
              <w:bottom w:type="dxa" w:w="40"/>
              <w:right w:type="dxa" w:w="100"/>
            </w:tcMar>
          </w:tcPr>
          <w:p>
            <w:pPr>
              <w:jc w:val="right"/>
            </w:pPr>
            <w:r>
              <w:rPr>
                <w:b w:val="false"/>
                <w:bCs w:val="false"/>
                <w:color w:val="000000"/>
                <w:sz w:val="20"/>
                <w:szCs w:val="20"/>
              </w:rPr>
              <w:t xml:space="preserve">2.987</w:t>
            </w:r>
          </w:p>
        </w:tc>
      </w:tr>
      <w:tr>
        <w:tc>
          <w:tcPr>
            <w:tcW w:type="dxa" w:w="4680"/>
            <w:tcMar>
              <w:top w:type="dxa" w:w="40"/>
              <w:left w:type="dxa" w:w="100"/>
              <w:bottom w:type="dxa" w:w="40"/>
              <w:right w:type="dxa" w:w="100"/>
            </w:tcMar>
          </w:tcPr>
          <w:p>
            <w:pPr>
              <w:jc w:val="left"/>
            </w:pPr>
            <w:r>
              <w:rPr>
                <w:b w:val="false"/>
                <w:bCs w:val="false"/>
                <w:color w:val="000000"/>
                <w:sz w:val="20"/>
                <w:szCs w:val="20"/>
              </w:rPr>
              <w:t xml:space="preserve">Marzo</w:t>
            </w:r>
          </w:p>
        </w:tc>
        <w:tc>
          <w:tcPr>
            <w:tcW w:type="dxa" w:w="4680"/>
            <w:tcMar>
              <w:top w:type="dxa" w:w="40"/>
              <w:left w:type="dxa" w:w="100"/>
              <w:bottom w:type="dxa" w:w="40"/>
              <w:right w:type="dxa" w:w="100"/>
            </w:tcMar>
          </w:tcPr>
          <w:p>
            <w:pPr>
              <w:jc w:val="right"/>
            </w:pPr>
            <w:r>
              <w:rPr>
                <w:b w:val="false"/>
                <w:bCs w:val="false"/>
                <w:color w:val="000000"/>
                <w:sz w:val="20"/>
                <w:szCs w:val="20"/>
              </w:rPr>
              <w:t xml:space="preserve">3.329</w:t>
            </w:r>
          </w:p>
        </w:tc>
      </w:tr>
      <w:tr>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Abril</w:t>
            </w:r>
          </w:p>
        </w:tc>
        <w:tc>
          <w:tcPr>
            <w:tcW w:type="dxa" w:w="4680"/>
            <w:shd w:fill="F2F5FA" w:color="auto" w:val="clear"/>
            <w:tcMar>
              <w:top w:type="dxa" w:w="40"/>
              <w:left w:type="dxa" w:w="100"/>
              <w:bottom w:type="dxa" w:w="40"/>
              <w:right w:type="dxa" w:w="100"/>
            </w:tcMar>
          </w:tcPr>
          <w:p>
            <w:pPr>
              <w:jc w:val="right"/>
            </w:pPr>
            <w:r>
              <w:rPr>
                <w:b w:val="false"/>
                <w:bCs w:val="false"/>
                <w:color w:val="000000"/>
                <w:sz w:val="20"/>
                <w:szCs w:val="20"/>
              </w:rPr>
              <w:t xml:space="preserve">3.186</w:t>
            </w:r>
          </w:p>
        </w:tc>
      </w:tr>
      <w:tr>
        <w:tc>
          <w:tcPr>
            <w:tcW w:type="dxa" w:w="4680"/>
            <w:tcMar>
              <w:top w:type="dxa" w:w="40"/>
              <w:left w:type="dxa" w:w="100"/>
              <w:bottom w:type="dxa" w:w="40"/>
              <w:right w:type="dxa" w:w="100"/>
            </w:tcMar>
          </w:tcPr>
          <w:p>
            <w:pPr>
              <w:jc w:val="left"/>
            </w:pPr>
            <w:r>
              <w:rPr>
                <w:b w:val="false"/>
                <w:bCs w:val="false"/>
                <w:color w:val="000000"/>
                <w:sz w:val="20"/>
                <w:szCs w:val="20"/>
              </w:rPr>
              <w:t xml:space="preserve">Mayo</w:t>
            </w:r>
          </w:p>
        </w:tc>
        <w:tc>
          <w:tcPr>
            <w:tcW w:type="dxa" w:w="4680"/>
            <w:tcMar>
              <w:top w:type="dxa" w:w="40"/>
              <w:left w:type="dxa" w:w="100"/>
              <w:bottom w:type="dxa" w:w="40"/>
              <w:right w:type="dxa" w:w="100"/>
            </w:tcMar>
          </w:tcPr>
          <w:p>
            <w:pPr>
              <w:jc w:val="right"/>
            </w:pPr>
            <w:r>
              <w:rPr>
                <w:b w:val="false"/>
                <w:bCs w:val="false"/>
                <w:color w:val="000000"/>
                <w:sz w:val="20"/>
                <w:szCs w:val="20"/>
              </w:rPr>
              <w:t xml:space="preserve">3.656</w:t>
            </w:r>
          </w:p>
        </w:tc>
      </w:tr>
      <w:tr>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Junio</w:t>
            </w:r>
          </w:p>
        </w:tc>
        <w:tc>
          <w:tcPr>
            <w:tcW w:type="dxa" w:w="4680"/>
            <w:shd w:fill="F2F5FA" w:color="auto" w:val="clear"/>
            <w:tcMar>
              <w:top w:type="dxa" w:w="40"/>
              <w:left w:type="dxa" w:w="100"/>
              <w:bottom w:type="dxa" w:w="40"/>
              <w:right w:type="dxa" w:w="100"/>
            </w:tcMar>
          </w:tcPr>
          <w:p>
            <w:pPr>
              <w:jc w:val="right"/>
            </w:pPr>
            <w:r>
              <w:rPr>
                <w:b w:val="false"/>
                <w:bCs w:val="false"/>
                <w:color w:val="000000"/>
                <w:sz w:val="20"/>
                <w:szCs w:val="20"/>
              </w:rPr>
              <w:t xml:space="preserve">3.608</w:t>
            </w:r>
          </w:p>
        </w:tc>
      </w:tr>
      <w:tr>
        <w:tc>
          <w:tcPr>
            <w:tcW w:type="dxa" w:w="4680"/>
            <w:tcMar>
              <w:top w:type="dxa" w:w="40"/>
              <w:left w:type="dxa" w:w="100"/>
              <w:bottom w:type="dxa" w:w="40"/>
              <w:right w:type="dxa" w:w="100"/>
            </w:tcMar>
          </w:tcPr>
          <w:p>
            <w:pPr>
              <w:jc w:val="left"/>
            </w:pPr>
            <w:r>
              <w:rPr>
                <w:b w:val="false"/>
                <w:bCs w:val="false"/>
                <w:color w:val="000000"/>
                <w:sz w:val="20"/>
                <w:szCs w:val="20"/>
              </w:rPr>
              <w:t xml:space="preserve">Julio</w:t>
            </w:r>
          </w:p>
        </w:tc>
        <w:tc>
          <w:tcPr>
            <w:tcW w:type="dxa" w:w="4680"/>
            <w:tcMar>
              <w:top w:type="dxa" w:w="40"/>
              <w:left w:type="dxa" w:w="100"/>
              <w:bottom w:type="dxa" w:w="40"/>
              <w:right w:type="dxa" w:w="100"/>
            </w:tcMar>
          </w:tcPr>
          <w:p>
            <w:pPr>
              <w:jc w:val="right"/>
            </w:pPr>
            <w:r>
              <w:rPr>
                <w:b w:val="false"/>
                <w:bCs w:val="false"/>
                <w:color w:val="000000"/>
                <w:sz w:val="20"/>
                <w:szCs w:val="20"/>
              </w:rPr>
              <w:t xml:space="preserve">3.856</w:t>
            </w:r>
          </w:p>
        </w:tc>
      </w:tr>
      <w:tr>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Agosto</w:t>
            </w:r>
          </w:p>
        </w:tc>
        <w:tc>
          <w:tcPr>
            <w:tcW w:type="dxa" w:w="4680"/>
            <w:shd w:fill="F2F5FA" w:color="auto" w:val="clear"/>
            <w:tcMar>
              <w:top w:type="dxa" w:w="40"/>
              <w:left w:type="dxa" w:w="100"/>
              <w:bottom w:type="dxa" w:w="40"/>
              <w:right w:type="dxa" w:w="100"/>
            </w:tcMar>
          </w:tcPr>
          <w:p>
            <w:pPr>
              <w:jc w:val="right"/>
            </w:pPr>
            <w:r>
              <w:rPr>
                <w:b w:val="false"/>
                <w:bCs w:val="false"/>
                <w:color w:val="000000"/>
                <w:sz w:val="20"/>
                <w:szCs w:val="20"/>
              </w:rPr>
              <w:t xml:space="preserve">3.846</w:t>
            </w:r>
          </w:p>
        </w:tc>
      </w:tr>
      <w:tr>
        <w:tc>
          <w:tcPr>
            <w:tcW w:type="dxa" w:w="4680"/>
            <w:tcMar>
              <w:top w:type="dxa" w:w="40"/>
              <w:left w:type="dxa" w:w="100"/>
              <w:bottom w:type="dxa" w:w="40"/>
              <w:right w:type="dxa" w:w="100"/>
            </w:tcMar>
          </w:tcPr>
          <w:p>
            <w:pPr>
              <w:jc w:val="left"/>
            </w:pPr>
            <w:r>
              <w:rPr>
                <w:b w:val="false"/>
                <w:bCs w:val="false"/>
                <w:color w:val="000000"/>
                <w:sz w:val="20"/>
                <w:szCs w:val="20"/>
              </w:rPr>
              <w:t xml:space="preserve">Septiembre</w:t>
            </w:r>
          </w:p>
        </w:tc>
        <w:tc>
          <w:tcPr>
            <w:tcW w:type="dxa" w:w="4680"/>
            <w:tcMar>
              <w:top w:type="dxa" w:w="40"/>
              <w:left w:type="dxa" w:w="100"/>
              <w:bottom w:type="dxa" w:w="40"/>
              <w:right w:type="dxa" w:w="100"/>
            </w:tcMar>
          </w:tcPr>
          <w:p>
            <w:pPr>
              <w:jc w:val="right"/>
            </w:pPr>
            <w:r>
              <w:rPr>
                <w:b w:val="false"/>
                <w:bCs w:val="false"/>
                <w:color w:val="000000"/>
                <w:sz w:val="20"/>
                <w:szCs w:val="20"/>
              </w:rPr>
              <w:t xml:space="preserve">3.886</w:t>
            </w:r>
          </w:p>
        </w:tc>
      </w:tr>
      <w:tr>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Octubre</w:t>
            </w:r>
          </w:p>
        </w:tc>
        <w:tc>
          <w:tcPr>
            <w:tcW w:type="dxa" w:w="4680"/>
            <w:shd w:fill="F2F5FA" w:color="auto" w:val="clear"/>
            <w:tcMar>
              <w:top w:type="dxa" w:w="40"/>
              <w:left w:type="dxa" w:w="100"/>
              <w:bottom w:type="dxa" w:w="40"/>
              <w:right w:type="dxa" w:w="100"/>
            </w:tcMar>
          </w:tcPr>
          <w:p>
            <w:pPr>
              <w:jc w:val="right"/>
            </w:pPr>
            <w:r>
              <w:rPr>
                <w:b w:val="false"/>
                <w:bCs w:val="false"/>
                <w:color w:val="000000"/>
                <w:sz w:val="20"/>
                <w:szCs w:val="20"/>
              </w:rPr>
              <w:t xml:space="preserve">3.973</w:t>
            </w:r>
          </w:p>
        </w:tc>
      </w:tr>
      <w:tr>
        <w:tc>
          <w:tcPr>
            <w:tcW w:type="dxa" w:w="4680"/>
            <w:tcMar>
              <w:top w:type="dxa" w:w="40"/>
              <w:left w:type="dxa" w:w="100"/>
              <w:bottom w:type="dxa" w:w="40"/>
              <w:right w:type="dxa" w:w="100"/>
            </w:tcMar>
          </w:tcPr>
          <w:p>
            <w:pPr>
              <w:jc w:val="left"/>
            </w:pPr>
            <w:r>
              <w:rPr>
                <w:b w:val="false"/>
                <w:bCs w:val="false"/>
                <w:color w:val="000000"/>
                <w:sz w:val="20"/>
                <w:szCs w:val="20"/>
              </w:rPr>
              <w:t xml:space="preserve">Noviembre</w:t>
            </w:r>
          </w:p>
        </w:tc>
        <w:tc>
          <w:tcPr>
            <w:tcW w:type="dxa" w:w="4680"/>
            <w:tcMar>
              <w:top w:type="dxa" w:w="40"/>
              <w:left w:type="dxa" w:w="100"/>
              <w:bottom w:type="dxa" w:w="40"/>
              <w:right w:type="dxa" w:w="100"/>
            </w:tcMar>
          </w:tcPr>
          <w:p>
            <w:pPr>
              <w:jc w:val="right"/>
            </w:pPr>
            <w:r>
              <w:rPr>
                <w:b w:val="false"/>
                <w:bCs w:val="false"/>
                <w:color w:val="000000"/>
                <w:sz w:val="20"/>
                <w:szCs w:val="20"/>
              </w:rPr>
              <w:t xml:space="preserve">3.503</w:t>
            </w:r>
          </w:p>
        </w:tc>
      </w:tr>
      <w:tr>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Diciembre</w:t>
            </w:r>
          </w:p>
        </w:tc>
        <w:tc>
          <w:tcPr>
            <w:tcW w:type="dxa" w:w="4680"/>
            <w:shd w:fill="F2F5FA" w:color="auto" w:val="clear"/>
            <w:tcMar>
              <w:top w:type="dxa" w:w="40"/>
              <w:left w:type="dxa" w:w="100"/>
              <w:bottom w:type="dxa" w:w="40"/>
              <w:right w:type="dxa" w:w="100"/>
            </w:tcMar>
          </w:tcPr>
          <w:p>
            <w:pPr>
              <w:jc w:val="right"/>
            </w:pPr>
            <w:r>
              <w:rPr>
                <w:b w:val="false"/>
                <w:bCs w:val="false"/>
                <w:color w:val="000000"/>
                <w:sz w:val="20"/>
                <w:szCs w:val="20"/>
              </w:rPr>
              <w:t xml:space="preserve">3.485</w:t>
            </w:r>
          </w:p>
        </w:tc>
      </w:tr>
    </w:tbl>
    <w:p>
      <w:pPr>
        <w:spacing w:after="120"/>
      </w:pPr>
    </w:p>
    <w:p>
      <w:pPr>
        <w:pStyle w:val="Heading2"/>
        <w:spacing w:after="100" w:before="220"/>
      </w:pPr>
      <w:r>
        <w:rPr>
          <w:b/>
          <w:bCs/>
          <w:color w:val="1F5FA8"/>
          <w:sz w:val="24"/>
          <w:szCs w:val="24"/>
        </w:rPr>
        <w:t xml:space="preserve">5.3. Estados con mayor mortalidad</w:t>
      </w:r>
    </w:p>
    <w:p>
      <w:pPr>
        <w:spacing w:after="120" w:line="276"/>
        <w:jc w:val="both"/>
      </w:pPr>
      <w:r>
        <w:rPr>
          <w:sz w:val="22"/>
          <w:szCs w:val="22"/>
        </w:rPr>
        <w:t xml:space="preserve">La concentración geográfica es marcada: California (4.428) y Texas (4.408) encabezan la lista prácticamente empatados, seguidos por Florida (3.530). Estos tres estados superan ampliamente al resto, tras lo cual se observa una caída pronunciada. Su peso se explica en gran medida por ser los estados más poblados y con mayores redes viales del país.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1560"/>
        <w:gridCol w:w="4680"/>
        <w:gridCol w:w="3120"/>
      </w:tblGrid>
      <w:tr>
        <w:trPr>
          <w:tblHeader/>
        </w:trPr>
        <w:tc>
          <w:tcPr>
            <w:tcW w:type="dxa" w:w="1560"/>
            <w:shd w:fill="1F5FA8" w:color="auto" w:val="clear"/>
            <w:tcMar>
              <w:top w:type="dxa" w:w="40"/>
              <w:left w:type="dxa" w:w="100"/>
              <w:bottom w:type="dxa" w:w="40"/>
              <w:right w:type="dxa" w:w="100"/>
            </w:tcMar>
          </w:tcPr>
          <w:p>
            <w:pPr>
              <w:jc w:val="center"/>
            </w:pPr>
            <w:r>
              <w:rPr>
                <w:b/>
                <w:bCs/>
                <w:color w:val="FFFFFF"/>
                <w:sz w:val="20"/>
                <w:szCs w:val="20"/>
              </w:rPr>
              <w:t xml:space="preserve">#</w:t>
            </w:r>
          </w:p>
        </w:tc>
        <w:tc>
          <w:tcPr>
            <w:tcW w:type="dxa" w:w="4680"/>
            <w:shd w:fill="1F5FA8" w:color="auto" w:val="clear"/>
            <w:tcMar>
              <w:top w:type="dxa" w:w="40"/>
              <w:left w:type="dxa" w:w="100"/>
              <w:bottom w:type="dxa" w:w="40"/>
              <w:right w:type="dxa" w:w="100"/>
            </w:tcMar>
          </w:tcPr>
          <w:p>
            <w:pPr>
              <w:jc w:val="left"/>
            </w:pPr>
            <w:r>
              <w:rPr>
                <w:b/>
                <w:bCs/>
                <w:color w:val="FFFFFF"/>
                <w:sz w:val="20"/>
                <w:szCs w:val="20"/>
              </w:rPr>
              <w:t xml:space="preserve">Estado</w:t>
            </w:r>
          </w:p>
        </w:tc>
        <w:tc>
          <w:tcPr>
            <w:tcW w:type="dxa" w:w="3120"/>
            <w:shd w:fill="1F5FA8" w:color="auto" w:val="clear"/>
            <w:tcMar>
              <w:top w:type="dxa" w:w="40"/>
              <w:left w:type="dxa" w:w="100"/>
              <w:bottom w:type="dxa" w:w="40"/>
              <w:right w:type="dxa" w:w="100"/>
            </w:tcMar>
          </w:tcPr>
          <w:p>
            <w:pPr>
              <w:jc w:val="right"/>
            </w:pPr>
            <w:r>
              <w:rPr>
                <w:b/>
                <w:bCs/>
                <w:color w:val="FFFFFF"/>
                <w:sz w:val="20"/>
                <w:szCs w:val="20"/>
              </w:rPr>
              <w:t xml:space="preserve">Decesos</w:t>
            </w:r>
          </w:p>
        </w:tc>
      </w:tr>
      <w:tr>
        <w:tc>
          <w:tcPr>
            <w:tcW w:type="dxa" w:w="1560"/>
            <w:tcMar>
              <w:top w:type="dxa" w:w="40"/>
              <w:left w:type="dxa" w:w="100"/>
              <w:bottom w:type="dxa" w:w="40"/>
              <w:right w:type="dxa" w:w="100"/>
            </w:tcMar>
          </w:tcPr>
          <w:p>
            <w:pPr>
              <w:jc w:val="center"/>
            </w:pPr>
            <w:r>
              <w:rPr>
                <w:b w:val="false"/>
                <w:bCs w:val="false"/>
                <w:color w:val="000000"/>
                <w:sz w:val="20"/>
                <w:szCs w:val="20"/>
              </w:rPr>
              <w:t xml:space="preserve">1</w:t>
            </w:r>
          </w:p>
        </w:tc>
        <w:tc>
          <w:tcPr>
            <w:tcW w:type="dxa" w:w="4680"/>
            <w:tcMar>
              <w:top w:type="dxa" w:w="40"/>
              <w:left w:type="dxa" w:w="100"/>
              <w:bottom w:type="dxa" w:w="40"/>
              <w:right w:type="dxa" w:w="100"/>
            </w:tcMar>
          </w:tcPr>
          <w:p>
            <w:pPr>
              <w:jc w:val="left"/>
            </w:pPr>
            <w:r>
              <w:rPr>
                <w:b w:val="false"/>
                <w:bCs w:val="false"/>
                <w:color w:val="000000"/>
                <w:sz w:val="20"/>
                <w:szCs w:val="20"/>
              </w:rPr>
              <w:t xml:space="preserve">California</w:t>
            </w:r>
          </w:p>
        </w:tc>
        <w:tc>
          <w:tcPr>
            <w:tcW w:type="dxa" w:w="3120"/>
            <w:tcMar>
              <w:top w:type="dxa" w:w="40"/>
              <w:left w:type="dxa" w:w="100"/>
              <w:bottom w:type="dxa" w:w="40"/>
              <w:right w:type="dxa" w:w="100"/>
            </w:tcMar>
          </w:tcPr>
          <w:p>
            <w:pPr>
              <w:jc w:val="right"/>
            </w:pPr>
            <w:r>
              <w:rPr>
                <w:b w:val="false"/>
                <w:bCs w:val="false"/>
                <w:color w:val="000000"/>
                <w:sz w:val="20"/>
                <w:szCs w:val="20"/>
              </w:rPr>
              <w:t xml:space="preserve">4.428</w:t>
            </w:r>
          </w:p>
        </w:tc>
      </w:tr>
      <w:tr>
        <w:tc>
          <w:tcPr>
            <w:tcW w:type="dxa" w:w="1560"/>
            <w:shd w:fill="F2F5FA" w:color="auto" w:val="clear"/>
            <w:tcMar>
              <w:top w:type="dxa" w:w="40"/>
              <w:left w:type="dxa" w:w="100"/>
              <w:bottom w:type="dxa" w:w="40"/>
              <w:right w:type="dxa" w:w="100"/>
            </w:tcMar>
          </w:tcPr>
          <w:p>
            <w:pPr>
              <w:jc w:val="center"/>
            </w:pPr>
            <w:r>
              <w:rPr>
                <w:b w:val="false"/>
                <w:bCs w:val="false"/>
                <w:color w:val="000000"/>
                <w:sz w:val="20"/>
                <w:szCs w:val="20"/>
              </w:rPr>
              <w:t xml:space="preserve">2</w:t>
            </w:r>
          </w:p>
        </w:tc>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Texas</w:t>
            </w:r>
          </w:p>
        </w:tc>
        <w:tc>
          <w:tcPr>
            <w:tcW w:type="dxa" w:w="3120"/>
            <w:shd w:fill="F2F5FA" w:color="auto" w:val="clear"/>
            <w:tcMar>
              <w:top w:type="dxa" w:w="40"/>
              <w:left w:type="dxa" w:w="100"/>
              <w:bottom w:type="dxa" w:w="40"/>
              <w:right w:type="dxa" w:w="100"/>
            </w:tcMar>
          </w:tcPr>
          <w:p>
            <w:pPr>
              <w:jc w:val="right"/>
            </w:pPr>
            <w:r>
              <w:rPr>
                <w:b w:val="false"/>
                <w:bCs w:val="false"/>
                <w:color w:val="000000"/>
                <w:sz w:val="20"/>
                <w:szCs w:val="20"/>
              </w:rPr>
              <w:t xml:space="preserve">4.408</w:t>
            </w:r>
          </w:p>
        </w:tc>
      </w:tr>
      <w:tr>
        <w:tc>
          <w:tcPr>
            <w:tcW w:type="dxa" w:w="1560"/>
            <w:tcMar>
              <w:top w:type="dxa" w:w="40"/>
              <w:left w:type="dxa" w:w="100"/>
              <w:bottom w:type="dxa" w:w="40"/>
              <w:right w:type="dxa" w:w="100"/>
            </w:tcMar>
          </w:tcPr>
          <w:p>
            <w:pPr>
              <w:jc w:val="center"/>
            </w:pPr>
            <w:r>
              <w:rPr>
                <w:b w:val="false"/>
                <w:bCs w:val="false"/>
                <w:color w:val="000000"/>
                <w:sz w:val="20"/>
                <w:szCs w:val="20"/>
              </w:rPr>
              <w:t xml:space="preserve">3</w:t>
            </w:r>
          </w:p>
        </w:tc>
        <w:tc>
          <w:tcPr>
            <w:tcW w:type="dxa" w:w="4680"/>
            <w:tcMar>
              <w:top w:type="dxa" w:w="40"/>
              <w:left w:type="dxa" w:w="100"/>
              <w:bottom w:type="dxa" w:w="40"/>
              <w:right w:type="dxa" w:w="100"/>
            </w:tcMar>
          </w:tcPr>
          <w:p>
            <w:pPr>
              <w:jc w:val="left"/>
            </w:pPr>
            <w:r>
              <w:rPr>
                <w:b w:val="false"/>
                <w:bCs w:val="false"/>
                <w:color w:val="000000"/>
                <w:sz w:val="20"/>
                <w:szCs w:val="20"/>
              </w:rPr>
              <w:t xml:space="preserve">Florida</w:t>
            </w:r>
          </w:p>
        </w:tc>
        <w:tc>
          <w:tcPr>
            <w:tcW w:type="dxa" w:w="3120"/>
            <w:tcMar>
              <w:top w:type="dxa" w:w="40"/>
              <w:left w:type="dxa" w:w="100"/>
              <w:bottom w:type="dxa" w:w="40"/>
              <w:right w:type="dxa" w:w="100"/>
            </w:tcMar>
          </w:tcPr>
          <w:p>
            <w:pPr>
              <w:jc w:val="right"/>
            </w:pPr>
            <w:r>
              <w:rPr>
                <w:b w:val="false"/>
                <w:bCs w:val="false"/>
                <w:color w:val="000000"/>
                <w:sz w:val="20"/>
                <w:szCs w:val="20"/>
              </w:rPr>
              <w:t xml:space="preserve">3.530</w:t>
            </w:r>
          </w:p>
        </w:tc>
      </w:tr>
      <w:tr>
        <w:tc>
          <w:tcPr>
            <w:tcW w:type="dxa" w:w="1560"/>
            <w:shd w:fill="F2F5FA" w:color="auto" w:val="clear"/>
            <w:tcMar>
              <w:top w:type="dxa" w:w="40"/>
              <w:left w:type="dxa" w:w="100"/>
              <w:bottom w:type="dxa" w:w="40"/>
              <w:right w:type="dxa" w:w="100"/>
            </w:tcMar>
          </w:tcPr>
          <w:p>
            <w:pPr>
              <w:jc w:val="center"/>
            </w:pPr>
            <w:r>
              <w:rPr>
                <w:b w:val="false"/>
                <w:bCs w:val="false"/>
                <w:color w:val="000000"/>
                <w:sz w:val="20"/>
                <w:szCs w:val="20"/>
              </w:rPr>
              <w:t xml:space="preserve">4</w:t>
            </w:r>
          </w:p>
        </w:tc>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Georgia</w:t>
            </w:r>
          </w:p>
        </w:tc>
        <w:tc>
          <w:tcPr>
            <w:tcW w:type="dxa" w:w="3120"/>
            <w:shd w:fill="F2F5FA" w:color="auto" w:val="clear"/>
            <w:tcMar>
              <w:top w:type="dxa" w:w="40"/>
              <w:left w:type="dxa" w:w="100"/>
              <w:bottom w:type="dxa" w:w="40"/>
              <w:right w:type="dxa" w:w="100"/>
            </w:tcMar>
          </w:tcPr>
          <w:p>
            <w:pPr>
              <w:jc w:val="right"/>
            </w:pPr>
            <w:r>
              <w:rPr>
                <w:b w:val="false"/>
                <w:bCs w:val="false"/>
                <w:color w:val="000000"/>
                <w:sz w:val="20"/>
                <w:szCs w:val="20"/>
              </w:rPr>
              <w:t xml:space="preserve">1.797</w:t>
            </w:r>
          </w:p>
        </w:tc>
      </w:tr>
      <w:tr>
        <w:tc>
          <w:tcPr>
            <w:tcW w:type="dxa" w:w="1560"/>
            <w:tcMar>
              <w:top w:type="dxa" w:w="40"/>
              <w:left w:type="dxa" w:w="100"/>
              <w:bottom w:type="dxa" w:w="40"/>
              <w:right w:type="dxa" w:w="100"/>
            </w:tcMar>
          </w:tcPr>
          <w:p>
            <w:pPr>
              <w:jc w:val="center"/>
            </w:pPr>
            <w:r>
              <w:rPr>
                <w:b w:val="false"/>
                <w:bCs w:val="false"/>
                <w:color w:val="000000"/>
                <w:sz w:val="20"/>
                <w:szCs w:val="20"/>
              </w:rPr>
              <w:t xml:space="preserve">5</w:t>
            </w:r>
          </w:p>
        </w:tc>
        <w:tc>
          <w:tcPr>
            <w:tcW w:type="dxa" w:w="4680"/>
            <w:tcMar>
              <w:top w:type="dxa" w:w="40"/>
              <w:left w:type="dxa" w:w="100"/>
              <w:bottom w:type="dxa" w:w="40"/>
              <w:right w:type="dxa" w:w="100"/>
            </w:tcMar>
          </w:tcPr>
          <w:p>
            <w:pPr>
              <w:jc w:val="left"/>
            </w:pPr>
            <w:r>
              <w:rPr>
                <w:b w:val="false"/>
                <w:bCs w:val="false"/>
                <w:color w:val="000000"/>
                <w:sz w:val="20"/>
                <w:szCs w:val="20"/>
              </w:rPr>
              <w:t xml:space="preserve">North Carolina</w:t>
            </w:r>
          </w:p>
        </w:tc>
        <w:tc>
          <w:tcPr>
            <w:tcW w:type="dxa" w:w="3120"/>
            <w:tcMar>
              <w:top w:type="dxa" w:w="40"/>
              <w:left w:type="dxa" w:w="100"/>
              <w:bottom w:type="dxa" w:w="40"/>
              <w:right w:type="dxa" w:w="100"/>
            </w:tcMar>
          </w:tcPr>
          <w:p>
            <w:pPr>
              <w:jc w:val="right"/>
            </w:pPr>
            <w:r>
              <w:rPr>
                <w:b w:val="false"/>
                <w:bCs w:val="false"/>
                <w:color w:val="000000"/>
                <w:sz w:val="20"/>
                <w:szCs w:val="20"/>
              </w:rPr>
              <w:t xml:space="preserve">1.630</w:t>
            </w:r>
          </w:p>
        </w:tc>
      </w:tr>
      <w:tr>
        <w:tc>
          <w:tcPr>
            <w:tcW w:type="dxa" w:w="1560"/>
            <w:shd w:fill="F2F5FA" w:color="auto" w:val="clear"/>
            <w:tcMar>
              <w:top w:type="dxa" w:w="40"/>
              <w:left w:type="dxa" w:w="100"/>
              <w:bottom w:type="dxa" w:w="40"/>
              <w:right w:type="dxa" w:w="100"/>
            </w:tcMar>
          </w:tcPr>
          <w:p>
            <w:pPr>
              <w:jc w:val="center"/>
            </w:pPr>
            <w:r>
              <w:rPr>
                <w:b w:val="false"/>
                <w:bCs w:val="false"/>
                <w:color w:val="000000"/>
                <w:sz w:val="20"/>
                <w:szCs w:val="20"/>
              </w:rPr>
              <w:t xml:space="preserve">6</w:t>
            </w:r>
          </w:p>
        </w:tc>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Tennessee</w:t>
            </w:r>
          </w:p>
        </w:tc>
        <w:tc>
          <w:tcPr>
            <w:tcW w:type="dxa" w:w="3120"/>
            <w:shd w:fill="F2F5FA" w:color="auto" w:val="clear"/>
            <w:tcMar>
              <w:top w:type="dxa" w:w="40"/>
              <w:left w:type="dxa" w:w="100"/>
              <w:bottom w:type="dxa" w:w="40"/>
              <w:right w:type="dxa" w:w="100"/>
            </w:tcMar>
          </w:tcPr>
          <w:p>
            <w:pPr>
              <w:jc w:val="right"/>
            </w:pPr>
            <w:r>
              <w:rPr>
                <w:b w:val="false"/>
                <w:bCs w:val="false"/>
                <w:color w:val="000000"/>
                <w:sz w:val="20"/>
                <w:szCs w:val="20"/>
              </w:rPr>
              <w:t xml:space="preserve">1.314</w:t>
            </w:r>
          </w:p>
        </w:tc>
      </w:tr>
      <w:tr>
        <w:tc>
          <w:tcPr>
            <w:tcW w:type="dxa" w:w="1560"/>
            <w:tcMar>
              <w:top w:type="dxa" w:w="40"/>
              <w:left w:type="dxa" w:w="100"/>
              <w:bottom w:type="dxa" w:w="40"/>
              <w:right w:type="dxa" w:w="100"/>
            </w:tcMar>
          </w:tcPr>
          <w:p>
            <w:pPr>
              <w:jc w:val="center"/>
            </w:pPr>
            <w:r>
              <w:rPr>
                <w:b w:val="false"/>
                <w:bCs w:val="false"/>
                <w:color w:val="000000"/>
                <w:sz w:val="20"/>
                <w:szCs w:val="20"/>
              </w:rPr>
              <w:t xml:space="preserve">7</w:t>
            </w:r>
          </w:p>
        </w:tc>
        <w:tc>
          <w:tcPr>
            <w:tcW w:type="dxa" w:w="4680"/>
            <w:tcMar>
              <w:top w:type="dxa" w:w="40"/>
              <w:left w:type="dxa" w:w="100"/>
              <w:bottom w:type="dxa" w:w="40"/>
              <w:right w:type="dxa" w:w="100"/>
            </w:tcMar>
          </w:tcPr>
          <w:p>
            <w:pPr>
              <w:jc w:val="left"/>
            </w:pPr>
            <w:r>
              <w:rPr>
                <w:b w:val="false"/>
                <w:bCs w:val="false"/>
                <w:color w:val="000000"/>
                <w:sz w:val="20"/>
                <w:szCs w:val="20"/>
              </w:rPr>
              <w:t xml:space="preserve">Arizona</w:t>
            </w:r>
          </w:p>
        </w:tc>
        <w:tc>
          <w:tcPr>
            <w:tcW w:type="dxa" w:w="3120"/>
            <w:tcMar>
              <w:top w:type="dxa" w:w="40"/>
              <w:left w:type="dxa" w:w="100"/>
              <w:bottom w:type="dxa" w:w="40"/>
              <w:right w:type="dxa" w:w="100"/>
            </w:tcMar>
          </w:tcPr>
          <w:p>
            <w:pPr>
              <w:jc w:val="right"/>
            </w:pPr>
            <w:r>
              <w:rPr>
                <w:b w:val="false"/>
                <w:bCs w:val="false"/>
                <w:color w:val="000000"/>
                <w:sz w:val="20"/>
                <w:szCs w:val="20"/>
              </w:rPr>
              <w:t xml:space="preserve">1.302</w:t>
            </w:r>
          </w:p>
        </w:tc>
      </w:tr>
      <w:tr>
        <w:tc>
          <w:tcPr>
            <w:tcW w:type="dxa" w:w="1560"/>
            <w:shd w:fill="F2F5FA" w:color="auto" w:val="clear"/>
            <w:tcMar>
              <w:top w:type="dxa" w:w="40"/>
              <w:left w:type="dxa" w:w="100"/>
              <w:bottom w:type="dxa" w:w="40"/>
              <w:right w:type="dxa" w:w="100"/>
            </w:tcMar>
          </w:tcPr>
          <w:p>
            <w:pPr>
              <w:jc w:val="center"/>
            </w:pPr>
            <w:r>
              <w:rPr>
                <w:b w:val="false"/>
                <w:bCs w:val="false"/>
                <w:color w:val="000000"/>
                <w:sz w:val="20"/>
                <w:szCs w:val="20"/>
              </w:rPr>
              <w:t xml:space="preserve">8</w:t>
            </w:r>
          </w:p>
        </w:tc>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Ohio</w:t>
            </w:r>
          </w:p>
        </w:tc>
        <w:tc>
          <w:tcPr>
            <w:tcW w:type="dxa" w:w="3120"/>
            <w:shd w:fill="F2F5FA" w:color="auto" w:val="clear"/>
            <w:tcMar>
              <w:top w:type="dxa" w:w="40"/>
              <w:left w:type="dxa" w:w="100"/>
              <w:bottom w:type="dxa" w:w="40"/>
              <w:right w:type="dxa" w:w="100"/>
            </w:tcMar>
          </w:tcPr>
          <w:p>
            <w:pPr>
              <w:jc w:val="right"/>
            </w:pPr>
            <w:r>
              <w:rPr>
                <w:b w:val="false"/>
                <w:bCs w:val="false"/>
                <w:color w:val="000000"/>
                <w:sz w:val="20"/>
                <w:szCs w:val="20"/>
              </w:rPr>
              <w:t xml:space="preserve">1.275</w:t>
            </w:r>
          </w:p>
        </w:tc>
      </w:tr>
      <w:tr>
        <w:tc>
          <w:tcPr>
            <w:tcW w:type="dxa" w:w="1560"/>
            <w:tcMar>
              <w:top w:type="dxa" w:w="40"/>
              <w:left w:type="dxa" w:w="100"/>
              <w:bottom w:type="dxa" w:w="40"/>
              <w:right w:type="dxa" w:w="100"/>
            </w:tcMar>
          </w:tcPr>
          <w:p>
            <w:pPr>
              <w:jc w:val="center"/>
            </w:pPr>
            <w:r>
              <w:rPr>
                <w:b w:val="false"/>
                <w:bCs w:val="false"/>
                <w:color w:val="000000"/>
                <w:sz w:val="20"/>
                <w:szCs w:val="20"/>
              </w:rPr>
              <w:t xml:space="preserve">9</w:t>
            </w:r>
          </w:p>
        </w:tc>
        <w:tc>
          <w:tcPr>
            <w:tcW w:type="dxa" w:w="4680"/>
            <w:tcMar>
              <w:top w:type="dxa" w:w="40"/>
              <w:left w:type="dxa" w:w="100"/>
              <w:bottom w:type="dxa" w:w="40"/>
              <w:right w:type="dxa" w:w="100"/>
            </w:tcMar>
          </w:tcPr>
          <w:p>
            <w:pPr>
              <w:jc w:val="left"/>
            </w:pPr>
            <w:r>
              <w:rPr>
                <w:b w:val="false"/>
                <w:bCs w:val="false"/>
                <w:color w:val="000000"/>
                <w:sz w:val="20"/>
                <w:szCs w:val="20"/>
              </w:rPr>
              <w:t xml:space="preserve">Illinois</w:t>
            </w:r>
          </w:p>
        </w:tc>
        <w:tc>
          <w:tcPr>
            <w:tcW w:type="dxa" w:w="3120"/>
            <w:tcMar>
              <w:top w:type="dxa" w:w="40"/>
              <w:left w:type="dxa" w:w="100"/>
              <w:bottom w:type="dxa" w:w="40"/>
              <w:right w:type="dxa" w:w="100"/>
            </w:tcMar>
          </w:tcPr>
          <w:p>
            <w:pPr>
              <w:jc w:val="right"/>
            </w:pPr>
            <w:r>
              <w:rPr>
                <w:b w:val="false"/>
                <w:bCs w:val="false"/>
                <w:color w:val="000000"/>
                <w:sz w:val="20"/>
                <w:szCs w:val="20"/>
              </w:rPr>
              <w:t xml:space="preserve">1.268</w:t>
            </w:r>
          </w:p>
        </w:tc>
      </w:tr>
      <w:tr>
        <w:tc>
          <w:tcPr>
            <w:tcW w:type="dxa" w:w="1560"/>
            <w:shd w:fill="F2F5FA" w:color="auto" w:val="clear"/>
            <w:tcMar>
              <w:top w:type="dxa" w:w="40"/>
              <w:left w:type="dxa" w:w="100"/>
              <w:bottom w:type="dxa" w:w="40"/>
              <w:right w:type="dxa" w:w="100"/>
            </w:tcMar>
          </w:tcPr>
          <w:p>
            <w:pPr>
              <w:jc w:val="center"/>
            </w:pPr>
            <w:r>
              <w:rPr>
                <w:b w:val="false"/>
                <w:bCs w:val="false"/>
                <w:color w:val="000000"/>
                <w:sz w:val="20"/>
                <w:szCs w:val="20"/>
              </w:rPr>
              <w:t xml:space="preserve">10</w:t>
            </w:r>
          </w:p>
        </w:tc>
        <w:tc>
          <w:tcPr>
            <w:tcW w:type="dxa" w:w="4680"/>
            <w:shd w:fill="F2F5FA" w:color="auto" w:val="clear"/>
            <w:tcMar>
              <w:top w:type="dxa" w:w="40"/>
              <w:left w:type="dxa" w:w="100"/>
              <w:bottom w:type="dxa" w:w="40"/>
              <w:right w:type="dxa" w:w="100"/>
            </w:tcMar>
          </w:tcPr>
          <w:p>
            <w:pPr>
              <w:jc w:val="left"/>
            </w:pPr>
            <w:r>
              <w:rPr>
                <w:b w:val="false"/>
                <w:bCs w:val="false"/>
                <w:color w:val="000000"/>
                <w:sz w:val="20"/>
                <w:szCs w:val="20"/>
              </w:rPr>
              <w:t xml:space="preserve">Pennsylvania</w:t>
            </w:r>
          </w:p>
        </w:tc>
        <w:tc>
          <w:tcPr>
            <w:tcW w:type="dxa" w:w="3120"/>
            <w:shd w:fill="F2F5FA" w:color="auto" w:val="clear"/>
            <w:tcMar>
              <w:top w:type="dxa" w:w="40"/>
              <w:left w:type="dxa" w:w="100"/>
              <w:bottom w:type="dxa" w:w="40"/>
              <w:right w:type="dxa" w:w="100"/>
            </w:tcMar>
          </w:tcPr>
          <w:p>
            <w:pPr>
              <w:jc w:val="right"/>
            </w:pPr>
            <w:r>
              <w:rPr>
                <w:b w:val="false"/>
                <w:bCs w:val="false"/>
                <w:color w:val="000000"/>
                <w:sz w:val="20"/>
                <w:szCs w:val="20"/>
              </w:rPr>
              <w:t xml:space="preserve">1.179</w:t>
            </w:r>
          </w:p>
        </w:tc>
      </w:tr>
    </w:tbl>
    <w:p>
      <w:pPr>
        <w:spacing w:after="120"/>
      </w:pPr>
    </w:p>
    <w:p>
      <w:pPr>
        <w:pStyle w:val="Heading1"/>
        <w:spacing w:after="120" w:before="300"/>
      </w:pPr>
      <w:r>
        <w:rPr>
          <w:b/>
          <w:bCs/>
          <w:color w:val="203864"/>
          <w:sz w:val="30"/>
          <w:szCs w:val="30"/>
        </w:rPr>
        <w:t xml:space="preserve">6. Conclusiones</w:t>
      </w:r>
    </w:p>
    <w:p>
      <w:pPr>
        <w:spacing w:after="120" w:line="276"/>
        <w:jc w:val="both"/>
      </w:pPr>
      <w:r>
        <w:rPr>
          <w:sz w:val="22"/>
          <w:szCs w:val="22"/>
        </w:rPr>
        <w:t xml:space="preserve">La práctica permitió recorrer el flujo de trabajo completo de una solución de inteligencia de negocios en Power BI: desde la ingesta y depuración de los datos con Power Query —normalización de texto, separación de columnas combinadas y creación de una columna de fecha— hasta el diseño de un dashboard con indicadores y gráficos interactivos.</w:t>
      </w:r>
    </w:p>
    <w:p>
      <w:pPr>
        <w:spacing w:after="120" w:line="276"/>
        <w:jc w:val="both"/>
      </w:pPr>
      <w:r>
        <w:rPr>
          <w:sz w:val="22"/>
          <w:szCs w:val="22"/>
        </w:rPr>
        <w:t xml:space="preserve">Los resultados obtenidos cumplen con lo solicitado por la praxis y son coherentes con la validación de los datos: 42.514 fallecimientos, 39.221 accidentes y un promedio de 1,08 bajas por accidente. El análisis reveló una estacionalidad clara —con picos en los meses de julio a octubre— y una fuerte concentración de la mortalidad en California, Texas y Florida.</w:t>
      </w:r>
    </w:p>
    <w:p>
      <w:pPr>
        <w:spacing w:after="120" w:line="276"/>
        <w:jc w:val="both"/>
      </w:pPr>
      <w:r>
        <w:rPr>
          <w:sz w:val="22"/>
          <w:szCs w:val="22"/>
        </w:rPr>
        <w:t xml:space="preserve">Como líneas de mejora, el dashboard podría enriquecerse incorporando segmentaciones interactivas (por ejemplo, por clima, tipo de vía o franja horaria), un mapa geográfico aprovechando los campos de latitud y longitud, y medidas DAX adicionales que normalicen la mortalidad por población o por volumen de tráfico, lo que permitiría comparaciones más justas entre estados.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399b2289606990edc0180f50ad75c9d22c850a.png"/><Relationship Id="rId8" Type="http://schemas.openxmlformats.org/officeDocument/2006/relationships/image" Target="media/c7569e6365c4d26a0109ef7201704b42e3cba7ea.png"/><Relationship Id="rId9" Type="http://schemas.openxmlformats.org/officeDocument/2006/relationships/image" Target="media/ffd8cfc893328659c1d4a7c98dfb989f0c8aad10.png"/><Relationship Id="rId10" Type="http://schemas.openxmlformats.org/officeDocument/2006/relationships/image" Target="media/33e70a6ea5688fe75081a972d4c66ed145a86b83.png"/><Relationship Id="rId11" Type="http://schemas.openxmlformats.org/officeDocument/2006/relationships/image" Target="media/962c380cea51bf8eb792d34fb2d1c74eca42eba3.png"/><Relationship Id="rId12" Type="http://schemas.openxmlformats.org/officeDocument/2006/relationships/image" Target="media/9e854f23f016f3f7fd0483cd2e20e00c1c8de410.png"/><Relationship Id="rId13" Type="http://schemas.openxmlformats.org/officeDocument/2006/relationships/image" Target="media/116e4fa4e86715fe02f5cbe58aa6e50f012ea23a.png"/><Relationship Id="rId14" Type="http://schemas.openxmlformats.org/officeDocument/2006/relationships/image" Target="media/e615f53c62b958271337cded5fffcfdd89f31b55.png"/><Relationship Id="rId15" Type="http://schemas.openxmlformats.org/officeDocument/2006/relationships/image" Target="media/2689c357d9db66d8f2304a5c281ae20f2588aedb.png"/><Relationship Id="rId16" Type="http://schemas.openxmlformats.org/officeDocument/2006/relationships/image" Target="media/9abcafc1361403aa244a6345ae3e49f823755688.png"/><Relationship Id="rId17" Type="http://schemas.openxmlformats.org/officeDocument/2006/relationships/image" Target="media/59f5a112e2ef3d9500fbe7d684111f682ac8be1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Praxis 2 - Power BI</dc:title>
  <dc:creator>Jesús</dc:creator>
  <cp:lastModifiedBy>Un-named</cp:lastModifiedBy>
  <cp:revision>1</cp:revision>
  <dcterms:created xsi:type="dcterms:W3CDTF">2026-07-13T02:36:53.390Z</dcterms:created>
  <dcterms:modified xsi:type="dcterms:W3CDTF">2026-07-13T02:36:53.391Z</dcterms:modified>
</cp:coreProperties>
</file>

<file path=docProps/custom.xml><?xml version="1.0" encoding="utf-8"?>
<Properties xmlns="http://schemas.openxmlformats.org/officeDocument/2006/custom-properties" xmlns:vt="http://schemas.openxmlformats.org/officeDocument/2006/docPropsVTypes"/>
</file>