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300"/>
        <w:jc w:val="center"/>
      </w:pPr>
      <w:r>
        <w:rPr>
          <w:rFonts w:ascii="Calibri" w:cs="Calibri" w:eastAsia="Calibri" w:hAnsi="Calibri"/>
          <w:b/>
          <w:bCs/>
          <w:color w:val="b81d24"/>
          <w:sz w:val="26"/>
          <w:szCs w:val="26"/>
        </w:rPr>
        <w:t xml:space="preserve">INFORME DE PROYECTO FINAL</w:t>
      </w:r>
    </w:p>
    <w:p>
      <w:pPr>
        <w:spacing w:after="40"/>
        <w:jc w:val="center"/>
      </w:pPr>
      <w:r>
        <w:rPr>
          <w:rFonts w:ascii="Calibri" w:cs="Calibri" w:eastAsia="Calibri" w:hAnsi="Calibri"/>
          <w:b/>
          <w:bCs/>
          <w:color w:val="14304a"/>
          <w:sz w:val="40"/>
          <w:szCs w:val="40"/>
        </w:rPr>
        <w:t xml:space="preserve">Analítica de Big Data para la vigilancia epidemiológica del dengue en el Perú</w:t>
      </w:r>
    </w:p>
    <w:p>
      <w:pPr>
        <w:spacing w:after="200"/>
        <w:jc w:val="center"/>
      </w:pPr>
      <w:r>
        <w:rPr>
          <w:rFonts w:ascii="Calibri" w:cs="Calibri" w:eastAsia="Calibri" w:hAnsi="Calibri"/>
          <w:i/>
          <w:iCs/>
          <w:color w:val="666666"/>
          <w:sz w:val="22"/>
          <w:szCs w:val="22"/>
        </w:rPr>
        <w:t xml:space="preserve">Un pipeline completo: ETL distribuido con Apache Spark, minería de datos con integración climática y tablero de soporte a la decisión</w:t>
      </w:r>
    </w:p>
    <w:p>
      <w:pPr>
        <w:spacing w:after="60" w:before="120"/>
        <w:jc w:val="center"/>
      </w:pPr>
      <w:r>
        <w:drawing>
          <wp:inline distT="0" distB="0" distL="0" distR="0">
            <wp:extent cx="4953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76475"/>
                    </a:xfrm>
                    <a:prstGeom prst="rect">
                      <a:avLst/>
                    </a:prstGeom>
                  </pic:spPr>
                </pic:pic>
              </a:graphicData>
            </a:graphic>
          </wp:inline>
        </w:drawing>
      </w:r>
    </w:p>
    <w:p>
      <w:pPr>
        <w:spacing w:after="20" w:before="220"/>
        <w:jc w:val="center"/>
      </w:pPr>
      <w:r>
        <w:rPr>
          <w:rFonts w:ascii="Calibri" w:cs="Calibri" w:eastAsia="Calibri" w:hAnsi="Calibri"/>
          <w:sz w:val="20"/>
          <w:szCs w:val="20"/>
        </w:rPr>
        <w:t xml:space="preserve">Curso de Big Data · Escuela Profesional de Ingeniería de Sistemas</w:t>
      </w:r>
    </w:p>
    <w:p>
      <w:pPr>
        <w:spacing w:after="20"/>
        <w:jc w:val="center"/>
      </w:pPr>
      <w:r>
        <w:rPr>
          <w:rFonts w:ascii="Calibri" w:cs="Calibri" w:eastAsia="Calibri" w:hAnsi="Calibri"/>
          <w:sz w:val="20"/>
          <w:szCs w:val="20"/>
        </w:rPr>
        <w:t xml:space="preserve">Universidad Nacional de Cañete (UNDC) · Semestre 2026-I</w:t>
      </w:r>
    </w:p>
    <w:p>
      <w:pPr>
        <w:spacing w:after="20"/>
        <w:jc w:val="center"/>
      </w:pPr>
      <w:r>
        <w:rPr>
          <w:rFonts w:ascii="Calibri" w:cs="Calibri" w:eastAsia="Calibri" w:hAnsi="Calibri"/>
          <w:color w:val="555555"/>
          <w:sz w:val="20"/>
          <w:szCs w:val="20"/>
        </w:rPr>
        <w:t xml:space="preserve">Autor(es): [Nombres y Apellidos del estudiante]</w:t>
      </w:r>
    </w:p>
    <w:p>
      <w:r>
        <w:br w:type="page"/>
      </w:r>
    </w:p>
    <w:p>
      <w:pPr>
        <w:pBdr>
          <w:bottom w:val="single" w:color="14304a" w:sz="6" w:space="3"/>
        </w:pBdr>
        <w:spacing w:after="120" w:before="260"/>
      </w:pPr>
      <w:r>
        <w:rPr>
          <w:rFonts w:ascii="Calibri" w:cs="Calibri" w:eastAsia="Calibri" w:hAnsi="Calibri"/>
          <w:b/>
          <w:bCs/>
          <w:color w:val="b81d24"/>
          <w:sz w:val="27"/>
          <w:szCs w:val="27"/>
        </w:rPr>
        <w:t xml:space="preserve"/>
      </w:r>
      <w:r>
        <w:rPr>
          <w:rFonts w:ascii="Calibri" w:cs="Calibri" w:eastAsia="Calibri" w:hAnsi="Calibri"/>
          <w:b/>
          <w:bCs/>
          <w:color w:val="14304a"/>
          <w:sz w:val="27"/>
          <w:szCs w:val="27"/>
        </w:rPr>
        <w:t xml:space="preserve">Contenido</w:t>
      </w:r>
    </w:p>
    <w:p>
      <w:pPr>
        <w:spacing w:after="40"/>
      </w:pPr>
      <w:r>
        <w:rPr>
          <w:rFonts w:ascii="Calibri" w:cs="Calibri" w:eastAsia="Calibri" w:hAnsi="Calibri"/>
          <w:color w:val="222222"/>
          <w:sz w:val="20"/>
          <w:szCs w:val="20"/>
        </w:rPr>
        <w:t xml:space="preserve">Resumen ejecutivo</w:t>
      </w:r>
    </w:p>
    <w:p>
      <w:pPr>
        <w:spacing w:after="40"/>
      </w:pPr>
      <w:r>
        <w:rPr>
          <w:rFonts w:ascii="Calibri" w:cs="Calibri" w:eastAsia="Calibri" w:hAnsi="Calibri"/>
          <w:color w:val="222222"/>
          <w:sz w:val="20"/>
          <w:szCs w:val="20"/>
        </w:rPr>
        <w:t xml:space="preserve">1. Introducción y contexto</w:t>
      </w:r>
    </w:p>
    <w:p>
      <w:pPr>
        <w:spacing w:after="40"/>
      </w:pPr>
      <w:r>
        <w:rPr>
          <w:rFonts w:ascii="Calibri" w:cs="Calibri" w:eastAsia="Calibri" w:hAnsi="Calibri"/>
          <w:color w:val="222222"/>
          <w:sz w:val="20"/>
          <w:szCs w:val="20"/>
        </w:rPr>
        <w:t xml:space="preserve">2. Flujo de trabajo y metodología</w:t>
      </w:r>
    </w:p>
    <w:p>
      <w:pPr>
        <w:spacing w:after="40"/>
      </w:pPr>
      <w:r>
        <w:rPr>
          <w:rFonts w:ascii="Calibri" w:cs="Calibri" w:eastAsia="Calibri" w:hAnsi="Calibri"/>
          <w:color w:val="222222"/>
          <w:sz w:val="20"/>
          <w:szCs w:val="20"/>
        </w:rPr>
        <w:t xml:space="preserve">3. Fase 1 · Fuente de datos y análisis exploratorio</w:t>
      </w:r>
    </w:p>
    <w:p>
      <w:pPr>
        <w:spacing w:after="40"/>
      </w:pPr>
      <w:r>
        <w:rPr>
          <w:rFonts w:ascii="Calibri" w:cs="Calibri" w:eastAsia="Calibri" w:hAnsi="Calibri"/>
          <w:color w:val="222222"/>
          <w:sz w:val="20"/>
          <w:szCs w:val="20"/>
        </w:rPr>
        <w:t xml:space="preserve">4. Fase 2 · ETL con Apache Spark</w:t>
      </w:r>
    </w:p>
    <w:p>
      <w:pPr>
        <w:spacing w:after="40"/>
      </w:pPr>
      <w:r>
        <w:rPr>
          <w:rFonts w:ascii="Calibri" w:cs="Calibri" w:eastAsia="Calibri" w:hAnsi="Calibri"/>
          <w:color w:val="222222"/>
          <w:sz w:val="20"/>
          <w:szCs w:val="20"/>
        </w:rPr>
        <w:t xml:space="preserve">5. Fase 3 · Datos climáticos (NASA POWER)</w:t>
      </w:r>
    </w:p>
    <w:p>
      <w:pPr>
        <w:spacing w:after="40"/>
      </w:pPr>
      <w:r>
        <w:rPr>
          <w:rFonts w:ascii="Calibri" w:cs="Calibri" w:eastAsia="Calibri" w:hAnsi="Calibri"/>
          <w:color w:val="222222"/>
          <w:sz w:val="20"/>
          <w:szCs w:val="20"/>
        </w:rPr>
        <w:t xml:space="preserve">6. Fase 4 · Resultados descriptivos</w:t>
      </w:r>
    </w:p>
    <w:p>
      <w:pPr>
        <w:spacing w:after="40"/>
      </w:pPr>
      <w:r>
        <w:rPr>
          <w:rFonts w:ascii="Calibri" w:cs="Calibri" w:eastAsia="Calibri" w:hAnsi="Calibri"/>
          <w:color w:val="222222"/>
          <w:sz w:val="20"/>
          <w:szCs w:val="20"/>
        </w:rPr>
        <w:t xml:space="preserve">7. Fase 4 · Modelado y minería de datos</w:t>
      </w:r>
    </w:p>
    <w:p>
      <w:pPr>
        <w:spacing w:after="40"/>
      </w:pPr>
      <w:r>
        <w:rPr>
          <w:rFonts w:ascii="Calibri" w:cs="Calibri" w:eastAsia="Calibri" w:hAnsi="Calibri"/>
          <w:color w:val="222222"/>
          <w:sz w:val="20"/>
          <w:szCs w:val="20"/>
        </w:rPr>
        <w:t xml:space="preserve">8. Fase 5 · Visualización y capa de decisión</w:t>
      </w:r>
    </w:p>
    <w:p>
      <w:pPr>
        <w:spacing w:after="40"/>
      </w:pPr>
      <w:r>
        <w:rPr>
          <w:rFonts w:ascii="Calibri" w:cs="Calibri" w:eastAsia="Calibri" w:hAnsi="Calibri"/>
          <w:color w:val="222222"/>
          <w:sz w:val="20"/>
          <w:szCs w:val="20"/>
        </w:rPr>
        <w:t xml:space="preserve">9. Fase 6 · Guía de replicación en Power BI</w:t>
      </w:r>
    </w:p>
    <w:p>
      <w:pPr>
        <w:spacing w:after="40"/>
      </w:pPr>
      <w:r>
        <w:rPr>
          <w:rFonts w:ascii="Calibri" w:cs="Calibri" w:eastAsia="Calibri" w:hAnsi="Calibri"/>
          <w:color w:val="222222"/>
          <w:sz w:val="20"/>
          <w:szCs w:val="20"/>
        </w:rPr>
        <w:t xml:space="preserve">10. Fase 7 · Difusión</w:t>
      </w:r>
    </w:p>
    <w:p>
      <w:pPr>
        <w:spacing w:after="40"/>
      </w:pPr>
      <w:r>
        <w:rPr>
          <w:rFonts w:ascii="Calibri" w:cs="Calibri" w:eastAsia="Calibri" w:hAnsi="Calibri"/>
          <w:color w:val="222222"/>
          <w:sz w:val="20"/>
          <w:szCs w:val="20"/>
        </w:rPr>
        <w:t xml:space="preserve">11. El recorrido metodológico: iteraciones y decisiones</w:t>
      </w:r>
    </w:p>
    <w:p>
      <w:pPr>
        <w:spacing w:after="40"/>
      </w:pPr>
      <w:r>
        <w:rPr>
          <w:rFonts w:ascii="Calibri" w:cs="Calibri" w:eastAsia="Calibri" w:hAnsi="Calibri"/>
          <w:color w:val="222222"/>
          <w:sz w:val="20"/>
          <w:szCs w:val="20"/>
        </w:rPr>
        <w:t xml:space="preserve">12. Hallazgos principales</w:t>
      </w:r>
    </w:p>
    <w:p>
      <w:pPr>
        <w:spacing w:after="40"/>
      </w:pPr>
      <w:r>
        <w:rPr>
          <w:rFonts w:ascii="Calibri" w:cs="Calibri" w:eastAsia="Calibri" w:hAnsi="Calibri"/>
          <w:color w:val="222222"/>
          <w:sz w:val="20"/>
          <w:szCs w:val="20"/>
        </w:rPr>
        <w:t xml:space="preserve">13. Limitaciones y honestidad metodológica</w:t>
      </w:r>
    </w:p>
    <w:p>
      <w:pPr>
        <w:spacing w:after="40"/>
      </w:pPr>
      <w:r>
        <w:rPr>
          <w:rFonts w:ascii="Calibri" w:cs="Calibri" w:eastAsia="Calibri" w:hAnsi="Calibri"/>
          <w:color w:val="222222"/>
          <w:sz w:val="20"/>
          <w:szCs w:val="20"/>
        </w:rPr>
        <w:t xml:space="preserve">14. Reproducibilidad</w:t>
      </w:r>
    </w:p>
    <w:p>
      <w:pPr>
        <w:spacing w:after="40"/>
      </w:pPr>
      <w:r>
        <w:rPr>
          <w:rFonts w:ascii="Calibri" w:cs="Calibri" w:eastAsia="Calibri" w:hAnsi="Calibri"/>
          <w:color w:val="222222"/>
          <w:sz w:val="20"/>
          <w:szCs w:val="20"/>
        </w:rPr>
        <w:t xml:space="preserve">15. Stack tecnológico</w:t>
      </w:r>
    </w:p>
    <w:p>
      <w:pPr>
        <w:spacing w:after="40"/>
      </w:pPr>
      <w:r>
        <w:rPr>
          <w:rFonts w:ascii="Calibri" w:cs="Calibri" w:eastAsia="Calibri" w:hAnsi="Calibri"/>
          <w:color w:val="222222"/>
          <w:sz w:val="20"/>
          <w:szCs w:val="20"/>
        </w:rPr>
        <w:t xml:space="preserve">16. Entregables y estructura de archivos</w:t>
      </w:r>
    </w:p>
    <w:p>
      <w:pPr>
        <w:spacing w:after="40"/>
      </w:pPr>
      <w:r>
        <w:rPr>
          <w:rFonts w:ascii="Calibri" w:cs="Calibri" w:eastAsia="Calibri" w:hAnsi="Calibri"/>
          <w:color w:val="222222"/>
          <w:sz w:val="20"/>
          <w:szCs w:val="20"/>
        </w:rPr>
        <w:t xml:space="preserve">Anexo A. Diccionario de variables</w:t>
      </w:r>
    </w:p>
    <w:p>
      <w:pPr>
        <w:spacing w:after="40"/>
      </w:pPr>
      <w:r>
        <w:rPr>
          <w:rFonts w:ascii="Calibri" w:cs="Calibri" w:eastAsia="Calibri" w:hAnsi="Calibri"/>
          <w:color w:val="222222"/>
          <w:sz w:val="20"/>
          <w:szCs w:val="20"/>
        </w:rPr>
        <w:t xml:space="preserve">Anexo B. Glosario de términos</w:t>
      </w:r>
    </w:p>
    <w:p>
      <w:pPr>
        <w:spacing w:after="40"/>
      </w:pPr>
      <w:r>
        <w:rPr>
          <w:rFonts w:ascii="Calibri" w:cs="Calibri" w:eastAsia="Calibri" w:hAnsi="Calibri"/>
          <w:color w:val="222222"/>
          <w:sz w:val="20"/>
          <w:szCs w:val="20"/>
        </w:rPr>
        <w:t xml:space="preserve">Referencias</w:t>
      </w:r>
    </w:p>
    <w:p>
      <w:r>
        <w:br w:type="page"/>
      </w:r>
    </w:p>
    <w:p>
      <w:pPr>
        <w:pBdr>
          <w:bottom w:val="single" w:color="14304a" w:sz="6" w:space="3"/>
        </w:pBdr>
        <w:spacing w:after="120" w:before="260"/>
      </w:pPr>
      <w:r>
        <w:rPr>
          <w:rFonts w:ascii="Calibri" w:cs="Calibri" w:eastAsia="Calibri" w:hAnsi="Calibri"/>
          <w:b/>
          <w:bCs/>
          <w:color w:val="b81d24"/>
          <w:sz w:val="27"/>
          <w:szCs w:val="27"/>
        </w:rPr>
        <w:t xml:space="preserve"/>
      </w:r>
      <w:r>
        <w:rPr>
          <w:rFonts w:ascii="Calibri" w:cs="Calibri" w:eastAsia="Calibri" w:hAnsi="Calibri"/>
          <w:b/>
          <w:bCs/>
          <w:color w:val="14304a"/>
          <w:sz w:val="27"/>
          <w:szCs w:val="27"/>
        </w:rPr>
        <w:t xml:space="preserve">Resumen ejecutivo</w:t>
      </w:r>
    </w:p>
    <w:p>
      <w:pPr>
        <w:spacing w:after="120" w:line="270"/>
        <w:jc w:val="both"/>
      </w:pPr>
      <w:r>
        <w:rPr>
          <w:rFonts w:ascii="Calibri" w:cs="Calibri" w:eastAsia="Calibri" w:hAnsi="Calibri"/>
          <w:sz w:val="21"/>
          <w:szCs w:val="21"/>
        </w:rPr>
        <w:t xml:space="preserve">Este informe documenta, de principio a fin, el desarrollo de un proyecto de Big Data orientado a la vigilancia del dengue en el Perú. A partir de la serie histórica nacional de notificaciones del Centro Nacional de Epidemiología, Prevención y Control de Enfermedades (CDC-Perú) para el periodo 2000–2024, con 1 029 421 registros, se implementó un proceso ETL con Apache Spark, se construyó un modelo dimensional en esquema estrella, se entrenaron y compararon ocho modelos de aprendizaje automático con integración de variables climáticas de NASA POWER, y se diseñó un tablero de soporte a la decisión con una capa accionable compuesta por un canal endémico, un índice de priorización territorial, una proyección y un panel de recomendaciones.</w:t>
      </w:r>
    </w:p>
    <w:p>
      <w:pPr>
        <w:spacing w:after="120" w:line="270"/>
        <w:jc w:val="both"/>
      </w:pPr>
      <w:r>
        <w:rPr>
          <w:rFonts w:ascii="Calibri" w:cs="Calibri" w:eastAsia="Calibri" w:hAnsi="Calibri"/>
          <w:sz w:val="21"/>
          <w:szCs w:val="21"/>
        </w:rPr>
        <w:t xml:space="preserve">El trabajo se plantea explícitamente como una demostración metodológica reproducible sobre datos históricos —no como un sistema de vigilancia en producción—, cuyo mismo flujo, alimentado con datos actualizados, resultaría operativo. Entre los hallazgos principales: la epidemia de 2023–2024 concentró el 51,3 % de todos los casos históricos; el epicentro de la enfermedad se desplazó de Piura (2023) a Lima (2024); se evidenció un fuerte acoplamiento entre el fenómeno de El Niño y los brotes; y el mejor modelo de pronóstico —Gradient Boosting con clima— alcanzó un coeficiente de determinación (R²) de 0,60, confirmando que la incorporación del clima mejora los modelos más robustos, aunque no de manera uniforme.</w:t>
      </w:r>
    </w:p>
    <w:p>
      <w:pPr>
        <w:pBdr>
          <w:bottom w:val="single" w:color="14304a" w:sz="6" w:space="3"/>
        </w:pBdr>
        <w:spacing w:after="120" w:before="260"/>
      </w:pPr>
      <w:r>
        <w:rPr>
          <w:rFonts w:ascii="Calibri" w:cs="Calibri" w:eastAsia="Calibri" w:hAnsi="Calibri"/>
          <w:b/>
          <w:bCs/>
          <w:color w:val="b81d24"/>
          <w:sz w:val="27"/>
          <w:szCs w:val="27"/>
        </w:rPr>
        <w:t xml:space="preserve">1.  </w:t>
      </w:r>
      <w:r>
        <w:rPr>
          <w:rFonts w:ascii="Calibri" w:cs="Calibri" w:eastAsia="Calibri" w:hAnsi="Calibri"/>
          <w:b/>
          <w:bCs/>
          <w:color w:val="14304a"/>
          <w:sz w:val="27"/>
          <w:szCs w:val="27"/>
        </w:rPr>
        <w:t xml:space="preserve">Introducción y contexto</w:t>
      </w:r>
    </w:p>
    <w:p>
      <w:pPr>
        <w:spacing w:after="80" w:before="180"/>
      </w:pPr>
      <w:r>
        <w:rPr>
          <w:rFonts w:ascii="Calibri" w:cs="Calibri" w:eastAsia="Calibri" w:hAnsi="Calibri"/>
          <w:b/>
          <w:bCs/>
          <w:color w:val="1f7a6d"/>
          <w:sz w:val="22"/>
          <w:szCs w:val="22"/>
        </w:rPr>
        <w:t xml:space="preserve">1.1. El dengue como problema de salud pública</w:t>
      </w:r>
    </w:p>
    <w:p>
      <w:pPr>
        <w:spacing w:after="120" w:line="270"/>
        <w:jc w:val="both"/>
      </w:pPr>
      <w:r>
        <w:rPr>
          <w:rFonts w:ascii="Calibri" w:cs="Calibri" w:eastAsia="Calibri" w:hAnsi="Calibri"/>
          <w:sz w:val="21"/>
          <w:szCs w:val="21"/>
        </w:rPr>
        <w:t xml:space="preserve">El dengue es una enfermedad viral transmitida por mosquitos del género Aedes y constituye la arbovirosis de mayor expansión en el mundo; se estima que cada año se producen alrededor de 390 millones de infecciones. Su transmisión está fuertemente condicionada por factores ambientales —temperatura, humedad y precipitación—, que determinan la densidad y el ciclo de vida del vector, así como por factores sociales como la urbanización no planificada y el acceso a servicios de agua y saneamiento.</w:t>
      </w:r>
    </w:p>
    <w:p>
      <w:pPr>
        <w:spacing w:after="80" w:before="180"/>
      </w:pPr>
      <w:r>
        <w:rPr>
          <w:rFonts w:ascii="Calibri" w:cs="Calibri" w:eastAsia="Calibri" w:hAnsi="Calibri"/>
          <w:b/>
          <w:bCs/>
          <w:color w:val="1f7a6d"/>
          <w:sz w:val="22"/>
          <w:szCs w:val="22"/>
        </w:rPr>
        <w:t xml:space="preserve">1.2. La epidemia 2023–2024 y el fenómeno de El Niño</w:t>
      </w:r>
    </w:p>
    <w:p>
      <w:pPr>
        <w:spacing w:after="120" w:line="270"/>
        <w:jc w:val="both"/>
      </w:pPr>
      <w:r>
        <w:rPr>
          <w:rFonts w:ascii="Calibri" w:cs="Calibri" w:eastAsia="Calibri" w:hAnsi="Calibri"/>
          <w:sz w:val="21"/>
          <w:szCs w:val="21"/>
        </w:rPr>
        <w:t xml:space="preserve">Entre 2023 y 2024, el Perú afrontó la peor epidemia de dengue registrada en su historia. El contexto estuvo marcado por el fenómeno de El Niño Costero, que trajo lluvias intensas, inundaciones y un aumento de la temperatura a la costa norte, generando condiciones ideales para la proliferación del vector. Este escenario expuso la necesidad de fortalecer la capacidad analítica de los sistemas de vigilancia para anticipar y responder a los brotes.</w:t>
      </w:r>
    </w:p>
    <w:p>
      <w:pPr>
        <w:spacing w:after="80" w:before="180"/>
      </w:pPr>
      <w:r>
        <w:rPr>
          <w:rFonts w:ascii="Calibri" w:cs="Calibri" w:eastAsia="Calibri" w:hAnsi="Calibri"/>
          <w:b/>
          <w:bCs/>
          <w:color w:val="1f7a6d"/>
          <w:sz w:val="22"/>
          <w:szCs w:val="22"/>
        </w:rPr>
        <w:t xml:space="preserve">1.3. Big Data en la vigilancia epidemiológica</w:t>
      </w:r>
    </w:p>
    <w:p>
      <w:pPr>
        <w:spacing w:after="120" w:line="270"/>
        <w:jc w:val="both"/>
      </w:pPr>
      <w:r>
        <w:rPr>
          <w:rFonts w:ascii="Calibri" w:cs="Calibri" w:eastAsia="Calibri" w:hAnsi="Calibri"/>
          <w:sz w:val="21"/>
          <w:szCs w:val="21"/>
        </w:rPr>
        <w:t xml:space="preserve">La vigilancia del dengue se sustenta en la Red Nacional de Epidemiología (RENACE), conformada por más de diez mil establecimientos de salud que reportan de forma continua. Este flujo masivo y sostenido de notificaciones constituye un caso paradigmático de Big Data, en tanto satisface las tres V —volumen, variedad y velocidad—, y su aprovechamiento exige herramientas de procesamiento distribuido y técnicas de minería de datos capaces de escalar.</w:t>
      </w:r>
    </w:p>
    <w:p>
      <w:pPr>
        <w:spacing w:after="80" w:before="180"/>
      </w:pPr>
      <w:r>
        <w:rPr>
          <w:rFonts w:ascii="Calibri" w:cs="Calibri" w:eastAsia="Calibri" w:hAnsi="Calibri"/>
          <w:b/>
          <w:bCs/>
          <w:color w:val="1f7a6d"/>
          <w:sz w:val="22"/>
          <w:szCs w:val="22"/>
        </w:rPr>
        <w:t xml:space="preserve">1.4. Objetivo y naturaleza del proyecto</w:t>
      </w:r>
    </w:p>
    <w:p>
      <w:pPr>
        <w:spacing w:after="120" w:line="270"/>
        <w:jc w:val="both"/>
      </w:pPr>
      <w:r>
        <w:rPr>
          <w:rFonts w:ascii="Calibri" w:cs="Calibri" w:eastAsia="Calibri" w:hAnsi="Calibri"/>
          <w:sz w:val="21"/>
          <w:szCs w:val="21"/>
        </w:rPr>
        <w:t xml:space="preserve">El objetivo es demostrar cómo un flujo completo de analítica de Big Data —ingesta, procesamiento distribuido, minería de datos y visualización— transforma datos crudos de vigilancia en información accionable. Debe subrayarse su naturaleza: es una prueba de concepto sobre datos históricos reales, no un sistema desplegado en tiempo real. Esta precisión, lejos de restarle valor, lo hace honesto y defendible; lo que se demuestra es el dominio del pipeline y la validez de las conclusiones, ambos transferibles a un entorno con datos en vivo.</w:t>
      </w:r>
    </w:p>
    <w:p>
      <w:pPr>
        <w:spacing w:after="80" w:before="180"/>
      </w:pPr>
      <w:r>
        <w:rPr>
          <w:rFonts w:ascii="Calibri" w:cs="Calibri" w:eastAsia="Calibri" w:hAnsi="Calibri"/>
          <w:b/>
          <w:bCs/>
          <w:color w:val="1f7a6d"/>
          <w:sz w:val="22"/>
          <w:szCs w:val="22"/>
        </w:rPr>
        <w:t xml:space="preserve">1.5. Preguntas que responde el proyecto</w:t>
      </w:r>
    </w:p>
    <w:p>
      <w:pPr>
        <w:pStyle w:val="ListParagraph"/>
        <w:numPr>
          <w:ilvl w:val="0"/>
          <w:numId w:val="1"/>
        </w:numPr>
        <w:spacing w:after="60"/>
      </w:pPr>
      <w:r>
        <w:rPr>
          <w:rFonts w:ascii="Calibri" w:cs="Calibri" w:eastAsia="Calibri" w:hAnsi="Calibri"/>
          <w:sz w:val="21"/>
          <w:szCs w:val="21"/>
        </w:rPr>
        <w:t xml:space="preserve">¿Cuál es la magnitud, la distribución y la evolución del dengue en el Perú?</w:t>
      </w:r>
    </w:p>
    <w:p>
      <w:pPr>
        <w:pStyle w:val="ListParagraph"/>
        <w:numPr>
          <w:ilvl w:val="0"/>
          <w:numId w:val="1"/>
        </w:numPr>
        <w:spacing w:after="60"/>
      </w:pPr>
      <w:r>
        <w:rPr>
          <w:rFonts w:ascii="Calibri" w:cs="Calibri" w:eastAsia="Calibri" w:hAnsi="Calibri"/>
          <w:sz w:val="21"/>
          <w:szCs w:val="21"/>
        </w:rPr>
        <w:t xml:space="preserve">¿Es posible pronosticar los casos y qué papel juega el clima?</w:t>
      </w:r>
    </w:p>
    <w:p>
      <w:pPr>
        <w:pStyle w:val="ListParagraph"/>
        <w:numPr>
          <w:ilvl w:val="0"/>
          <w:numId w:val="1"/>
        </w:numPr>
        <w:spacing w:after="60"/>
      </w:pPr>
      <w:r>
        <w:rPr>
          <w:rFonts w:ascii="Calibri" w:cs="Calibri" w:eastAsia="Calibri" w:hAnsi="Calibri"/>
          <w:sz w:val="21"/>
          <w:szCs w:val="21"/>
        </w:rPr>
        <w:t xml:space="preserve">¿Cómo convertir ese análisis en información que oriente decisiones (dónde, cuándo y cómo intervenir)?</w:t>
      </w:r>
    </w:p>
    <w:p>
      <w:pPr>
        <w:pBdr>
          <w:bottom w:val="single" w:color="14304a" w:sz="6" w:space="3"/>
        </w:pBdr>
        <w:spacing w:after="120" w:before="260"/>
      </w:pPr>
      <w:r>
        <w:rPr>
          <w:rFonts w:ascii="Calibri" w:cs="Calibri" w:eastAsia="Calibri" w:hAnsi="Calibri"/>
          <w:b/>
          <w:bCs/>
          <w:color w:val="b81d24"/>
          <w:sz w:val="27"/>
          <w:szCs w:val="27"/>
        </w:rPr>
        <w:t xml:space="preserve">2.  </w:t>
      </w:r>
      <w:r>
        <w:rPr>
          <w:rFonts w:ascii="Calibri" w:cs="Calibri" w:eastAsia="Calibri" w:hAnsi="Calibri"/>
          <w:b/>
          <w:bCs/>
          <w:color w:val="14304a"/>
          <w:sz w:val="27"/>
          <w:szCs w:val="27"/>
        </w:rPr>
        <w:t xml:space="preserve">Flujo de trabajo y metodología</w:t>
      </w:r>
    </w:p>
    <w:p>
      <w:pPr>
        <w:spacing w:after="120" w:line="270"/>
        <w:jc w:val="both"/>
      </w:pPr>
      <w:r>
        <w:rPr>
          <w:rFonts w:ascii="Calibri" w:cs="Calibri" w:eastAsia="Calibri" w:hAnsi="Calibri"/>
          <w:sz w:val="21"/>
          <w:szCs w:val="21"/>
        </w:rPr>
        <w:t xml:space="preserve">El proyecto siguió un diseño cuantitativo de fuente secundaria, organizado en cinco fases encadenadas, cada una asociada a una unidad del sílabo. La Figura 1 resume el flujo y la Tabla 1 detalla la correspondencia con herramientas y competencias.</w:t>
      </w:r>
    </w:p>
    <w:p>
      <w:pPr>
        <w:spacing w:after="30" w:before="120"/>
        <w:jc w:val="center"/>
      </w:pPr>
      <w:r>
        <w:drawing>
          <wp:inline distT="0" distB="0" distL="0" distR="0">
            <wp:extent cx="4572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05025"/>
                    </a:xfrm>
                    <a:prstGeom prst="rect">
                      <a:avLst/>
                    </a:prstGeom>
                  </pic:spPr>
                </pic:pic>
              </a:graphicData>
            </a:graphic>
          </wp:inline>
        </w:drawing>
      </w:r>
    </w:p>
    <w:p>
      <w:pPr>
        <w:spacing w:after="150"/>
        <w:jc w:val="center"/>
      </w:pPr>
      <w:r>
        <w:rPr>
          <w:rFonts w:ascii="Calibri" w:cs="Calibri" w:eastAsia="Calibri" w:hAnsi="Calibri"/>
          <w:i/>
          <w:iCs/>
          <w:color w:val="666666"/>
          <w:sz w:val="17"/>
          <w:szCs w:val="17"/>
        </w:rPr>
        <w:t xml:space="preserve">Figura 1. Flujo de trabajo del proyecto: de los datos crudos a la información accionable.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20"/>
        <w:gridCol w:w="3080"/>
        <w:gridCol w:w="2600"/>
        <w:gridCol w:w="2500"/>
      </w:tblGrid>
      <w:tr>
        <w:trPr>
          <w:tblHeader/>
        </w:trPr>
        <w:tc>
          <w:tcPr>
            <w:tcW w:type="dxa" w:w="82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Fase</w:t>
            </w:r>
          </w:p>
        </w:tc>
        <w:tc>
          <w:tcPr>
            <w:tcW w:type="dxa" w:w="308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Actividad</w:t>
            </w:r>
          </w:p>
        </w:tc>
        <w:tc>
          <w:tcPr>
            <w:tcW w:type="dxa" w:w="26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Herramienta</w:t>
            </w:r>
          </w:p>
        </w:tc>
        <w:tc>
          <w:tcPr>
            <w:tcW w:type="dxa" w:w="25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Unidad del sílabo</w:t>
            </w:r>
          </w:p>
        </w:tc>
      </w:tr>
      <w:tr>
        <w:tc>
          <w:tcPr>
            <w:tcW w:type="dxa" w:w="820"/>
            <w:tcMar>
              <w:top w:type="dxa" w:w="34"/>
              <w:left w:type="dxa" w:w="90"/>
              <w:bottom w:type="dxa" w:w="34"/>
              <w:right w:type="dxa" w:w="90"/>
            </w:tcMar>
          </w:tcPr>
          <w:p>
            <w:r>
              <w:rPr>
                <w:rFonts w:ascii="Calibri" w:cs="Calibri" w:eastAsia="Calibri" w:hAnsi="Calibri"/>
                <w:sz w:val="16"/>
                <w:szCs w:val="16"/>
              </w:rPr>
              <w:t xml:space="preserve">1</w:t>
            </w:r>
          </w:p>
        </w:tc>
        <w:tc>
          <w:tcPr>
            <w:tcW w:type="dxa" w:w="3080"/>
            <w:tcMar>
              <w:top w:type="dxa" w:w="34"/>
              <w:left w:type="dxa" w:w="90"/>
              <w:bottom w:type="dxa" w:w="34"/>
              <w:right w:type="dxa" w:w="90"/>
            </w:tcMar>
          </w:tcPr>
          <w:p>
            <w:r>
              <w:rPr>
                <w:rFonts w:ascii="Calibri" w:cs="Calibri" w:eastAsia="Calibri" w:hAnsi="Calibri"/>
                <w:sz w:val="16"/>
                <w:szCs w:val="16"/>
              </w:rPr>
              <w:t xml:space="preserve">Fuente y caracterización (3 V) + EDA</w:t>
            </w:r>
          </w:p>
        </w:tc>
        <w:tc>
          <w:tcPr>
            <w:tcW w:type="dxa" w:w="2600"/>
            <w:tcMar>
              <w:top w:type="dxa" w:w="34"/>
              <w:left w:type="dxa" w:w="90"/>
              <w:bottom w:type="dxa" w:w="34"/>
              <w:right w:type="dxa" w:w="90"/>
            </w:tcMar>
          </w:tcPr>
          <w:p>
            <w:r>
              <w:rPr>
                <w:rFonts w:ascii="Calibri" w:cs="Calibri" w:eastAsia="Calibri" w:hAnsi="Calibri"/>
                <w:sz w:val="16"/>
                <w:szCs w:val="16"/>
              </w:rPr>
              <w:t xml:space="preserve">Datos abiertos MINSA</w:t>
            </w:r>
          </w:p>
        </w:tc>
        <w:tc>
          <w:tcPr>
            <w:tcW w:type="dxa" w:w="2500"/>
            <w:tcMar>
              <w:top w:type="dxa" w:w="34"/>
              <w:left w:type="dxa" w:w="90"/>
              <w:bottom w:type="dxa" w:w="34"/>
              <w:right w:type="dxa" w:w="90"/>
            </w:tcMar>
          </w:tcPr>
          <w:p>
            <w:r>
              <w:rPr>
                <w:rFonts w:ascii="Calibri" w:cs="Calibri" w:eastAsia="Calibri" w:hAnsi="Calibri"/>
                <w:sz w:val="16"/>
                <w:szCs w:val="16"/>
              </w:rPr>
              <w:t xml:space="preserve">U1 · Fundamentos</w:t>
            </w:r>
          </w:p>
        </w:tc>
      </w:tr>
      <w:tr>
        <w:tc>
          <w:tcPr>
            <w:tcW w:type="dxa" w:w="820"/>
            <w:shd w:fill="eef2f5" w:val="clear"/>
            <w:tcMar>
              <w:top w:type="dxa" w:w="34"/>
              <w:left w:type="dxa" w:w="90"/>
              <w:bottom w:type="dxa" w:w="34"/>
              <w:right w:type="dxa" w:w="90"/>
            </w:tcMar>
          </w:tcPr>
          <w:p>
            <w:r>
              <w:rPr>
                <w:rFonts w:ascii="Calibri" w:cs="Calibri" w:eastAsia="Calibri" w:hAnsi="Calibri"/>
                <w:sz w:val="16"/>
                <w:szCs w:val="16"/>
              </w:rPr>
              <w:t xml:space="preserve">2</w:t>
            </w:r>
          </w:p>
        </w:tc>
        <w:tc>
          <w:tcPr>
            <w:tcW w:type="dxa" w:w="3080"/>
            <w:shd w:fill="eef2f5" w:val="clear"/>
            <w:tcMar>
              <w:top w:type="dxa" w:w="34"/>
              <w:left w:type="dxa" w:w="90"/>
              <w:bottom w:type="dxa" w:w="34"/>
              <w:right w:type="dxa" w:w="90"/>
            </w:tcMar>
          </w:tcPr>
          <w:p>
            <w:r>
              <w:rPr>
                <w:rFonts w:ascii="Calibri" w:cs="Calibri" w:eastAsia="Calibri" w:hAnsi="Calibri"/>
                <w:sz w:val="16"/>
                <w:szCs w:val="16"/>
              </w:rPr>
              <w:t xml:space="preserve">ETL y modelo dimensional</w:t>
            </w:r>
          </w:p>
        </w:tc>
        <w:tc>
          <w:tcPr>
            <w:tcW w:type="dxa" w:w="2600"/>
            <w:shd w:fill="eef2f5" w:val="clear"/>
            <w:tcMar>
              <w:top w:type="dxa" w:w="34"/>
              <w:left w:type="dxa" w:w="90"/>
              <w:bottom w:type="dxa" w:w="34"/>
              <w:right w:type="dxa" w:w="90"/>
            </w:tcMar>
          </w:tcPr>
          <w:p>
            <w:r>
              <w:rPr>
                <w:rFonts w:ascii="Calibri" w:cs="Calibri" w:eastAsia="Calibri" w:hAnsi="Calibri"/>
                <w:sz w:val="16"/>
                <w:szCs w:val="16"/>
              </w:rPr>
              <w:t xml:space="preserve">Apache Spark (PySpark)</w:t>
            </w:r>
          </w:p>
        </w:tc>
        <w:tc>
          <w:tcPr>
            <w:tcW w:type="dxa" w:w="2500"/>
            <w:shd w:fill="eef2f5" w:val="clear"/>
            <w:tcMar>
              <w:top w:type="dxa" w:w="34"/>
              <w:left w:type="dxa" w:w="90"/>
              <w:bottom w:type="dxa" w:w="34"/>
              <w:right w:type="dxa" w:w="90"/>
            </w:tcMar>
          </w:tcPr>
          <w:p>
            <w:r>
              <w:rPr>
                <w:rFonts w:ascii="Calibri" w:cs="Calibri" w:eastAsia="Calibri" w:hAnsi="Calibri"/>
                <w:sz w:val="16"/>
                <w:szCs w:val="16"/>
              </w:rPr>
              <w:t xml:space="preserve">U2 · Software libre</w:t>
            </w:r>
          </w:p>
        </w:tc>
      </w:tr>
      <w:tr>
        <w:tc>
          <w:tcPr>
            <w:tcW w:type="dxa" w:w="820"/>
            <w:tcMar>
              <w:top w:type="dxa" w:w="34"/>
              <w:left w:type="dxa" w:w="90"/>
              <w:bottom w:type="dxa" w:w="34"/>
              <w:right w:type="dxa" w:w="90"/>
            </w:tcMar>
          </w:tcPr>
          <w:p>
            <w:r>
              <w:rPr>
                <w:rFonts w:ascii="Calibri" w:cs="Calibri" w:eastAsia="Calibri" w:hAnsi="Calibri"/>
                <w:sz w:val="16"/>
                <w:szCs w:val="16"/>
              </w:rPr>
              <w:t xml:space="preserve">3</w:t>
            </w:r>
          </w:p>
        </w:tc>
        <w:tc>
          <w:tcPr>
            <w:tcW w:type="dxa" w:w="3080"/>
            <w:tcMar>
              <w:top w:type="dxa" w:w="34"/>
              <w:left w:type="dxa" w:w="90"/>
              <w:bottom w:type="dxa" w:w="34"/>
              <w:right w:type="dxa" w:w="90"/>
            </w:tcMar>
          </w:tcPr>
          <w:p>
            <w:r>
              <w:rPr>
                <w:rFonts w:ascii="Calibri" w:cs="Calibri" w:eastAsia="Calibri" w:hAnsi="Calibri"/>
                <w:sz w:val="16"/>
                <w:szCs w:val="16"/>
              </w:rPr>
              <w:t xml:space="preserve">Enriquecimiento climático</w:t>
            </w:r>
          </w:p>
        </w:tc>
        <w:tc>
          <w:tcPr>
            <w:tcW w:type="dxa" w:w="2600"/>
            <w:tcMar>
              <w:top w:type="dxa" w:w="34"/>
              <w:left w:type="dxa" w:w="90"/>
              <w:bottom w:type="dxa" w:w="34"/>
              <w:right w:type="dxa" w:w="90"/>
            </w:tcMar>
          </w:tcPr>
          <w:p>
            <w:r>
              <w:rPr>
                <w:rFonts w:ascii="Calibri" w:cs="Calibri" w:eastAsia="Calibri" w:hAnsi="Calibri"/>
                <w:sz w:val="16"/>
                <w:szCs w:val="16"/>
              </w:rPr>
              <w:t xml:space="preserve">NASA POWER (API)</w:t>
            </w:r>
          </w:p>
        </w:tc>
        <w:tc>
          <w:tcPr>
            <w:tcW w:type="dxa" w:w="2500"/>
            <w:tcMar>
              <w:top w:type="dxa" w:w="34"/>
              <w:left w:type="dxa" w:w="90"/>
              <w:bottom w:type="dxa" w:w="34"/>
              <w:right w:type="dxa" w:w="90"/>
            </w:tcMar>
          </w:tcPr>
          <w:p>
            <w:r>
              <w:rPr>
                <w:rFonts w:ascii="Calibri" w:cs="Calibri" w:eastAsia="Calibri" w:hAnsi="Calibri"/>
                <w:sz w:val="16"/>
                <w:szCs w:val="16"/>
              </w:rPr>
              <w:t xml:space="preserve">U1-U2 · Variedad de fuentes</w:t>
            </w:r>
          </w:p>
        </w:tc>
      </w:tr>
      <w:tr>
        <w:tc>
          <w:tcPr>
            <w:tcW w:type="dxa" w:w="820"/>
            <w:shd w:fill="eef2f5" w:val="clear"/>
            <w:tcMar>
              <w:top w:type="dxa" w:w="34"/>
              <w:left w:type="dxa" w:w="90"/>
              <w:bottom w:type="dxa" w:w="34"/>
              <w:right w:type="dxa" w:w="90"/>
            </w:tcMar>
          </w:tcPr>
          <w:p>
            <w:r>
              <w:rPr>
                <w:rFonts w:ascii="Calibri" w:cs="Calibri" w:eastAsia="Calibri" w:hAnsi="Calibri"/>
                <w:sz w:val="16"/>
                <w:szCs w:val="16"/>
              </w:rPr>
              <w:t xml:space="preserve">4</w:t>
            </w:r>
          </w:p>
        </w:tc>
        <w:tc>
          <w:tcPr>
            <w:tcW w:type="dxa" w:w="3080"/>
            <w:shd w:fill="eef2f5" w:val="clear"/>
            <w:tcMar>
              <w:top w:type="dxa" w:w="34"/>
              <w:left w:type="dxa" w:w="90"/>
              <w:bottom w:type="dxa" w:w="34"/>
              <w:right w:type="dxa" w:w="90"/>
            </w:tcMar>
          </w:tcPr>
          <w:p>
            <w:r>
              <w:rPr>
                <w:rFonts w:ascii="Calibri" w:cs="Calibri" w:eastAsia="Calibri" w:hAnsi="Calibri"/>
                <w:sz w:val="16"/>
                <w:szCs w:val="16"/>
              </w:rPr>
              <w:t xml:space="preserve">Minería de datos y ML</w:t>
            </w:r>
          </w:p>
        </w:tc>
        <w:tc>
          <w:tcPr>
            <w:tcW w:type="dxa" w:w="2600"/>
            <w:shd w:fill="eef2f5" w:val="clear"/>
            <w:tcMar>
              <w:top w:type="dxa" w:w="34"/>
              <w:left w:type="dxa" w:w="90"/>
              <w:bottom w:type="dxa" w:w="34"/>
              <w:right w:type="dxa" w:w="90"/>
            </w:tcMar>
          </w:tcPr>
          <w:p>
            <w:r>
              <w:rPr>
                <w:rFonts w:ascii="Calibri" w:cs="Calibri" w:eastAsia="Calibri" w:hAnsi="Calibri"/>
                <w:sz w:val="16"/>
                <w:szCs w:val="16"/>
              </w:rPr>
              <w:t xml:space="preserve">Spark MLlib, scikit-learn</w:t>
            </w:r>
          </w:p>
        </w:tc>
        <w:tc>
          <w:tcPr>
            <w:tcW w:type="dxa" w:w="2500"/>
            <w:shd w:fill="eef2f5" w:val="clear"/>
            <w:tcMar>
              <w:top w:type="dxa" w:w="34"/>
              <w:left w:type="dxa" w:w="90"/>
              <w:bottom w:type="dxa" w:w="34"/>
              <w:right w:type="dxa" w:w="90"/>
            </w:tcMar>
          </w:tcPr>
          <w:p>
            <w:r>
              <w:rPr>
                <w:rFonts w:ascii="Calibri" w:cs="Calibri" w:eastAsia="Calibri" w:hAnsi="Calibri"/>
                <w:sz w:val="16"/>
                <w:szCs w:val="16"/>
              </w:rPr>
              <w:t xml:space="preserve">U3-U4 · Licenciado + minería</w:t>
            </w:r>
          </w:p>
        </w:tc>
      </w:tr>
      <w:tr>
        <w:tc>
          <w:tcPr>
            <w:tcW w:type="dxa" w:w="820"/>
            <w:tcMar>
              <w:top w:type="dxa" w:w="34"/>
              <w:left w:type="dxa" w:w="90"/>
              <w:bottom w:type="dxa" w:w="34"/>
              <w:right w:type="dxa" w:w="90"/>
            </w:tcMar>
          </w:tcPr>
          <w:p>
            <w:r>
              <w:rPr>
                <w:rFonts w:ascii="Calibri" w:cs="Calibri" w:eastAsia="Calibri" w:hAnsi="Calibri"/>
                <w:sz w:val="16"/>
                <w:szCs w:val="16"/>
              </w:rPr>
              <w:t xml:space="preserve">5</w:t>
            </w:r>
          </w:p>
        </w:tc>
        <w:tc>
          <w:tcPr>
            <w:tcW w:type="dxa" w:w="3080"/>
            <w:tcMar>
              <w:top w:type="dxa" w:w="34"/>
              <w:left w:type="dxa" w:w="90"/>
              <w:bottom w:type="dxa" w:w="34"/>
              <w:right w:type="dxa" w:w="90"/>
            </w:tcMar>
          </w:tcPr>
          <w:p>
            <w:r>
              <w:rPr>
                <w:rFonts w:ascii="Calibri" w:cs="Calibri" w:eastAsia="Calibri" w:hAnsi="Calibri"/>
                <w:sz w:val="16"/>
                <w:szCs w:val="16"/>
              </w:rPr>
              <w:t xml:space="preserve">Visualización y decisión</w:t>
            </w:r>
          </w:p>
        </w:tc>
        <w:tc>
          <w:tcPr>
            <w:tcW w:type="dxa" w:w="2600"/>
            <w:tcMar>
              <w:top w:type="dxa" w:w="34"/>
              <w:left w:type="dxa" w:w="90"/>
              <w:bottom w:type="dxa" w:w="34"/>
              <w:right w:type="dxa" w:w="90"/>
            </w:tcMar>
          </w:tcPr>
          <w:p>
            <w:r>
              <w:rPr>
                <w:rFonts w:ascii="Calibri" w:cs="Calibri" w:eastAsia="Calibri" w:hAnsi="Calibri"/>
                <w:sz w:val="16"/>
                <w:szCs w:val="16"/>
              </w:rPr>
              <w:t xml:space="preserve">Power BI / prototipo web</w:t>
            </w:r>
          </w:p>
        </w:tc>
        <w:tc>
          <w:tcPr>
            <w:tcW w:type="dxa" w:w="2500"/>
            <w:tcMar>
              <w:top w:type="dxa" w:w="34"/>
              <w:left w:type="dxa" w:w="90"/>
              <w:bottom w:type="dxa" w:w="34"/>
              <w:right w:type="dxa" w:w="90"/>
            </w:tcMar>
          </w:tcPr>
          <w:p>
            <w:r>
              <w:rPr>
                <w:rFonts w:ascii="Calibri" w:cs="Calibri" w:eastAsia="Calibri" w:hAnsi="Calibri"/>
                <w:sz w:val="16"/>
                <w:szCs w:val="16"/>
              </w:rPr>
              <w:t xml:space="preserve">U4 · Panel de control</w:t>
            </w:r>
          </w:p>
        </w:tc>
      </w:tr>
    </w:tbl>
    <w:p>
      <w:pPr>
        <w:spacing w:after="150"/>
        <w:jc w:val="center"/>
      </w:pPr>
      <w:r>
        <w:rPr>
          <w:rFonts w:ascii="Calibri" w:cs="Calibri" w:eastAsia="Calibri" w:hAnsi="Calibri"/>
          <w:i/>
          <w:iCs/>
          <w:color w:val="666666"/>
          <w:sz w:val="17"/>
          <w:szCs w:val="17"/>
        </w:rPr>
        <w:t xml:space="preserve">Tabla 1. Correspondencia entre fases, herramientas y unidades del curso.</w:t>
      </w:r>
    </w:p>
    <w:p>
      <w:pPr>
        <w:pBdr>
          <w:bottom w:val="single" w:color="14304a" w:sz="6" w:space="3"/>
        </w:pBdr>
        <w:spacing w:after="120" w:before="260"/>
      </w:pPr>
      <w:r>
        <w:rPr>
          <w:rFonts w:ascii="Calibri" w:cs="Calibri" w:eastAsia="Calibri" w:hAnsi="Calibri"/>
          <w:b/>
          <w:bCs/>
          <w:color w:val="b81d24"/>
          <w:sz w:val="27"/>
          <w:szCs w:val="27"/>
        </w:rPr>
        <w:t xml:space="preserve">3.  </w:t>
      </w:r>
      <w:r>
        <w:rPr>
          <w:rFonts w:ascii="Calibri" w:cs="Calibri" w:eastAsia="Calibri" w:hAnsi="Calibri"/>
          <w:b/>
          <w:bCs/>
          <w:color w:val="14304a"/>
          <w:sz w:val="27"/>
          <w:szCs w:val="27"/>
        </w:rPr>
        <w:t xml:space="preserve">Fase 1 · Fuente de datos y análisis exploratorio</w:t>
      </w:r>
    </w:p>
    <w:p>
      <w:pPr>
        <w:spacing w:after="80" w:before="180"/>
      </w:pPr>
      <w:r>
        <w:rPr>
          <w:rFonts w:ascii="Calibri" w:cs="Calibri" w:eastAsia="Calibri" w:hAnsi="Calibri"/>
          <w:b/>
          <w:bCs/>
          <w:color w:val="1f7a6d"/>
          <w:sz w:val="22"/>
          <w:szCs w:val="22"/>
        </w:rPr>
        <w:t xml:space="preserve">3.1. Descripción del dataset</w:t>
      </w:r>
    </w:p>
    <w:p>
      <w:pPr>
        <w:spacing w:after="120" w:line="270"/>
        <w:jc w:val="both"/>
      </w:pPr>
      <w:r>
        <w:rPr>
          <w:rFonts w:ascii="Calibri" w:cs="Calibri" w:eastAsia="Calibri" w:hAnsi="Calibri"/>
          <w:sz w:val="21"/>
          <w:szCs w:val="21"/>
        </w:rPr>
        <w:t xml:space="preserve">Se utilizó el conjunto de datos abiertos </w:t>
      </w:r>
      <w:r>
        <w:rPr>
          <w:rFonts w:ascii="Calibri" w:cs="Calibri" w:eastAsia="Calibri" w:hAnsi="Calibri"/>
          <w:i/>
          <w:iCs/>
          <w:sz w:val="21"/>
          <w:szCs w:val="21"/>
        </w:rPr>
        <w:t xml:space="preserve">«Vigilancia Epidemiológica de dengue»</w:t>
      </w:r>
      <w:r>
        <w:rPr>
          <w:rFonts w:ascii="Calibri" w:cs="Calibri" w:eastAsia="Calibri" w:hAnsi="Calibri"/>
          <w:sz w:val="21"/>
          <w:szCs w:val="21"/>
        </w:rPr>
        <w:t xml:space="preserve"> del Ministerio de Salud (CDC-Perú), publicado en la Plataforma Nacional de Datos Abiertos bajo licencia Open Data Commons Attribution (ODC-BY). El archivo CSV (108 MB, codificación UTF-8, separador punto y coma) contiene 1 029 421 notificaciones individuales entre los años 2000 y 2024. Cada fila representa un caso notificado.</w:t>
      </w:r>
    </w:p>
    <w:p>
      <w:pPr>
        <w:spacing w:after="80" w:before="180"/>
      </w:pPr>
      <w:r>
        <w:rPr>
          <w:rFonts w:ascii="Calibri" w:cs="Calibri" w:eastAsia="Calibri" w:hAnsi="Calibri"/>
          <w:b/>
          <w:bCs/>
          <w:color w:val="1f7a6d"/>
          <w:sz w:val="22"/>
          <w:szCs w:val="22"/>
        </w:rPr>
        <w:t xml:space="preserve">3.2. Las tres V del Big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Dimensión</w:t>
            </w:r>
          </w:p>
        </w:tc>
        <w:tc>
          <w:tcPr>
            <w:tcW w:type="dxa" w:w="68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Manifestación en el dataset</w:t>
            </w:r>
          </w:p>
        </w:tc>
      </w:tr>
      <w:tr>
        <w:tc>
          <w:tcPr>
            <w:tcW w:type="dxa" w:w="2400"/>
            <w:tcMar>
              <w:top w:type="dxa" w:w="34"/>
              <w:left w:type="dxa" w:w="90"/>
              <w:bottom w:type="dxa" w:w="34"/>
              <w:right w:type="dxa" w:w="90"/>
            </w:tcMar>
          </w:tcPr>
          <w:p>
            <w:r>
              <w:rPr>
                <w:rFonts w:ascii="Calibri" w:cs="Calibri" w:eastAsia="Calibri" w:hAnsi="Calibri"/>
                <w:sz w:val="16"/>
                <w:szCs w:val="16"/>
              </w:rPr>
              <w:t xml:space="preserve">Volumen</w:t>
            </w:r>
          </w:p>
        </w:tc>
        <w:tc>
          <w:tcPr>
            <w:tcW w:type="dxa" w:w="6800"/>
            <w:tcMar>
              <w:top w:type="dxa" w:w="34"/>
              <w:left w:type="dxa" w:w="90"/>
              <w:bottom w:type="dxa" w:w="34"/>
              <w:right w:type="dxa" w:w="90"/>
            </w:tcMar>
          </w:tcPr>
          <w:p>
            <w:r>
              <w:rPr>
                <w:rFonts w:ascii="Calibri" w:cs="Calibri" w:eastAsia="Calibri" w:hAnsi="Calibri"/>
                <w:sz w:val="16"/>
                <w:szCs w:val="16"/>
              </w:rPr>
              <w:t xml:space="preserve">1 029 421 registros · 108 MB · serie de 25 años</w:t>
            </w:r>
          </w:p>
        </w:tc>
      </w:tr>
      <w:tr>
        <w:tc>
          <w:tcPr>
            <w:tcW w:type="dxa" w:w="2400"/>
            <w:shd w:fill="eef2f5" w:val="clear"/>
            <w:tcMar>
              <w:top w:type="dxa" w:w="34"/>
              <w:left w:type="dxa" w:w="90"/>
              <w:bottom w:type="dxa" w:w="34"/>
              <w:right w:type="dxa" w:w="90"/>
            </w:tcMar>
          </w:tcPr>
          <w:p>
            <w:r>
              <w:rPr>
                <w:rFonts w:ascii="Calibri" w:cs="Calibri" w:eastAsia="Calibri" w:hAnsi="Calibri"/>
                <w:sz w:val="16"/>
                <w:szCs w:val="16"/>
              </w:rPr>
              <w:t xml:space="preserve">Variedad</w:t>
            </w:r>
          </w:p>
        </w:tc>
        <w:tc>
          <w:tcPr>
            <w:tcW w:type="dxa" w:w="6800"/>
            <w:shd w:fill="eef2f5" w:val="clear"/>
            <w:tcMar>
              <w:top w:type="dxa" w:w="34"/>
              <w:left w:type="dxa" w:w="90"/>
              <w:bottom w:type="dxa" w:w="34"/>
              <w:right w:type="dxa" w:w="90"/>
            </w:tcMar>
          </w:tcPr>
          <w:p>
            <w:r>
              <w:rPr>
                <w:rFonts w:ascii="Calibri" w:cs="Calibri" w:eastAsia="Calibri" w:hAnsi="Calibri"/>
                <w:sz w:val="16"/>
                <w:szCs w:val="16"/>
              </w:rPr>
              <w:t xml:space="preserve">14 atributos: geográficos, temporales, clínicos y demográficos</w:t>
            </w:r>
          </w:p>
        </w:tc>
      </w:tr>
      <w:tr>
        <w:tc>
          <w:tcPr>
            <w:tcW w:type="dxa" w:w="2400"/>
            <w:tcMar>
              <w:top w:type="dxa" w:w="34"/>
              <w:left w:type="dxa" w:w="90"/>
              <w:bottom w:type="dxa" w:w="34"/>
              <w:right w:type="dxa" w:w="90"/>
            </w:tcMar>
          </w:tcPr>
          <w:p>
            <w:r>
              <w:rPr>
                <w:rFonts w:ascii="Calibri" w:cs="Calibri" w:eastAsia="Calibri" w:hAnsi="Calibri"/>
                <w:sz w:val="16"/>
                <w:szCs w:val="16"/>
              </w:rPr>
              <w:t xml:space="preserve">Velocidad</w:t>
            </w:r>
          </w:p>
        </w:tc>
        <w:tc>
          <w:tcPr>
            <w:tcW w:type="dxa" w:w="6800"/>
            <w:tcMar>
              <w:top w:type="dxa" w:w="34"/>
              <w:left w:type="dxa" w:w="90"/>
              <w:bottom w:type="dxa" w:w="34"/>
              <w:right w:type="dxa" w:w="90"/>
            </w:tcMar>
          </w:tcPr>
          <w:p>
            <w:r>
              <w:rPr>
                <w:rFonts w:ascii="Calibri" w:cs="Calibri" w:eastAsia="Calibri" w:hAnsi="Calibri"/>
                <w:sz w:val="16"/>
                <w:szCs w:val="16"/>
              </w:rPr>
              <w:t xml:space="preserve">Actualización semanal de la RENACE (10 232 establecimientos, 8 483 unidades notificantes)</w:t>
            </w:r>
          </w:p>
        </w:tc>
      </w:tr>
    </w:tbl>
    <w:p>
      <w:pPr>
        <w:spacing w:after="150"/>
        <w:jc w:val="center"/>
      </w:pPr>
      <w:r>
        <w:rPr>
          <w:rFonts w:ascii="Calibri" w:cs="Calibri" w:eastAsia="Calibri" w:hAnsi="Calibri"/>
          <w:i/>
          <w:iCs/>
          <w:color w:val="666666"/>
          <w:sz w:val="17"/>
          <w:szCs w:val="17"/>
        </w:rPr>
        <w:t xml:space="preserve">Tabla 2. Las tres V en el dataset de dengue.</w:t>
      </w:r>
    </w:p>
    <w:p>
      <w:pPr>
        <w:spacing w:after="80" w:before="180"/>
      </w:pPr>
      <w:r>
        <w:rPr>
          <w:rFonts w:ascii="Calibri" w:cs="Calibri" w:eastAsia="Calibri" w:hAnsi="Calibri"/>
          <w:b/>
          <w:bCs/>
          <w:color w:val="1f7a6d"/>
          <w:sz w:val="22"/>
          <w:szCs w:val="22"/>
        </w:rPr>
        <w:t xml:space="preserve">3.3. Diccionario de variables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600"/>
      </w:tblGrid>
      <w:tr>
        <w:trPr>
          <w:tblHeader/>
        </w:trPr>
        <w:tc>
          <w:tcPr>
            <w:tcW w:type="dxa" w:w="25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Campo</w:t>
            </w:r>
          </w:p>
        </w:tc>
        <w:tc>
          <w:tcPr>
            <w:tcW w:type="dxa" w:w="41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Descripción</w:t>
            </w:r>
          </w:p>
        </w:tc>
        <w:tc>
          <w:tcPr>
            <w:tcW w:type="dxa" w:w="26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Valores</w:t>
            </w:r>
          </w:p>
        </w:tc>
      </w:tr>
      <w:tr>
        <w:tc>
          <w:tcPr>
            <w:tcW w:type="dxa" w:w="2500"/>
            <w:tcMar>
              <w:top w:type="dxa" w:w="34"/>
              <w:left w:type="dxa" w:w="90"/>
              <w:bottom w:type="dxa" w:w="34"/>
              <w:right w:type="dxa" w:w="90"/>
            </w:tcMar>
          </w:tcPr>
          <w:p>
            <w:r>
              <w:rPr>
                <w:rFonts w:ascii="Calibri" w:cs="Calibri" w:eastAsia="Calibri" w:hAnsi="Calibri"/>
                <w:sz w:val="16"/>
                <w:szCs w:val="16"/>
              </w:rPr>
              <w:t xml:space="preserve">departamento / provincia / distrito</w:t>
            </w:r>
          </w:p>
        </w:tc>
        <w:tc>
          <w:tcPr>
            <w:tcW w:type="dxa" w:w="4100"/>
            <w:tcMar>
              <w:top w:type="dxa" w:w="34"/>
              <w:left w:type="dxa" w:w="90"/>
              <w:bottom w:type="dxa" w:w="34"/>
              <w:right w:type="dxa" w:w="90"/>
            </w:tcMar>
          </w:tcPr>
          <w:p>
            <w:r>
              <w:rPr>
                <w:rFonts w:ascii="Calibri" w:cs="Calibri" w:eastAsia="Calibri" w:hAnsi="Calibri"/>
                <w:sz w:val="16"/>
                <w:szCs w:val="16"/>
              </w:rPr>
              <w:t xml:space="preserve">Ubicación geográfica del caso</w:t>
            </w:r>
          </w:p>
        </w:tc>
        <w:tc>
          <w:tcPr>
            <w:tcW w:type="dxa" w:w="2600"/>
            <w:tcMar>
              <w:top w:type="dxa" w:w="34"/>
              <w:left w:type="dxa" w:w="90"/>
              <w:bottom w:type="dxa" w:w="34"/>
              <w:right w:type="dxa" w:w="90"/>
            </w:tcMar>
          </w:tcPr>
          <w:p>
            <w:r>
              <w:rPr>
                <w:rFonts w:ascii="Calibri" w:cs="Calibri" w:eastAsia="Calibri" w:hAnsi="Calibri"/>
                <w:sz w:val="16"/>
                <w:szCs w:val="16"/>
              </w:rPr>
              <w:t xml:space="preserve">Texto</w:t>
            </w:r>
          </w:p>
        </w:tc>
      </w:tr>
      <w:tr>
        <w:tc>
          <w:tcPr>
            <w:tcW w:type="dxa" w:w="2500"/>
            <w:shd w:fill="eef2f5" w:val="clear"/>
            <w:tcMar>
              <w:top w:type="dxa" w:w="34"/>
              <w:left w:type="dxa" w:w="90"/>
              <w:bottom w:type="dxa" w:w="34"/>
              <w:right w:type="dxa" w:w="90"/>
            </w:tcMar>
          </w:tcPr>
          <w:p>
            <w:r>
              <w:rPr>
                <w:rFonts w:ascii="Calibri" w:cs="Calibri" w:eastAsia="Calibri" w:hAnsi="Calibri"/>
                <w:sz w:val="16"/>
                <w:szCs w:val="16"/>
              </w:rPr>
              <w:t xml:space="preserve">ubigeo</w:t>
            </w:r>
          </w:p>
        </w:tc>
        <w:tc>
          <w:tcPr>
            <w:tcW w:type="dxa" w:w="4100"/>
            <w:shd w:fill="eef2f5" w:val="clear"/>
            <w:tcMar>
              <w:top w:type="dxa" w:w="34"/>
              <w:left w:type="dxa" w:w="90"/>
              <w:bottom w:type="dxa" w:w="34"/>
              <w:right w:type="dxa" w:w="90"/>
            </w:tcMar>
          </w:tcPr>
          <w:p>
            <w:r>
              <w:rPr>
                <w:rFonts w:ascii="Calibri" w:cs="Calibri" w:eastAsia="Calibri" w:hAnsi="Calibri"/>
                <w:sz w:val="16"/>
                <w:szCs w:val="16"/>
              </w:rPr>
              <w:t xml:space="preserve">Código del lugar probable de infección</w:t>
            </w:r>
          </w:p>
        </w:tc>
        <w:tc>
          <w:tcPr>
            <w:tcW w:type="dxa" w:w="2600"/>
            <w:shd w:fill="eef2f5" w:val="clear"/>
            <w:tcMar>
              <w:top w:type="dxa" w:w="34"/>
              <w:left w:type="dxa" w:w="90"/>
              <w:bottom w:type="dxa" w:w="34"/>
              <w:right w:type="dxa" w:w="90"/>
            </w:tcMar>
          </w:tcPr>
          <w:p>
            <w:r>
              <w:rPr>
                <w:rFonts w:ascii="Calibri" w:cs="Calibri" w:eastAsia="Calibri" w:hAnsi="Calibri"/>
                <w:sz w:val="16"/>
                <w:szCs w:val="16"/>
              </w:rPr>
              <w:t xml:space="preserve">Código INEI</w:t>
            </w:r>
          </w:p>
        </w:tc>
      </w:tr>
      <w:tr>
        <w:tc>
          <w:tcPr>
            <w:tcW w:type="dxa" w:w="2500"/>
            <w:tcMar>
              <w:top w:type="dxa" w:w="34"/>
              <w:left w:type="dxa" w:w="90"/>
              <w:bottom w:type="dxa" w:w="34"/>
              <w:right w:type="dxa" w:w="90"/>
            </w:tcMar>
          </w:tcPr>
          <w:p>
            <w:r>
              <w:rPr>
                <w:rFonts w:ascii="Calibri" w:cs="Calibri" w:eastAsia="Calibri" w:hAnsi="Calibri"/>
                <w:sz w:val="16"/>
                <w:szCs w:val="16"/>
              </w:rPr>
              <w:t xml:space="preserve">ano / semana</w:t>
            </w:r>
          </w:p>
        </w:tc>
        <w:tc>
          <w:tcPr>
            <w:tcW w:type="dxa" w:w="4100"/>
            <w:tcMar>
              <w:top w:type="dxa" w:w="34"/>
              <w:left w:type="dxa" w:w="90"/>
              <w:bottom w:type="dxa" w:w="34"/>
              <w:right w:type="dxa" w:w="90"/>
            </w:tcMar>
          </w:tcPr>
          <w:p>
            <w:r>
              <w:rPr>
                <w:rFonts w:ascii="Calibri" w:cs="Calibri" w:eastAsia="Calibri" w:hAnsi="Calibri"/>
                <w:sz w:val="16"/>
                <w:szCs w:val="16"/>
              </w:rPr>
              <w:t xml:space="preserve">Año y semana epidemiológica</w:t>
            </w:r>
          </w:p>
        </w:tc>
        <w:tc>
          <w:tcPr>
            <w:tcW w:type="dxa" w:w="2600"/>
            <w:tcMar>
              <w:top w:type="dxa" w:w="34"/>
              <w:left w:type="dxa" w:w="90"/>
              <w:bottom w:type="dxa" w:w="34"/>
              <w:right w:type="dxa" w:w="90"/>
            </w:tcMar>
          </w:tcPr>
          <w:p>
            <w:r>
              <w:rPr>
                <w:rFonts w:ascii="Calibri" w:cs="Calibri" w:eastAsia="Calibri" w:hAnsi="Calibri"/>
                <w:sz w:val="16"/>
                <w:szCs w:val="16"/>
              </w:rPr>
              <w:t xml:space="preserve">Entero</w:t>
            </w:r>
          </w:p>
        </w:tc>
      </w:tr>
      <w:tr>
        <w:tc>
          <w:tcPr>
            <w:tcW w:type="dxa" w:w="2500"/>
            <w:shd w:fill="eef2f5" w:val="clear"/>
            <w:tcMar>
              <w:top w:type="dxa" w:w="34"/>
              <w:left w:type="dxa" w:w="90"/>
              <w:bottom w:type="dxa" w:w="34"/>
              <w:right w:type="dxa" w:w="90"/>
            </w:tcMar>
          </w:tcPr>
          <w:p>
            <w:r>
              <w:rPr>
                <w:rFonts w:ascii="Calibri" w:cs="Calibri" w:eastAsia="Calibri" w:hAnsi="Calibri"/>
                <w:sz w:val="16"/>
                <w:szCs w:val="16"/>
              </w:rPr>
              <w:t xml:space="preserve">enfermedad</w:t>
            </w:r>
          </w:p>
        </w:tc>
        <w:tc>
          <w:tcPr>
            <w:tcW w:type="dxa" w:w="4100"/>
            <w:shd w:fill="eef2f5" w:val="clear"/>
            <w:tcMar>
              <w:top w:type="dxa" w:w="34"/>
              <w:left w:type="dxa" w:w="90"/>
              <w:bottom w:type="dxa" w:w="34"/>
              <w:right w:type="dxa" w:w="90"/>
            </w:tcMar>
          </w:tcPr>
          <w:p>
            <w:r>
              <w:rPr>
                <w:rFonts w:ascii="Calibri" w:cs="Calibri" w:eastAsia="Calibri" w:hAnsi="Calibri"/>
                <w:sz w:val="16"/>
                <w:szCs w:val="16"/>
              </w:rPr>
              <w:t xml:space="preserve">Diagnóstico vigilado (severidad)</w:t>
            </w:r>
          </w:p>
        </w:tc>
        <w:tc>
          <w:tcPr>
            <w:tcW w:type="dxa" w:w="2600"/>
            <w:shd w:fill="eef2f5" w:val="clear"/>
            <w:tcMar>
              <w:top w:type="dxa" w:w="34"/>
              <w:left w:type="dxa" w:w="90"/>
              <w:bottom w:type="dxa" w:w="34"/>
              <w:right w:type="dxa" w:w="90"/>
            </w:tcMar>
          </w:tcPr>
          <w:p>
            <w:r>
              <w:rPr>
                <w:rFonts w:ascii="Calibri" w:cs="Calibri" w:eastAsia="Calibri" w:hAnsi="Calibri"/>
                <w:sz w:val="16"/>
                <w:szCs w:val="16"/>
              </w:rPr>
              <w:t xml:space="preserve">Sin/Con signos de alarma; Grave</w:t>
            </w:r>
          </w:p>
        </w:tc>
      </w:tr>
      <w:tr>
        <w:tc>
          <w:tcPr>
            <w:tcW w:type="dxa" w:w="2500"/>
            <w:tcMar>
              <w:top w:type="dxa" w:w="34"/>
              <w:left w:type="dxa" w:w="90"/>
              <w:bottom w:type="dxa" w:w="34"/>
              <w:right w:type="dxa" w:w="90"/>
            </w:tcMar>
          </w:tcPr>
          <w:p>
            <w:r>
              <w:rPr>
                <w:rFonts w:ascii="Calibri" w:cs="Calibri" w:eastAsia="Calibri" w:hAnsi="Calibri"/>
                <w:sz w:val="16"/>
                <w:szCs w:val="16"/>
              </w:rPr>
              <w:t xml:space="preserve">diagnostic</w:t>
            </w:r>
          </w:p>
        </w:tc>
        <w:tc>
          <w:tcPr>
            <w:tcW w:type="dxa" w:w="4100"/>
            <w:tcMar>
              <w:top w:type="dxa" w:w="34"/>
              <w:left w:type="dxa" w:w="90"/>
              <w:bottom w:type="dxa" w:w="34"/>
              <w:right w:type="dxa" w:w="90"/>
            </w:tcMar>
          </w:tcPr>
          <w:p>
            <w:r>
              <w:rPr>
                <w:rFonts w:ascii="Calibri" w:cs="Calibri" w:eastAsia="Calibri" w:hAnsi="Calibri"/>
                <w:sz w:val="16"/>
                <w:szCs w:val="16"/>
              </w:rPr>
              <w:t xml:space="preserve">Código CIE-10</w:t>
            </w:r>
          </w:p>
        </w:tc>
        <w:tc>
          <w:tcPr>
            <w:tcW w:type="dxa" w:w="2600"/>
            <w:tcMar>
              <w:top w:type="dxa" w:w="34"/>
              <w:left w:type="dxa" w:w="90"/>
              <w:bottom w:type="dxa" w:w="34"/>
              <w:right w:type="dxa" w:w="90"/>
            </w:tcMar>
          </w:tcPr>
          <w:p>
            <w:r>
              <w:rPr>
                <w:rFonts w:ascii="Calibri" w:cs="Calibri" w:eastAsia="Calibri" w:hAnsi="Calibri"/>
                <w:sz w:val="16"/>
                <w:szCs w:val="16"/>
              </w:rPr>
              <w:t xml:space="preserve">A97.0 / A97.1 / A97.2</w:t>
            </w:r>
          </w:p>
        </w:tc>
      </w:tr>
      <w:tr>
        <w:tc>
          <w:tcPr>
            <w:tcW w:type="dxa" w:w="2500"/>
            <w:shd w:fill="eef2f5" w:val="clear"/>
            <w:tcMar>
              <w:top w:type="dxa" w:w="34"/>
              <w:left w:type="dxa" w:w="90"/>
              <w:bottom w:type="dxa" w:w="34"/>
              <w:right w:type="dxa" w:w="90"/>
            </w:tcMar>
          </w:tcPr>
          <w:p>
            <w:r>
              <w:rPr>
                <w:rFonts w:ascii="Calibri" w:cs="Calibri" w:eastAsia="Calibri" w:hAnsi="Calibri"/>
                <w:sz w:val="16"/>
                <w:szCs w:val="16"/>
              </w:rPr>
              <w:t xml:space="preserve">tipo_dx</w:t>
            </w:r>
          </w:p>
        </w:tc>
        <w:tc>
          <w:tcPr>
            <w:tcW w:type="dxa" w:w="4100"/>
            <w:shd w:fill="eef2f5" w:val="clear"/>
            <w:tcMar>
              <w:top w:type="dxa" w:w="34"/>
              <w:left w:type="dxa" w:w="90"/>
              <w:bottom w:type="dxa" w:w="34"/>
              <w:right w:type="dxa" w:w="90"/>
            </w:tcMar>
          </w:tcPr>
          <w:p>
            <w:r>
              <w:rPr>
                <w:rFonts w:ascii="Calibri" w:cs="Calibri" w:eastAsia="Calibri" w:hAnsi="Calibri"/>
                <w:sz w:val="16"/>
                <w:szCs w:val="16"/>
              </w:rPr>
              <w:t xml:space="preserve">Tipo de diagnóstico</w:t>
            </w:r>
          </w:p>
        </w:tc>
        <w:tc>
          <w:tcPr>
            <w:tcW w:type="dxa" w:w="2600"/>
            <w:shd w:fill="eef2f5" w:val="clear"/>
            <w:tcMar>
              <w:top w:type="dxa" w:w="34"/>
              <w:left w:type="dxa" w:w="90"/>
              <w:bottom w:type="dxa" w:w="34"/>
              <w:right w:type="dxa" w:w="90"/>
            </w:tcMar>
          </w:tcPr>
          <w:p>
            <w:r>
              <w:rPr>
                <w:rFonts w:ascii="Calibri" w:cs="Calibri" w:eastAsia="Calibri" w:hAnsi="Calibri"/>
                <w:sz w:val="16"/>
                <w:szCs w:val="16"/>
              </w:rPr>
              <w:t xml:space="preserve">C=Confirmado, P=Probable, S=Sospechoso</w:t>
            </w:r>
          </w:p>
        </w:tc>
      </w:tr>
      <w:tr>
        <w:tc>
          <w:tcPr>
            <w:tcW w:type="dxa" w:w="2500"/>
            <w:tcMar>
              <w:top w:type="dxa" w:w="34"/>
              <w:left w:type="dxa" w:w="90"/>
              <w:bottom w:type="dxa" w:w="34"/>
              <w:right w:type="dxa" w:w="90"/>
            </w:tcMar>
          </w:tcPr>
          <w:p>
            <w:r>
              <w:rPr>
                <w:rFonts w:ascii="Calibri" w:cs="Calibri" w:eastAsia="Calibri" w:hAnsi="Calibri"/>
                <w:sz w:val="16"/>
                <w:szCs w:val="16"/>
              </w:rPr>
              <w:t xml:space="preserve">edad / tipo_edad</w:t>
            </w:r>
          </w:p>
        </w:tc>
        <w:tc>
          <w:tcPr>
            <w:tcW w:type="dxa" w:w="4100"/>
            <w:tcMar>
              <w:top w:type="dxa" w:w="34"/>
              <w:left w:type="dxa" w:w="90"/>
              <w:bottom w:type="dxa" w:w="34"/>
              <w:right w:type="dxa" w:w="90"/>
            </w:tcMar>
          </w:tcPr>
          <w:p>
            <w:r>
              <w:rPr>
                <w:rFonts w:ascii="Calibri" w:cs="Calibri" w:eastAsia="Calibri" w:hAnsi="Calibri"/>
                <w:sz w:val="16"/>
                <w:szCs w:val="16"/>
              </w:rPr>
              <w:t xml:space="preserve">Edad del paciente y su unidad</w:t>
            </w:r>
          </w:p>
        </w:tc>
        <w:tc>
          <w:tcPr>
            <w:tcW w:type="dxa" w:w="2600"/>
            <w:tcMar>
              <w:top w:type="dxa" w:w="34"/>
              <w:left w:type="dxa" w:w="90"/>
              <w:bottom w:type="dxa" w:w="34"/>
              <w:right w:type="dxa" w:w="90"/>
            </w:tcMar>
          </w:tcPr>
          <w:p>
            <w:r>
              <w:rPr>
                <w:rFonts w:ascii="Calibri" w:cs="Calibri" w:eastAsia="Calibri" w:hAnsi="Calibri"/>
                <w:sz w:val="16"/>
                <w:szCs w:val="16"/>
              </w:rPr>
              <w:t xml:space="preserve">A=años, M=meses, D=días</w:t>
            </w:r>
          </w:p>
        </w:tc>
      </w:tr>
      <w:tr>
        <w:tc>
          <w:tcPr>
            <w:tcW w:type="dxa" w:w="2500"/>
            <w:shd w:fill="eef2f5" w:val="clear"/>
            <w:tcMar>
              <w:top w:type="dxa" w:w="34"/>
              <w:left w:type="dxa" w:w="90"/>
              <w:bottom w:type="dxa" w:w="34"/>
              <w:right w:type="dxa" w:w="90"/>
            </w:tcMar>
          </w:tcPr>
          <w:p>
            <w:r>
              <w:rPr>
                <w:rFonts w:ascii="Calibri" w:cs="Calibri" w:eastAsia="Calibri" w:hAnsi="Calibri"/>
                <w:sz w:val="16"/>
                <w:szCs w:val="16"/>
              </w:rPr>
              <w:t xml:space="preserve">sexo</w:t>
            </w:r>
          </w:p>
        </w:tc>
        <w:tc>
          <w:tcPr>
            <w:tcW w:type="dxa" w:w="4100"/>
            <w:shd w:fill="eef2f5" w:val="clear"/>
            <w:tcMar>
              <w:top w:type="dxa" w:w="34"/>
              <w:left w:type="dxa" w:w="90"/>
              <w:bottom w:type="dxa" w:w="34"/>
              <w:right w:type="dxa" w:w="90"/>
            </w:tcMar>
          </w:tcPr>
          <w:p>
            <w:r>
              <w:rPr>
                <w:rFonts w:ascii="Calibri" w:cs="Calibri" w:eastAsia="Calibri" w:hAnsi="Calibri"/>
                <w:sz w:val="16"/>
                <w:szCs w:val="16"/>
              </w:rPr>
              <w:t xml:space="preserve">Sexo del paciente</w:t>
            </w:r>
          </w:p>
        </w:tc>
        <w:tc>
          <w:tcPr>
            <w:tcW w:type="dxa" w:w="2600"/>
            <w:shd w:fill="eef2f5" w:val="clear"/>
            <w:tcMar>
              <w:top w:type="dxa" w:w="34"/>
              <w:left w:type="dxa" w:w="90"/>
              <w:bottom w:type="dxa" w:w="34"/>
              <w:right w:type="dxa" w:w="90"/>
            </w:tcMar>
          </w:tcPr>
          <w:p>
            <w:r>
              <w:rPr>
                <w:rFonts w:ascii="Calibri" w:cs="Calibri" w:eastAsia="Calibri" w:hAnsi="Calibri"/>
                <w:sz w:val="16"/>
                <w:szCs w:val="16"/>
              </w:rPr>
              <w:t xml:space="preserve">M / F</w:t>
            </w:r>
          </w:p>
        </w:tc>
      </w:tr>
    </w:tbl>
    <w:p>
      <w:pPr>
        <w:spacing w:after="150"/>
        <w:jc w:val="center"/>
      </w:pPr>
      <w:r>
        <w:rPr>
          <w:rFonts w:ascii="Calibri" w:cs="Calibri" w:eastAsia="Calibri" w:hAnsi="Calibri"/>
          <w:i/>
          <w:iCs/>
          <w:color w:val="666666"/>
          <w:sz w:val="17"/>
          <w:szCs w:val="17"/>
        </w:rPr>
        <w:t xml:space="preserve">Tabla 3. Diccionario de las principales variables del dataset.</w:t>
      </w:r>
    </w:p>
    <w:p>
      <w:pPr>
        <w:spacing w:after="80" w:before="180"/>
      </w:pPr>
      <w:r>
        <w:rPr>
          <w:rFonts w:ascii="Calibri" w:cs="Calibri" w:eastAsia="Calibri" w:hAnsi="Calibri"/>
          <w:b/>
          <w:bCs/>
          <w:color w:val="1f7a6d"/>
          <w:sz w:val="22"/>
          <w:szCs w:val="22"/>
        </w:rPr>
        <w:t xml:space="preserve">3.4. Análisis exploratorio y calidad de datos</w:t>
      </w:r>
    </w:p>
    <w:p>
      <w:pPr>
        <w:spacing w:after="120" w:line="270"/>
        <w:jc w:val="both"/>
      </w:pPr>
      <w:r>
        <w:rPr>
          <w:rFonts w:ascii="Calibri" w:cs="Calibri" w:eastAsia="Calibri" w:hAnsi="Calibri"/>
          <w:sz w:val="21"/>
          <w:szCs w:val="21"/>
        </w:rPr>
        <w:t xml:space="preserve">Antes de transformar, se realizó una exploración distribuida con Spark. La fuente resultó de buena calidad estructural: no se descartó ningún registro por inconsistencia de rango. Los principales hallazgos exploratorios fueron:</w:t>
      </w:r>
    </w:p>
    <w:p>
      <w:pPr>
        <w:pStyle w:val="ListParagraph"/>
        <w:numPr>
          <w:ilvl w:val="0"/>
          <w:numId w:val="1"/>
        </w:numPr>
        <w:spacing w:after="60"/>
      </w:pPr>
      <w:r>
        <w:rPr>
          <w:rFonts w:ascii="Calibri" w:cs="Calibri" w:eastAsia="Calibri" w:hAnsi="Calibri"/>
          <w:sz w:val="21"/>
          <w:szCs w:val="21"/>
        </w:rPr>
        <w:t xml:space="preserve">Severidad: 915 243 casos sin signos de alarma (88,9 %), 110 166 con signos de alarma (10,7 %) y 4 012 graves (0,39 %).</w:t>
      </w:r>
    </w:p>
    <w:p>
      <w:pPr>
        <w:pStyle w:val="ListParagraph"/>
        <w:numPr>
          <w:ilvl w:val="0"/>
          <w:numId w:val="1"/>
        </w:numPr>
        <w:spacing w:after="60"/>
      </w:pPr>
      <w:r>
        <w:rPr>
          <w:rFonts w:ascii="Calibri" w:cs="Calibri" w:eastAsia="Calibri" w:hAnsi="Calibri"/>
          <w:sz w:val="21"/>
          <w:szCs w:val="21"/>
        </w:rPr>
        <w:t xml:space="preserve">Cobertura temporal completa 2000–2024, con un crecimiento abrupto en 2023 (256 641) y 2024 (271 531).</w:t>
      </w:r>
    </w:p>
    <w:p>
      <w:pPr>
        <w:pStyle w:val="ListParagraph"/>
        <w:numPr>
          <w:ilvl w:val="0"/>
          <w:numId w:val="1"/>
        </w:numPr>
        <w:spacing w:after="60"/>
      </w:pPr>
      <w:r>
        <w:rPr>
          <w:rFonts w:ascii="Calibri" w:cs="Calibri" w:eastAsia="Calibri" w:hAnsi="Calibri"/>
          <w:sz w:val="21"/>
          <w:szCs w:val="21"/>
        </w:rPr>
        <w:t xml:space="preserve">Cobertura geográfica de 23 departamentos, encabezados por Piura, Lima y Loreto.</w:t>
      </w:r>
    </w:p>
    <w:p>
      <w:pPr>
        <w:pStyle w:val="ListParagraph"/>
        <w:numPr>
          <w:ilvl w:val="0"/>
          <w:numId w:val="1"/>
        </w:numPr>
        <w:spacing w:after="60"/>
      </w:pPr>
      <w:r>
        <w:rPr>
          <w:rFonts w:ascii="Calibri" w:cs="Calibri" w:eastAsia="Calibri" w:hAnsi="Calibri"/>
          <w:sz w:val="21"/>
          <w:szCs w:val="21"/>
        </w:rPr>
        <w:t xml:space="preserve">Sexo: 553 677 femenino (53,8 %) y 475 744 masculino (46,2 %).</w:t>
      </w:r>
    </w:p>
    <w:p>
      <w:pPr>
        <w:pStyle w:val="ListParagraph"/>
        <w:numPr>
          <w:ilvl w:val="0"/>
          <w:numId w:val="1"/>
        </w:numPr>
        <w:spacing w:after="60"/>
      </w:pPr>
      <w:r>
        <w:rPr>
          <w:rFonts w:ascii="Calibri" w:cs="Calibri" w:eastAsia="Calibri" w:hAnsi="Calibri"/>
          <w:sz w:val="21"/>
          <w:szCs w:val="21"/>
        </w:rPr>
        <w:t xml:space="preserve">Valores faltantes acotados: localidad (53 909), localcod (148 616) y diresa (23); los campos clave del análisis no presentan nulos.</w:t>
      </w:r>
    </w:p>
    <w:p>
      <w:pPr>
        <w:pBdr>
          <w:bottom w:val="single" w:color="14304a" w:sz="6" w:space="3"/>
        </w:pBdr>
        <w:spacing w:after="120" w:before="260"/>
      </w:pPr>
      <w:r>
        <w:rPr>
          <w:rFonts w:ascii="Calibri" w:cs="Calibri" w:eastAsia="Calibri" w:hAnsi="Calibri"/>
          <w:b/>
          <w:bCs/>
          <w:color w:val="b81d24"/>
          <w:sz w:val="27"/>
          <w:szCs w:val="27"/>
        </w:rPr>
        <w:t xml:space="preserve">4.  </w:t>
      </w:r>
      <w:r>
        <w:rPr>
          <w:rFonts w:ascii="Calibri" w:cs="Calibri" w:eastAsia="Calibri" w:hAnsi="Calibri"/>
          <w:b/>
          <w:bCs/>
          <w:color w:val="14304a"/>
          <w:sz w:val="27"/>
          <w:szCs w:val="27"/>
        </w:rPr>
        <w:t xml:space="preserve">Fase 2 · ETL con Apache Spark</w:t>
      </w:r>
    </w:p>
    <w:p>
      <w:pPr>
        <w:spacing w:after="80" w:before="180"/>
      </w:pPr>
      <w:r>
        <w:rPr>
          <w:rFonts w:ascii="Calibri" w:cs="Calibri" w:eastAsia="Calibri" w:hAnsi="Calibri"/>
          <w:b/>
          <w:bCs/>
          <w:color w:val="1f7a6d"/>
          <w:sz w:val="22"/>
          <w:szCs w:val="22"/>
        </w:rPr>
        <w:t xml:space="preserve">4.1. Justificación técnica: ¿por qué Spark?</w:t>
      </w:r>
    </w:p>
    <w:p>
      <w:pPr>
        <w:spacing w:after="120" w:line="270"/>
        <w:jc w:val="both"/>
      </w:pPr>
      <w:r>
        <w:rPr>
          <w:rFonts w:ascii="Calibri" w:cs="Calibri" w:eastAsia="Calibri" w:hAnsi="Calibri"/>
          <w:sz w:val="21"/>
          <w:szCs w:val="21"/>
        </w:rPr>
        <w:t xml:space="preserve">Apache Spark es un motor unificado de código abierto para el procesamiento distribuido que ejecuta operaciones en memoria sobre conjuntos de datos particionados, superando las limitaciones del paradigma MapReduce clásico (Zaharia et al., 2016). Se empleó la interfaz de Python (PySpark) sobre la API de DataFrames. La elección responde directamente al volumen: más de un millón de filas hacen ineficiente el procesamiento en una sola máquina con herramientas ofimáticas. Este entorno es además equivalente al de Databricks, lo que garantiza la portabilidad del código a la nube.</w:t>
      </w:r>
    </w:p>
    <w:p>
      <w:pPr>
        <w:spacing w:after="80" w:before="180"/>
      </w:pPr>
      <w:r>
        <w:rPr>
          <w:rFonts w:ascii="Calibri" w:cs="Calibri" w:eastAsia="Calibri" w:hAnsi="Calibri"/>
          <w:b/>
          <w:bCs/>
          <w:color w:val="1f7a6d"/>
          <w:sz w:val="22"/>
          <w:szCs w:val="22"/>
        </w:rPr>
        <w:t xml:space="preserve">4.2. Extracción</w:t>
      </w:r>
    </w:p>
    <w:p>
      <w:pPr>
        <w:spacing w:after="120" w:line="270"/>
        <w:jc w:val="both"/>
      </w:pPr>
      <w:r>
        <w:rPr>
          <w:rFonts w:ascii="Calibri" w:cs="Calibri" w:eastAsia="Calibri" w:hAnsi="Calibri"/>
          <w:sz w:val="21"/>
          <w:szCs w:val="21"/>
        </w:rPr>
        <w:t xml:space="preserve">El CSV se cargó como un DataFrame de Spark, especificando el separador y la codificación:</w:t>
      </w:r>
    </w:p>
    <w:p>
      <w:pPr>
        <w:pBdr>
          <w:left w:val="single" w:color="1f7a6d" w:sz="14" w:space="8"/>
        </w:pBdr>
        <w:shd w:fill="f2f4f6" w:val="clear"/>
        <w:spacing w:after="60" w:before="20"/>
      </w:pPr>
      <w:r>
        <w:rPr>
          <w:rFonts w:ascii="Consolas" w:cs="Consolas" w:eastAsia="Consolas" w:hAnsi="Consolas"/>
          <w:color w:val="1a2733"/>
          <w:sz w:val="16"/>
          <w:szCs w:val="16"/>
        </w:rPr>
        <w:t xml:space="preserve">raw = spark.read.option("header",True).option("sep",";")</w:t>
      </w:r>
    </w:p>
    <w:p>
      <w:pPr>
        <w:pBdr>
          <w:left w:val="single" w:color="1f7a6d" w:sz="14" w:space="8"/>
        </w:pBdr>
        <w:shd w:fill="f2f4f6" w:val="clear"/>
        <w:spacing w:after="60" w:before="20"/>
      </w:pPr>
      <w:r>
        <w:rPr>
          <w:rFonts w:ascii="Consolas" w:cs="Consolas" w:eastAsia="Consolas" w:hAnsi="Consolas"/>
          <w:color w:val="1a2733"/>
          <w:sz w:val="16"/>
          <w:szCs w:val="16"/>
        </w:rPr>
        <w:t xml:space="preserve">          .option("encoding","UTF-8").csv(INPUT_CSV)</w:t>
      </w:r>
    </w:p>
    <w:p>
      <w:pPr>
        <w:spacing w:after="80" w:before="180"/>
      </w:pPr>
      <w:r>
        <w:rPr>
          <w:rFonts w:ascii="Calibri" w:cs="Calibri" w:eastAsia="Calibri" w:hAnsi="Calibri"/>
          <w:b/>
          <w:bCs/>
          <w:color w:val="1f7a6d"/>
          <w:sz w:val="22"/>
          <w:szCs w:val="22"/>
        </w:rPr>
        <w:t xml:space="preserve">4.3. Transformaciones</w:t>
      </w:r>
    </w:p>
    <w:p>
      <w:pPr>
        <w:spacing w:after="120" w:line="270"/>
        <w:jc w:val="both"/>
      </w:pPr>
      <w:r>
        <w:rPr>
          <w:rFonts w:ascii="Calibri" w:cs="Calibri" w:eastAsia="Calibri" w:hAnsi="Calibri"/>
          <w:sz w:val="21"/>
          <w:szCs w:val="21"/>
        </w:rPr>
        <w:t xml:space="preserve">Se aplicaron las siguientes operaciones de limpieza y enriquecimiento:</w:t>
      </w:r>
    </w:p>
    <w:p>
      <w:pPr>
        <w:pStyle w:val="ListParagraph"/>
        <w:numPr>
          <w:ilvl w:val="0"/>
          <w:numId w:val="2"/>
        </w:numPr>
        <w:spacing w:after="60"/>
      </w:pPr>
      <w:r>
        <w:rPr>
          <w:rFonts w:ascii="Calibri" w:cs="Calibri" w:eastAsia="Calibri" w:hAnsi="Calibri"/>
          <w:sz w:val="21"/>
          <w:szCs w:val="21"/>
        </w:rPr>
        <w:t xml:space="preserve">Normalización de campos categóricos (recorte de espacios y homogeneización a mayúsculas).</w:t>
      </w:r>
    </w:p>
    <w:p>
      <w:pPr>
        <w:pStyle w:val="ListParagraph"/>
        <w:numPr>
          <w:ilvl w:val="0"/>
          <w:numId w:val="2"/>
        </w:numPr>
        <w:spacing w:after="60"/>
      </w:pPr>
      <w:r>
        <w:rPr>
          <w:rFonts w:ascii="Calibri" w:cs="Calibri" w:eastAsia="Calibri" w:hAnsi="Calibri"/>
          <w:sz w:val="21"/>
          <w:szCs w:val="21"/>
        </w:rPr>
        <w:t xml:space="preserve">Conversión de tipos numéricos (año, semana, edad).</w:t>
      </w:r>
    </w:p>
    <w:p>
      <w:pPr>
        <w:pStyle w:val="ListParagraph"/>
        <w:numPr>
          <w:ilvl w:val="0"/>
          <w:numId w:val="2"/>
        </w:numPr>
        <w:spacing w:after="60"/>
      </w:pPr>
      <w:r>
        <w:rPr>
          <w:rFonts w:ascii="Calibri" w:cs="Calibri" w:eastAsia="Calibri" w:hAnsi="Calibri"/>
          <w:sz w:val="21"/>
          <w:szCs w:val="21"/>
        </w:rPr>
        <w:t xml:space="preserve">Estandarización de la edad a años, combinando el valor con el campo tipo_edad (A/M/D).</w:t>
      </w:r>
    </w:p>
    <w:p>
      <w:pPr>
        <w:pStyle w:val="ListParagraph"/>
        <w:numPr>
          <w:ilvl w:val="0"/>
          <w:numId w:val="2"/>
        </w:numPr>
        <w:spacing w:after="60"/>
      </w:pPr>
      <w:r>
        <w:rPr>
          <w:rFonts w:ascii="Calibri" w:cs="Calibri" w:eastAsia="Calibri" w:hAnsi="Calibri"/>
          <w:sz w:val="21"/>
          <w:szCs w:val="21"/>
        </w:rPr>
        <w:t xml:space="preserve">Categorización en siete grupos etarios de salud pública (0-4, 5-11, 12-17, 18-29, 30-44, 45-59, 60+).</w:t>
      </w:r>
    </w:p>
    <w:p>
      <w:pPr>
        <w:pStyle w:val="ListParagraph"/>
        <w:numPr>
          <w:ilvl w:val="0"/>
          <w:numId w:val="2"/>
        </w:numPr>
        <w:spacing w:after="60"/>
      </w:pPr>
      <w:r>
        <w:rPr>
          <w:rFonts w:ascii="Calibri" w:cs="Calibri" w:eastAsia="Calibri" w:hAnsi="Calibri"/>
          <w:sz w:val="21"/>
          <w:szCs w:val="21"/>
        </w:rPr>
        <w:t xml:space="preserve">Derivación de la severidad a partir del diagnóstico y traducción del sexo a etiquetas legibles.</w:t>
      </w:r>
    </w:p>
    <w:p>
      <w:pPr>
        <w:pStyle w:val="ListParagraph"/>
        <w:numPr>
          <w:ilvl w:val="0"/>
          <w:numId w:val="2"/>
        </w:numPr>
        <w:spacing w:after="60"/>
      </w:pPr>
      <w:r>
        <w:rPr>
          <w:rFonts w:ascii="Calibri" w:cs="Calibri" w:eastAsia="Calibri" w:hAnsi="Calibri"/>
          <w:sz w:val="21"/>
          <w:szCs w:val="21"/>
        </w:rPr>
        <w:t xml:space="preserve">Construcción de una clave temporal año–semana (por ejemplo, 2024-W07).</w:t>
      </w:r>
    </w:p>
    <w:p>
      <w:pPr>
        <w:pStyle w:val="ListParagraph"/>
        <w:numPr>
          <w:ilvl w:val="0"/>
          <w:numId w:val="2"/>
        </w:numPr>
        <w:spacing w:after="60"/>
      </w:pPr>
      <w:r>
        <w:rPr>
          <w:rFonts w:ascii="Calibri" w:cs="Calibri" w:eastAsia="Calibri" w:hAnsi="Calibri"/>
          <w:sz w:val="21"/>
          <w:szCs w:val="21"/>
        </w:rPr>
        <w:t xml:space="preserve">Filtrado de calidad (años 2000–2024 y semanas 1–53).</w:t>
      </w:r>
    </w:p>
    <w:p>
      <w:pPr>
        <w:spacing w:after="120" w:line="270"/>
        <w:jc w:val="both"/>
      </w:pPr>
      <w:r>
        <w:rPr>
          <w:rFonts w:ascii="Calibri" w:cs="Calibri" w:eastAsia="Calibri" w:hAnsi="Calibri"/>
          <w:sz w:val="21"/>
          <w:szCs w:val="21"/>
        </w:rPr>
        <w:t xml:space="preserve">A modo de ejemplo, la derivación de la severidad:</w:t>
      </w:r>
    </w:p>
    <w:p>
      <w:pPr>
        <w:pBdr>
          <w:left w:val="single" w:color="1f7a6d" w:sz="14" w:space="8"/>
        </w:pBdr>
        <w:shd w:fill="f2f4f6" w:val="clear"/>
        <w:spacing w:after="60" w:before="20"/>
      </w:pPr>
      <w:r>
        <w:rPr>
          <w:rFonts w:ascii="Consolas" w:cs="Consolas" w:eastAsia="Consolas" w:hAnsi="Consolas"/>
          <w:color w:val="1a2733"/>
          <w:sz w:val="16"/>
          <w:szCs w:val="16"/>
        </w:rPr>
        <w:t xml:space="preserve">df = df.withColumn("severidad",</w:t>
      </w:r>
    </w:p>
    <w:p>
      <w:pPr>
        <w:pBdr>
          <w:left w:val="single" w:color="1f7a6d" w:sz="14" w:space="8"/>
        </w:pBdr>
        <w:shd w:fill="f2f4f6" w:val="clear"/>
        <w:spacing w:after="60" w:before="20"/>
      </w:pPr>
      <w:r>
        <w:rPr>
          <w:rFonts w:ascii="Consolas" w:cs="Consolas" w:eastAsia="Consolas" w:hAnsi="Consolas"/>
          <w:color w:val="1a2733"/>
          <w:sz w:val="16"/>
          <w:szCs w:val="16"/>
        </w:rPr>
        <w:t xml:space="preserve">  F.when(F.col("enfermedad").contains("SIN SIGNOS"),"Sin signos de alarma")</w:t>
      </w:r>
    </w:p>
    <w:p>
      <w:pPr>
        <w:pBdr>
          <w:left w:val="single" w:color="1f7a6d" w:sz="14" w:space="8"/>
        </w:pBdr>
        <w:shd w:fill="f2f4f6" w:val="clear"/>
        <w:spacing w:after="60" w:before="20"/>
      </w:pPr>
      <w:r>
        <w:rPr>
          <w:rFonts w:ascii="Consolas" w:cs="Consolas" w:eastAsia="Consolas" w:hAnsi="Consolas"/>
          <w:color w:val="1a2733"/>
          <w:sz w:val="16"/>
          <w:szCs w:val="16"/>
        </w:rPr>
        <w:t xml:space="preserve">   .when(F.col("enfermedad").contains("CON SIGNOS"),"Con signos de alarma")</w:t>
      </w:r>
    </w:p>
    <w:p>
      <w:pPr>
        <w:pBdr>
          <w:left w:val="single" w:color="1f7a6d" w:sz="14" w:space="8"/>
        </w:pBdr>
        <w:shd w:fill="f2f4f6" w:val="clear"/>
        <w:spacing w:after="60" w:before="20"/>
      </w:pPr>
      <w:r>
        <w:rPr>
          <w:rFonts w:ascii="Consolas" w:cs="Consolas" w:eastAsia="Consolas" w:hAnsi="Consolas"/>
          <w:color w:val="1a2733"/>
          <w:sz w:val="16"/>
          <w:szCs w:val="16"/>
        </w:rPr>
        <w:t xml:space="preserve">   .when(F.col("enfermedad").contains("GRAVE"),"Grave").otherwise("Otro"))</w:t>
      </w:r>
    </w:p>
    <w:p>
      <w:pPr>
        <w:spacing w:after="80" w:before="180"/>
      </w:pPr>
      <w:r>
        <w:rPr>
          <w:rFonts w:ascii="Calibri" w:cs="Calibri" w:eastAsia="Calibri" w:hAnsi="Calibri"/>
          <w:b/>
          <w:bCs/>
          <w:color w:val="1f7a6d"/>
          <w:sz w:val="22"/>
          <w:szCs w:val="22"/>
        </w:rPr>
        <w:t xml:space="preserve">4.4. Carga: modelo dimensional (esquema estrella)</w:t>
      </w:r>
    </w:p>
    <w:p>
      <w:pPr>
        <w:spacing w:after="120" w:line="270"/>
        <w:jc w:val="both"/>
      </w:pPr>
      <w:r>
        <w:rPr>
          <w:rFonts w:ascii="Calibri" w:cs="Calibri" w:eastAsia="Calibri" w:hAnsi="Calibri"/>
          <w:sz w:val="21"/>
          <w:szCs w:val="21"/>
        </w:rPr>
        <w:t xml:space="preserve">Los datos limpios se materializaron en un modelo estrella: una tabla de hechos (grano: caso notificado) y dos dimensiones (tiempo y geografía), acompañadas de tablas agregadas para el consumo analítico. Este modelo es el que alimenta directamente a Power BI y sigue las buenas prácticas de modelado analítico.</w:t>
      </w:r>
    </w:p>
    <w:p>
      <w:pPr>
        <w:spacing w:after="30" w:before="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50"/>
        <w:jc w:val="center"/>
      </w:pPr>
      <w:r>
        <w:rPr>
          <w:rFonts w:ascii="Calibri" w:cs="Calibri" w:eastAsia="Calibri" w:hAnsi="Calibri"/>
          <w:i/>
          <w:iCs/>
          <w:color w:val="666666"/>
          <w:sz w:val="17"/>
          <w:szCs w:val="17"/>
        </w:rPr>
        <w:t xml:space="preserve">Figura 2. Modelo dimensional en esquema estrella generado por el ETL.</w:t>
      </w:r>
    </w:p>
    <w:p>
      <w:pPr>
        <w:spacing w:after="80" w:before="180"/>
      </w:pPr>
      <w:r>
        <w:rPr>
          <w:rFonts w:ascii="Calibri" w:cs="Calibri" w:eastAsia="Calibri" w:hAnsi="Calibri"/>
          <w:b/>
          <w:bCs/>
          <w:color w:val="1f7a6d"/>
          <w:sz w:val="22"/>
          <w:szCs w:val="22"/>
        </w:rPr>
        <w:t xml:space="preserve">4.5. Salidas del proceso</w:t>
      </w:r>
    </w:p>
    <w:p>
      <w:pPr>
        <w:spacing w:after="120" w:line="270"/>
        <w:jc w:val="both"/>
      </w:pPr>
      <w:r>
        <w:rPr>
          <w:rFonts w:ascii="Calibri" w:cs="Calibri" w:eastAsia="Calibri" w:hAnsi="Calibri"/>
          <w:sz w:val="21"/>
          <w:szCs w:val="21"/>
        </w:rPr>
        <w:t xml:space="preserve">El ETL produce la tabla de hechos, las dimensiones y diez tablas agregadas (por año, año-semana, departamento, severidad, grupo de edad, sexo y matriz departamento×año), además de un archivo de indicadores clave. La Figura 3 muestra los KPIs resultantes.</w:t>
      </w:r>
    </w:p>
    <w:p>
      <w:pPr>
        <w:spacing w:after="30" w:before="120"/>
        <w:jc w:val="center"/>
      </w:pPr>
      <w:r>
        <w:drawing>
          <wp:inline distT="0" distB="0" distL="0" distR="0">
            <wp:extent cx="47625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962025"/>
                    </a:xfrm>
                    <a:prstGeom prst="rect">
                      <a:avLst/>
                    </a:prstGeom>
                  </pic:spPr>
                </pic:pic>
              </a:graphicData>
            </a:graphic>
          </wp:inline>
        </w:drawing>
      </w:r>
    </w:p>
    <w:p>
      <w:pPr>
        <w:spacing w:after="150"/>
        <w:jc w:val="center"/>
      </w:pPr>
      <w:r>
        <w:rPr>
          <w:rFonts w:ascii="Calibri" w:cs="Calibri" w:eastAsia="Calibri" w:hAnsi="Calibri"/>
          <w:i/>
          <w:iCs/>
          <w:color w:val="666666"/>
          <w:sz w:val="17"/>
          <w:szCs w:val="17"/>
        </w:rPr>
        <w:t xml:space="preserve">Figura 3. Indicadores clave calculados sobre la tabla de hechos.</w:t>
      </w:r>
    </w:p>
    <w:p>
      <w:pPr>
        <w:pBdr>
          <w:bottom w:val="single" w:color="14304a" w:sz="6" w:space="3"/>
        </w:pBdr>
        <w:spacing w:after="120" w:before="260"/>
      </w:pPr>
      <w:r>
        <w:rPr>
          <w:rFonts w:ascii="Calibri" w:cs="Calibri" w:eastAsia="Calibri" w:hAnsi="Calibri"/>
          <w:b/>
          <w:bCs/>
          <w:color w:val="b81d24"/>
          <w:sz w:val="27"/>
          <w:szCs w:val="27"/>
        </w:rPr>
        <w:t xml:space="preserve">5.  </w:t>
      </w:r>
      <w:r>
        <w:rPr>
          <w:rFonts w:ascii="Calibri" w:cs="Calibri" w:eastAsia="Calibri" w:hAnsi="Calibri"/>
          <w:b/>
          <w:bCs/>
          <w:color w:val="14304a"/>
          <w:sz w:val="27"/>
          <w:szCs w:val="27"/>
        </w:rPr>
        <w:t xml:space="preserve">Fase 3 · Datos climáticos (NASA POWER)</w:t>
      </w:r>
    </w:p>
    <w:p>
      <w:pPr>
        <w:spacing w:after="120" w:line="270"/>
        <w:jc w:val="both"/>
      </w:pPr>
      <w:r>
        <w:rPr>
          <w:rFonts w:ascii="Calibri" w:cs="Calibri" w:eastAsia="Calibri" w:hAnsi="Calibri"/>
          <w:sz w:val="21"/>
          <w:szCs w:val="21"/>
        </w:rPr>
        <w:t xml:space="preserve">Para enriquecer el análisis predictivo se incorporó una segunda fuente de datos: los registros meteorológicos mensuales del proyecto NASA POWER, obtenidos mediante su API para el periodo 2000–2024 en los cinco departamentos con mayor carga de enfermedad (Piura, Lima, Loreto, La Libertad e Ica), que concentran el 62 % de los casos. Las variables recogidas fueron la temperatura a 2 metros (T2M), la humedad relativa (RH2M) y la precipitación corregida (PRECTOTCORR).</w:t>
      </w:r>
    </w:p>
    <w:p>
      <w:pPr>
        <w:spacing w:after="120" w:line="270"/>
        <w:jc w:val="both"/>
      </w:pPr>
      <w:r>
        <w:rPr>
          <w:rFonts w:ascii="Calibri" w:cs="Calibri" w:eastAsia="Calibri" w:hAnsi="Calibri"/>
          <w:sz w:val="21"/>
          <w:szCs w:val="21"/>
        </w:rPr>
        <w:t xml:space="preserve">La Figura 4 evidencia, en Piura, el fuerte acoplamiento temporal entre los picos de precipitación asociados a El Niño —en 2017 y, sobre todo, en 2023— y las oleadas de casos de dengue. Este patrón sustenta empíricamente el uso del clima como variable predictora.</w:t>
      </w:r>
    </w:p>
    <w:p>
      <w:pPr>
        <w:spacing w:after="30" w:before="120"/>
        <w:jc w:val="center"/>
      </w:pPr>
      <w:r>
        <w:drawing>
          <wp:inline distT="0" distB="0" distL="0" distR="0">
            <wp:extent cx="44767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105025"/>
                    </a:xfrm>
                    <a:prstGeom prst="rect">
                      <a:avLst/>
                    </a:prstGeom>
                  </pic:spPr>
                </pic:pic>
              </a:graphicData>
            </a:graphic>
          </wp:inline>
        </w:drawing>
      </w:r>
    </w:p>
    <w:p>
      <w:pPr>
        <w:spacing w:after="150"/>
        <w:jc w:val="center"/>
      </w:pPr>
      <w:r>
        <w:rPr>
          <w:rFonts w:ascii="Calibri" w:cs="Calibri" w:eastAsia="Calibri" w:hAnsi="Calibri"/>
          <w:i/>
          <w:iCs/>
          <w:color w:val="666666"/>
          <w:sz w:val="17"/>
          <w:szCs w:val="17"/>
        </w:rPr>
        <w:t xml:space="preserve">Figura 4. Acoplamiento entre precipitación (El Niño) y casos de dengue en Piura, 2015–2024.</w:t>
      </w:r>
    </w:p>
    <w:p>
      <w:pPr>
        <w:pBdr>
          <w:bottom w:val="single" w:color="14304a" w:sz="6" w:space="3"/>
        </w:pBdr>
        <w:spacing w:after="120" w:before="260"/>
      </w:pPr>
      <w:r>
        <w:rPr>
          <w:rFonts w:ascii="Calibri" w:cs="Calibri" w:eastAsia="Calibri" w:hAnsi="Calibri"/>
          <w:b/>
          <w:bCs/>
          <w:color w:val="b81d24"/>
          <w:sz w:val="27"/>
          <w:szCs w:val="27"/>
        </w:rPr>
        <w:t xml:space="preserve">6.  </w:t>
      </w:r>
      <w:r>
        <w:rPr>
          <w:rFonts w:ascii="Calibri" w:cs="Calibri" w:eastAsia="Calibri" w:hAnsi="Calibri"/>
          <w:b/>
          <w:bCs/>
          <w:color w:val="14304a"/>
          <w:sz w:val="27"/>
          <w:szCs w:val="27"/>
        </w:rPr>
        <w:t xml:space="preserve">Fase 4 · Resultados descriptivos</w:t>
      </w:r>
    </w:p>
    <w:p>
      <w:pPr>
        <w:spacing w:after="80" w:before="180"/>
      </w:pPr>
      <w:r>
        <w:rPr>
          <w:rFonts w:ascii="Calibri" w:cs="Calibri" w:eastAsia="Calibri" w:hAnsi="Calibri"/>
          <w:b/>
          <w:bCs/>
          <w:color w:val="1f7a6d"/>
          <w:sz w:val="22"/>
          <w:szCs w:val="22"/>
        </w:rPr>
        <w:t xml:space="preserve">6.1. Tendencia histórica</w:t>
      </w:r>
    </w:p>
    <w:p>
      <w:pPr>
        <w:spacing w:after="120" w:line="270"/>
        <w:jc w:val="both"/>
      </w:pPr>
      <w:r>
        <w:rPr>
          <w:rFonts w:ascii="Calibri" w:cs="Calibri" w:eastAsia="Calibri" w:hAnsi="Calibri"/>
          <w:sz w:val="21"/>
          <w:szCs w:val="21"/>
        </w:rPr>
        <w:t xml:space="preserve">El análisis de la serie revela un patrón epidémico con un crecimiento abrupto reciente. Los años 2023 y 2024 concentraron 528 172 casos, el 51,3 % de todas las notificaciones en veinticinco años. El pico absoluto ocurrió en 2024 (271 531 casos), frente a los 68 290 de 2017 —hasta entonces el año más alto, también asociado a El Niño—, lo que dimensiona el carácter extraordinario del evento.</w:t>
      </w:r>
    </w:p>
    <w:p>
      <w:pPr>
        <w:spacing w:after="30" w:before="120"/>
        <w:jc w:val="center"/>
      </w:pPr>
      <w:r>
        <w:drawing>
          <wp:inline distT="0" distB="0" distL="0" distR="0">
            <wp:extent cx="4381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114550"/>
                    </a:xfrm>
                    <a:prstGeom prst="rect">
                      <a:avLst/>
                    </a:prstGeom>
                  </pic:spPr>
                </pic:pic>
              </a:graphicData>
            </a:graphic>
          </wp:inline>
        </w:drawing>
      </w:r>
    </w:p>
    <w:p>
      <w:pPr>
        <w:spacing w:after="150"/>
        <w:jc w:val="center"/>
      </w:pPr>
      <w:r>
        <w:rPr>
          <w:rFonts w:ascii="Calibri" w:cs="Calibri" w:eastAsia="Calibri" w:hAnsi="Calibri"/>
          <w:i/>
          <w:iCs/>
          <w:color w:val="666666"/>
          <w:sz w:val="17"/>
          <w:szCs w:val="17"/>
        </w:rPr>
        <w:t xml:space="preserve">Figura 5. Casos notificados por año; en rojo los años epidémicos 2023–2024.</w:t>
      </w:r>
    </w:p>
    <w:p>
      <w:pPr>
        <w:spacing w:after="80" w:before="180"/>
      </w:pPr>
      <w:r>
        <w:rPr>
          <w:rFonts w:ascii="Calibri" w:cs="Calibri" w:eastAsia="Calibri" w:hAnsi="Calibri"/>
          <w:b/>
          <w:bCs/>
          <w:color w:val="1f7a6d"/>
          <w:sz w:val="22"/>
          <w:szCs w:val="22"/>
        </w:rPr>
        <w:t xml:space="preserve">6.2. Distribución geográfica</w:t>
      </w:r>
    </w:p>
    <w:p>
      <w:pPr>
        <w:spacing w:after="120" w:line="270"/>
        <w:jc w:val="both"/>
      </w:pPr>
      <w:r>
        <w:rPr>
          <w:rFonts w:ascii="Calibri" w:cs="Calibri" w:eastAsia="Calibri" w:hAnsi="Calibri"/>
          <w:sz w:val="21"/>
          <w:szCs w:val="21"/>
        </w:rPr>
        <w:t xml:space="preserve">La carga se distribuye de forma muy desigual. Piura es el departamento con mayor número histórico (237 961 casos), seguido de Lima (122 854), Loreto (107 074) y La Libertad (100 810). La concentración en la costa norte es coherente con el efecto de El Niño Costero.</w:t>
      </w:r>
    </w:p>
    <w:p>
      <w:pPr>
        <w:spacing w:after="30" w:before="120"/>
        <w:jc w:val="center"/>
      </w:pPr>
      <w:r>
        <w:drawing>
          <wp:inline distT="0" distB="0" distL="0" distR="0">
            <wp:extent cx="4381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00300"/>
                    </a:xfrm>
                    <a:prstGeom prst="rect">
                      <a:avLst/>
                    </a:prstGeom>
                  </pic:spPr>
                </pic:pic>
              </a:graphicData>
            </a:graphic>
          </wp:inline>
        </w:drawing>
      </w:r>
    </w:p>
    <w:p>
      <w:pPr>
        <w:spacing w:after="150"/>
        <w:jc w:val="center"/>
      </w:pPr>
      <w:r>
        <w:rPr>
          <w:rFonts w:ascii="Calibri" w:cs="Calibri" w:eastAsia="Calibri" w:hAnsi="Calibri"/>
          <w:i/>
          <w:iCs/>
          <w:color w:val="666666"/>
          <w:sz w:val="17"/>
          <w:szCs w:val="17"/>
        </w:rPr>
        <w:t xml:space="preserve">Figura 6. Distribución geográfica: 15 departamentos con más casos (2000–2024).</w:t>
      </w:r>
    </w:p>
    <w:p>
      <w:pPr>
        <w:spacing w:after="80" w:before="180"/>
      </w:pPr>
      <w:r>
        <w:rPr>
          <w:rFonts w:ascii="Calibri" w:cs="Calibri" w:eastAsia="Calibri" w:hAnsi="Calibri"/>
          <w:b/>
          <w:bCs/>
          <w:color w:val="1f7a6d"/>
          <w:sz w:val="22"/>
          <w:szCs w:val="22"/>
        </w:rPr>
        <w:t xml:space="preserve">6.3. Estacionalidad</w:t>
      </w:r>
    </w:p>
    <w:p>
      <w:pPr>
        <w:spacing w:after="120" w:line="270"/>
        <w:jc w:val="both"/>
      </w:pPr>
      <w:r>
        <w:rPr>
          <w:rFonts w:ascii="Calibri" w:cs="Calibri" w:eastAsia="Calibri" w:hAnsi="Calibri"/>
          <w:sz w:val="21"/>
          <w:szCs w:val="21"/>
        </w:rPr>
        <w:t xml:space="preserve">La enfermedad presenta un marcado patrón estacional, con un ascenso durante el primer semestre que alcanza su máximo entre las semanas 12 y 18. En 2024, las notificaciones semanales superaron los 21 000 casos en el pico, una magnitud sin precedentes.</w:t>
      </w:r>
    </w:p>
    <w:p>
      <w:pPr>
        <w:spacing w:after="30" w:before="120"/>
        <w:jc w:val="center"/>
      </w:pPr>
      <w:r>
        <w:drawing>
          <wp:inline distT="0" distB="0" distL="0" distR="0">
            <wp:extent cx="4381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114550"/>
                    </a:xfrm>
                    <a:prstGeom prst="rect">
                      <a:avLst/>
                    </a:prstGeom>
                  </pic:spPr>
                </pic:pic>
              </a:graphicData>
            </a:graphic>
          </wp:inline>
        </w:drawing>
      </w:r>
    </w:p>
    <w:p>
      <w:pPr>
        <w:spacing w:after="150"/>
        <w:jc w:val="center"/>
      </w:pPr>
      <w:r>
        <w:rPr>
          <w:rFonts w:ascii="Calibri" w:cs="Calibri" w:eastAsia="Calibri" w:hAnsi="Calibri"/>
          <w:i/>
          <w:iCs/>
          <w:color w:val="666666"/>
          <w:sz w:val="17"/>
          <w:szCs w:val="17"/>
        </w:rPr>
        <w:t xml:space="preserve">Figura 7. Estacionalidad de casos por semana epidemiológica, 2022–2024.</w:t>
      </w:r>
    </w:p>
    <w:p>
      <w:pPr>
        <w:spacing w:after="80" w:before="180"/>
      </w:pPr>
      <w:r>
        <w:rPr>
          <w:rFonts w:ascii="Calibri" w:cs="Calibri" w:eastAsia="Calibri" w:hAnsi="Calibri"/>
          <w:b/>
          <w:bCs/>
          <w:color w:val="1f7a6d"/>
          <w:sz w:val="22"/>
          <w:szCs w:val="22"/>
        </w:rPr>
        <w:t xml:space="preserve">6.4. Perfil clínico y demográfico</w:t>
      </w:r>
    </w:p>
    <w:p>
      <w:pPr>
        <w:spacing w:after="120" w:line="270"/>
        <w:jc w:val="both"/>
      </w:pPr>
      <w:r>
        <w:rPr>
          <w:rFonts w:ascii="Calibri" w:cs="Calibri" w:eastAsia="Calibri" w:hAnsi="Calibri"/>
          <w:sz w:val="21"/>
          <w:szCs w:val="21"/>
        </w:rPr>
        <w:t xml:space="preserve">El 88,9 % de los casos correspondió a dengue sin signos de alarma, el 10,7 % con signos de alarma y el 0,39 % a dengue grave. La enfermedad afectó principalmente a la población económicamente activa (18–44 años) y mostró una ligera preponderancia femenina (53,8 %).</w:t>
      </w:r>
    </w:p>
    <w:p>
      <w:pPr>
        <w:spacing w:after="30" w:before="120"/>
        <w:jc w:val="center"/>
      </w:pPr>
      <w:r>
        <w:drawing>
          <wp:inline distT="0" distB="0" distL="0" distR="0">
            <wp:extent cx="40957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790700"/>
                    </a:xfrm>
                    <a:prstGeom prst="rect">
                      <a:avLst/>
                    </a:prstGeom>
                  </pic:spPr>
                </pic:pic>
              </a:graphicData>
            </a:graphic>
          </wp:inline>
        </w:drawing>
      </w:r>
    </w:p>
    <w:p>
      <w:pPr>
        <w:spacing w:after="150"/>
        <w:jc w:val="center"/>
      </w:pPr>
      <w:r>
        <w:rPr>
          <w:rFonts w:ascii="Calibri" w:cs="Calibri" w:eastAsia="Calibri" w:hAnsi="Calibri"/>
          <w:i/>
          <w:iCs/>
          <w:color w:val="666666"/>
          <w:sz w:val="17"/>
          <w:szCs w:val="17"/>
        </w:rPr>
        <w:t xml:space="preserve">Figura 8. Perfil clínico (severidad) y demográfico (grupo de edad).</w:t>
      </w:r>
    </w:p>
    <w:p>
      <w:pPr>
        <w:pBdr>
          <w:bottom w:val="single" w:color="14304a" w:sz="6" w:space="3"/>
        </w:pBdr>
        <w:spacing w:after="120" w:before="260"/>
      </w:pPr>
      <w:r>
        <w:rPr>
          <w:rFonts w:ascii="Calibri" w:cs="Calibri" w:eastAsia="Calibri" w:hAnsi="Calibri"/>
          <w:b/>
          <w:bCs/>
          <w:color w:val="b81d24"/>
          <w:sz w:val="27"/>
          <w:szCs w:val="27"/>
        </w:rPr>
        <w:t xml:space="preserve">7.  </w:t>
      </w:r>
      <w:r>
        <w:rPr>
          <w:rFonts w:ascii="Calibri" w:cs="Calibri" w:eastAsia="Calibri" w:hAnsi="Calibri"/>
          <w:b/>
          <w:bCs/>
          <w:color w:val="14304a"/>
          <w:sz w:val="27"/>
          <w:szCs w:val="27"/>
        </w:rPr>
        <w:t xml:space="preserve">Fase 4 · Modelado y minería de datos</w:t>
      </w:r>
    </w:p>
    <w:p>
      <w:pPr>
        <w:spacing w:after="80" w:before="180"/>
      </w:pPr>
      <w:r>
        <w:rPr>
          <w:rFonts w:ascii="Calibri" w:cs="Calibri" w:eastAsia="Calibri" w:hAnsi="Calibri"/>
          <w:b/>
          <w:bCs/>
          <w:color w:val="1f7a6d"/>
          <w:sz w:val="22"/>
          <w:szCs w:val="22"/>
        </w:rPr>
        <w:t xml:space="preserve">7.1. Primer enfoque: Random Forest semanal con Spark MLlib</w:t>
      </w:r>
    </w:p>
    <w:p>
      <w:pPr>
        <w:spacing w:after="120" w:line="270"/>
        <w:jc w:val="both"/>
      </w:pPr>
      <w:r>
        <w:rPr>
          <w:rFonts w:ascii="Calibri" w:cs="Calibri" w:eastAsia="Calibri" w:hAnsi="Calibri"/>
          <w:sz w:val="21"/>
          <w:szCs w:val="21"/>
        </w:rPr>
        <w:t xml:space="preserve">Se construyó una serie semanal nacional y se entrenó un Random Forest con Spark MLlib, algoritmo señalado por la literatura como uno de los más eficaces para el pronóstico del dengue. En validación por partición aleatoria (interpolación) alcanzó un R² de 0,94, pero en el pronóstico fuera de tiempo de 2024 descendió a 0,34: un modelo basado solo en el historial de casos no anticipa picos de magnitud inédita, porque los árboles no extrapolan más allá del rango observado.</w:t>
      </w:r>
    </w:p>
    <w:p>
      <w:pPr>
        <w:spacing w:after="80" w:before="180"/>
      </w:pPr>
      <w:r>
        <w:rPr>
          <w:rFonts w:ascii="Calibri" w:cs="Calibri" w:eastAsia="Calibri" w:hAnsi="Calibri"/>
          <w:b/>
          <w:bCs/>
          <w:color w:val="1f7a6d"/>
          <w:sz w:val="22"/>
          <w:szCs w:val="22"/>
        </w:rPr>
        <w:t xml:space="preserve">7.2. Ingeniería de características</w:t>
      </w:r>
    </w:p>
    <w:p>
      <w:pPr>
        <w:spacing w:after="120" w:line="270"/>
        <w:jc w:val="both"/>
      </w:pPr>
      <w:r>
        <w:rPr>
          <w:rFonts w:ascii="Calibri" w:cs="Calibri" w:eastAsia="Calibri" w:hAnsi="Calibri"/>
          <w:sz w:val="21"/>
          <w:szCs w:val="21"/>
        </w:rPr>
        <w:t xml:space="preserve">Como predictores se emplearon la semana/mes, componentes de estacionalidad (seno y coseno), rezagos de la serie (1, 2, 3, 4 y 12 periodos) y, en la versión enriquecida, las variables climáticas y sus rezagos de uno y dos meses (para reflejar el retardo entre las lluvias y la proliferación del vector). La variable objetivo se transformó a escala logarítmica para estabilizar la varianza ante los picos.</w:t>
      </w:r>
    </w:p>
    <w:p>
      <w:pPr>
        <w:spacing w:after="80" w:before="180"/>
      </w:pPr>
      <w:r>
        <w:rPr>
          <w:rFonts w:ascii="Calibri" w:cs="Calibri" w:eastAsia="Calibri" w:hAnsi="Calibri"/>
          <w:b/>
          <w:bCs/>
          <w:color w:val="1f7a6d"/>
          <w:sz w:val="22"/>
          <w:szCs w:val="22"/>
        </w:rPr>
        <w:t xml:space="preserve">7.3. Estudio comparativo mensual con clima</w:t>
      </w:r>
    </w:p>
    <w:p>
      <w:pPr>
        <w:spacing w:after="120" w:line="270"/>
        <w:jc w:val="both"/>
      </w:pPr>
      <w:r>
        <w:rPr>
          <w:rFonts w:ascii="Calibri" w:cs="Calibri" w:eastAsia="Calibri" w:hAnsi="Calibri"/>
          <w:sz w:val="21"/>
          <w:szCs w:val="21"/>
        </w:rPr>
        <w:t xml:space="preserve">Para robustecer el análisis se desarrolló un estudio comparativo a resolución mensual que evaluó ocho enfoques: dos líneas base (persistencia y naive estacional), modelos clásicos de series temporales (SARIMA y SARIMAX) y modelos de aprendizaje automático (Random Forest y Gradient Boosting), cada uno con y sin clima. La Tabla 4 y la Figura 9 resumen el desempeño en el pronóstico out-of-time de 2024.</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2100"/>
      </w:tblGrid>
      <w:tr>
        <w:trPr>
          <w:tblHeader/>
        </w:trPr>
        <w:tc>
          <w:tcPr>
            <w:tcW w:type="dxa" w:w="46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Modelo</w:t>
            </w:r>
          </w:p>
        </w:tc>
        <w:tc>
          <w:tcPr>
            <w:tcW w:type="dxa" w:w="17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R²</w:t>
            </w:r>
          </w:p>
        </w:tc>
        <w:tc>
          <w:tcPr>
            <w:tcW w:type="dxa" w:w="21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MAE (casos)</w:t>
            </w:r>
          </w:p>
        </w:tc>
      </w:tr>
      <w:tr>
        <w:tc>
          <w:tcPr>
            <w:tcW w:type="dxa" w:w="4600"/>
            <w:tcMar>
              <w:top w:type="dxa" w:w="34"/>
              <w:left w:type="dxa" w:w="90"/>
              <w:bottom w:type="dxa" w:w="34"/>
              <w:right w:type="dxa" w:w="90"/>
            </w:tcMar>
          </w:tcPr>
          <w:p>
            <w:r>
              <w:rPr>
                <w:rFonts w:ascii="Calibri" w:cs="Calibri" w:eastAsia="Calibri" w:hAnsi="Calibri"/>
                <w:sz w:val="16"/>
                <w:szCs w:val="16"/>
              </w:rPr>
              <w:t xml:space="preserve">Gradient Boosting (con clima)</w:t>
            </w:r>
          </w:p>
        </w:tc>
        <w:tc>
          <w:tcPr>
            <w:tcW w:type="dxa" w:w="1700"/>
            <w:tcMar>
              <w:top w:type="dxa" w:w="34"/>
              <w:left w:type="dxa" w:w="90"/>
              <w:bottom w:type="dxa" w:w="34"/>
              <w:right w:type="dxa" w:w="90"/>
            </w:tcMar>
          </w:tcPr>
          <w:p>
            <w:r>
              <w:rPr>
                <w:rFonts w:ascii="Calibri" w:cs="Calibri" w:eastAsia="Calibri" w:hAnsi="Calibri"/>
                <w:sz w:val="16"/>
                <w:szCs w:val="16"/>
              </w:rPr>
              <w:t xml:space="preserve">0,60</w:t>
            </w:r>
          </w:p>
        </w:tc>
        <w:tc>
          <w:tcPr>
            <w:tcW w:type="dxa" w:w="2100"/>
            <w:tcMar>
              <w:top w:type="dxa" w:w="34"/>
              <w:left w:type="dxa" w:w="90"/>
              <w:bottom w:type="dxa" w:w="34"/>
              <w:right w:type="dxa" w:w="90"/>
            </w:tcMar>
          </w:tcPr>
          <w:p>
            <w:r>
              <w:rPr>
                <w:rFonts w:ascii="Calibri" w:cs="Calibri" w:eastAsia="Calibri" w:hAnsi="Calibri"/>
                <w:sz w:val="16"/>
                <w:szCs w:val="16"/>
              </w:rPr>
              <w:t xml:space="preserve">10 973</w:t>
            </w:r>
          </w:p>
        </w:tc>
      </w:tr>
      <w:tr>
        <w:tc>
          <w:tcPr>
            <w:tcW w:type="dxa" w:w="4600"/>
            <w:shd w:fill="eef2f5" w:val="clear"/>
            <w:tcMar>
              <w:top w:type="dxa" w:w="34"/>
              <w:left w:type="dxa" w:w="90"/>
              <w:bottom w:type="dxa" w:w="34"/>
              <w:right w:type="dxa" w:w="90"/>
            </w:tcMar>
          </w:tcPr>
          <w:p>
            <w:r>
              <w:rPr>
                <w:rFonts w:ascii="Calibri" w:cs="Calibri" w:eastAsia="Calibri" w:hAnsi="Calibri"/>
                <w:sz w:val="16"/>
                <w:szCs w:val="16"/>
              </w:rPr>
              <w:t xml:space="preserve">Gradient Boosting (sin clima)</w:t>
            </w:r>
          </w:p>
        </w:tc>
        <w:tc>
          <w:tcPr>
            <w:tcW w:type="dxa" w:w="1700"/>
            <w:shd w:fill="eef2f5" w:val="clear"/>
            <w:tcMar>
              <w:top w:type="dxa" w:w="34"/>
              <w:left w:type="dxa" w:w="90"/>
              <w:bottom w:type="dxa" w:w="34"/>
              <w:right w:type="dxa" w:w="90"/>
            </w:tcMar>
          </w:tcPr>
          <w:p>
            <w:r>
              <w:rPr>
                <w:rFonts w:ascii="Calibri" w:cs="Calibri" w:eastAsia="Calibri" w:hAnsi="Calibri"/>
                <w:sz w:val="16"/>
                <w:szCs w:val="16"/>
              </w:rPr>
              <w:t xml:space="preserve">0,57</w:t>
            </w:r>
          </w:p>
        </w:tc>
        <w:tc>
          <w:tcPr>
            <w:tcW w:type="dxa" w:w="2100"/>
            <w:shd w:fill="eef2f5" w:val="clear"/>
            <w:tcMar>
              <w:top w:type="dxa" w:w="34"/>
              <w:left w:type="dxa" w:w="90"/>
              <w:bottom w:type="dxa" w:w="34"/>
              <w:right w:type="dxa" w:w="90"/>
            </w:tcMar>
          </w:tcPr>
          <w:p>
            <w:r>
              <w:rPr>
                <w:rFonts w:ascii="Calibri" w:cs="Calibri" w:eastAsia="Calibri" w:hAnsi="Calibri"/>
                <w:sz w:val="16"/>
                <w:szCs w:val="16"/>
              </w:rPr>
              <w:t xml:space="preserve">12 746</w:t>
            </w:r>
          </w:p>
        </w:tc>
      </w:tr>
      <w:tr>
        <w:tc>
          <w:tcPr>
            <w:tcW w:type="dxa" w:w="4600"/>
            <w:tcMar>
              <w:top w:type="dxa" w:w="34"/>
              <w:left w:type="dxa" w:w="90"/>
              <w:bottom w:type="dxa" w:w="34"/>
              <w:right w:type="dxa" w:w="90"/>
            </w:tcMar>
          </w:tcPr>
          <w:p>
            <w:r>
              <w:rPr>
                <w:rFonts w:ascii="Calibri" w:cs="Calibri" w:eastAsia="Calibri" w:hAnsi="Calibri"/>
                <w:sz w:val="16"/>
                <w:szCs w:val="16"/>
              </w:rPr>
              <w:t xml:space="preserve">Random Forest (sin clima)</w:t>
            </w:r>
          </w:p>
        </w:tc>
        <w:tc>
          <w:tcPr>
            <w:tcW w:type="dxa" w:w="1700"/>
            <w:tcMar>
              <w:top w:type="dxa" w:w="34"/>
              <w:left w:type="dxa" w:w="90"/>
              <w:bottom w:type="dxa" w:w="34"/>
              <w:right w:type="dxa" w:w="90"/>
            </w:tcMar>
          </w:tcPr>
          <w:p>
            <w:r>
              <w:rPr>
                <w:rFonts w:ascii="Calibri" w:cs="Calibri" w:eastAsia="Calibri" w:hAnsi="Calibri"/>
                <w:sz w:val="16"/>
                <w:szCs w:val="16"/>
              </w:rPr>
              <w:t xml:space="preserve">0,53</w:t>
            </w:r>
          </w:p>
        </w:tc>
        <w:tc>
          <w:tcPr>
            <w:tcW w:type="dxa" w:w="2100"/>
            <w:tcMar>
              <w:top w:type="dxa" w:w="34"/>
              <w:left w:type="dxa" w:w="90"/>
              <w:bottom w:type="dxa" w:w="34"/>
              <w:right w:type="dxa" w:w="90"/>
            </w:tcMar>
          </w:tcPr>
          <w:p>
            <w:r>
              <w:rPr>
                <w:rFonts w:ascii="Calibri" w:cs="Calibri" w:eastAsia="Calibri" w:hAnsi="Calibri"/>
                <w:sz w:val="16"/>
                <w:szCs w:val="16"/>
              </w:rPr>
              <w:t xml:space="preserve">13 231</w:t>
            </w:r>
          </w:p>
        </w:tc>
      </w:tr>
      <w:tr>
        <w:tc>
          <w:tcPr>
            <w:tcW w:type="dxa" w:w="4600"/>
            <w:shd w:fill="eef2f5" w:val="clear"/>
            <w:tcMar>
              <w:top w:type="dxa" w:w="34"/>
              <w:left w:type="dxa" w:w="90"/>
              <w:bottom w:type="dxa" w:w="34"/>
              <w:right w:type="dxa" w:w="90"/>
            </w:tcMar>
          </w:tcPr>
          <w:p>
            <w:r>
              <w:rPr>
                <w:rFonts w:ascii="Calibri" w:cs="Calibri" w:eastAsia="Calibri" w:hAnsi="Calibri"/>
                <w:sz w:val="16"/>
                <w:szCs w:val="16"/>
              </w:rPr>
              <w:t xml:space="preserve">Random Forest (con clima)</w:t>
            </w:r>
          </w:p>
        </w:tc>
        <w:tc>
          <w:tcPr>
            <w:tcW w:type="dxa" w:w="1700"/>
            <w:shd w:fill="eef2f5" w:val="clear"/>
            <w:tcMar>
              <w:top w:type="dxa" w:w="34"/>
              <w:left w:type="dxa" w:w="90"/>
              <w:bottom w:type="dxa" w:w="34"/>
              <w:right w:type="dxa" w:w="90"/>
            </w:tcMar>
          </w:tcPr>
          <w:p>
            <w:r>
              <w:rPr>
                <w:rFonts w:ascii="Calibri" w:cs="Calibri" w:eastAsia="Calibri" w:hAnsi="Calibri"/>
                <w:sz w:val="16"/>
                <w:szCs w:val="16"/>
              </w:rPr>
              <w:t xml:space="preserve">0,41</w:t>
            </w:r>
          </w:p>
        </w:tc>
        <w:tc>
          <w:tcPr>
            <w:tcW w:type="dxa" w:w="2100"/>
            <w:shd w:fill="eef2f5" w:val="clear"/>
            <w:tcMar>
              <w:top w:type="dxa" w:w="34"/>
              <w:left w:type="dxa" w:w="90"/>
              <w:bottom w:type="dxa" w:w="34"/>
              <w:right w:type="dxa" w:w="90"/>
            </w:tcMar>
          </w:tcPr>
          <w:p>
            <w:r>
              <w:rPr>
                <w:rFonts w:ascii="Calibri" w:cs="Calibri" w:eastAsia="Calibri" w:hAnsi="Calibri"/>
                <w:sz w:val="16"/>
                <w:szCs w:val="16"/>
              </w:rPr>
              <w:t xml:space="preserve">12 485</w:t>
            </w:r>
          </w:p>
        </w:tc>
      </w:tr>
      <w:tr>
        <w:tc>
          <w:tcPr>
            <w:tcW w:type="dxa" w:w="4600"/>
            <w:tcMar>
              <w:top w:type="dxa" w:w="34"/>
              <w:left w:type="dxa" w:w="90"/>
              <w:bottom w:type="dxa" w:w="34"/>
              <w:right w:type="dxa" w:w="90"/>
            </w:tcMar>
          </w:tcPr>
          <w:p>
            <w:r>
              <w:rPr>
                <w:rFonts w:ascii="Calibri" w:cs="Calibri" w:eastAsia="Calibri" w:hAnsi="Calibri"/>
                <w:sz w:val="16"/>
                <w:szCs w:val="16"/>
              </w:rPr>
              <w:t xml:space="preserve">Persistencia (línea base)</w:t>
            </w:r>
          </w:p>
        </w:tc>
        <w:tc>
          <w:tcPr>
            <w:tcW w:type="dxa" w:w="1700"/>
            <w:tcMar>
              <w:top w:type="dxa" w:w="34"/>
              <w:left w:type="dxa" w:w="90"/>
              <w:bottom w:type="dxa" w:w="34"/>
              <w:right w:type="dxa" w:w="90"/>
            </w:tcMar>
          </w:tcPr>
          <w:p>
            <w:r>
              <w:rPr>
                <w:rFonts w:ascii="Calibri" w:cs="Calibri" w:eastAsia="Calibri" w:hAnsi="Calibri"/>
                <w:sz w:val="16"/>
                <w:szCs w:val="16"/>
              </w:rPr>
              <w:t xml:space="preserve">0,32</w:t>
            </w:r>
          </w:p>
        </w:tc>
        <w:tc>
          <w:tcPr>
            <w:tcW w:type="dxa" w:w="2100"/>
            <w:tcMar>
              <w:top w:type="dxa" w:w="34"/>
              <w:left w:type="dxa" w:w="90"/>
              <w:bottom w:type="dxa" w:w="34"/>
              <w:right w:type="dxa" w:w="90"/>
            </w:tcMar>
          </w:tcPr>
          <w:p>
            <w:r>
              <w:rPr>
                <w:rFonts w:ascii="Calibri" w:cs="Calibri" w:eastAsia="Calibri" w:hAnsi="Calibri"/>
                <w:sz w:val="16"/>
                <w:szCs w:val="16"/>
              </w:rPr>
              <w:t xml:space="preserve">15 694</w:t>
            </w:r>
          </w:p>
        </w:tc>
      </w:tr>
      <w:tr>
        <w:tc>
          <w:tcPr>
            <w:tcW w:type="dxa" w:w="4600"/>
            <w:shd w:fill="eef2f5" w:val="clear"/>
            <w:tcMar>
              <w:top w:type="dxa" w:w="34"/>
              <w:left w:type="dxa" w:w="90"/>
              <w:bottom w:type="dxa" w:w="34"/>
              <w:right w:type="dxa" w:w="90"/>
            </w:tcMar>
          </w:tcPr>
          <w:p>
            <w:r>
              <w:rPr>
                <w:rFonts w:ascii="Calibri" w:cs="Calibri" w:eastAsia="Calibri" w:hAnsi="Calibri"/>
                <w:sz w:val="16"/>
                <w:szCs w:val="16"/>
              </w:rPr>
              <w:t xml:space="preserve">SARIMAX (con clima)</w:t>
            </w:r>
          </w:p>
        </w:tc>
        <w:tc>
          <w:tcPr>
            <w:tcW w:type="dxa" w:w="1700"/>
            <w:shd w:fill="eef2f5" w:val="clear"/>
            <w:tcMar>
              <w:top w:type="dxa" w:w="34"/>
              <w:left w:type="dxa" w:w="90"/>
              <w:bottom w:type="dxa" w:w="34"/>
              <w:right w:type="dxa" w:w="90"/>
            </w:tcMar>
          </w:tcPr>
          <w:p>
            <w:r>
              <w:rPr>
                <w:rFonts w:ascii="Calibri" w:cs="Calibri" w:eastAsia="Calibri" w:hAnsi="Calibri"/>
                <w:sz w:val="16"/>
                <w:szCs w:val="16"/>
              </w:rPr>
              <w:t xml:space="preserve">0,19</w:t>
            </w:r>
          </w:p>
        </w:tc>
        <w:tc>
          <w:tcPr>
            <w:tcW w:type="dxa" w:w="2100"/>
            <w:shd w:fill="eef2f5" w:val="clear"/>
            <w:tcMar>
              <w:top w:type="dxa" w:w="34"/>
              <w:left w:type="dxa" w:w="90"/>
              <w:bottom w:type="dxa" w:w="34"/>
              <w:right w:type="dxa" w:w="90"/>
            </w:tcMar>
          </w:tcPr>
          <w:p>
            <w:r>
              <w:rPr>
                <w:rFonts w:ascii="Calibri" w:cs="Calibri" w:eastAsia="Calibri" w:hAnsi="Calibri"/>
                <w:sz w:val="16"/>
                <w:szCs w:val="16"/>
              </w:rPr>
              <w:t xml:space="preserve">15 828</w:t>
            </w:r>
          </w:p>
        </w:tc>
      </w:tr>
      <w:tr>
        <w:tc>
          <w:tcPr>
            <w:tcW w:type="dxa" w:w="4600"/>
            <w:tcMar>
              <w:top w:type="dxa" w:w="34"/>
              <w:left w:type="dxa" w:w="90"/>
              <w:bottom w:type="dxa" w:w="34"/>
              <w:right w:type="dxa" w:w="90"/>
            </w:tcMar>
          </w:tcPr>
          <w:p>
            <w:r>
              <w:rPr>
                <w:rFonts w:ascii="Calibri" w:cs="Calibri" w:eastAsia="Calibri" w:hAnsi="Calibri"/>
                <w:sz w:val="16"/>
                <w:szCs w:val="16"/>
              </w:rPr>
              <w:t xml:space="preserve">SARIMA (sin clima)</w:t>
            </w:r>
          </w:p>
        </w:tc>
        <w:tc>
          <w:tcPr>
            <w:tcW w:type="dxa" w:w="1700"/>
            <w:tcMar>
              <w:top w:type="dxa" w:w="34"/>
              <w:left w:type="dxa" w:w="90"/>
              <w:bottom w:type="dxa" w:w="34"/>
              <w:right w:type="dxa" w:w="90"/>
            </w:tcMar>
          </w:tcPr>
          <w:p>
            <w:r>
              <w:rPr>
                <w:rFonts w:ascii="Calibri" w:cs="Calibri" w:eastAsia="Calibri" w:hAnsi="Calibri"/>
                <w:sz w:val="16"/>
                <w:szCs w:val="16"/>
              </w:rPr>
              <w:t xml:space="preserve">0,10</w:t>
            </w:r>
          </w:p>
        </w:tc>
        <w:tc>
          <w:tcPr>
            <w:tcW w:type="dxa" w:w="2100"/>
            <w:tcMar>
              <w:top w:type="dxa" w:w="34"/>
              <w:left w:type="dxa" w:w="90"/>
              <w:bottom w:type="dxa" w:w="34"/>
              <w:right w:type="dxa" w:w="90"/>
            </w:tcMar>
          </w:tcPr>
          <w:p>
            <w:r>
              <w:rPr>
                <w:rFonts w:ascii="Calibri" w:cs="Calibri" w:eastAsia="Calibri" w:hAnsi="Calibri"/>
                <w:sz w:val="16"/>
                <w:szCs w:val="16"/>
              </w:rPr>
              <w:t xml:space="preserve">16 231</w:t>
            </w:r>
          </w:p>
        </w:tc>
      </w:tr>
      <w:tr>
        <w:tc>
          <w:tcPr>
            <w:tcW w:type="dxa" w:w="4600"/>
            <w:shd w:fill="eef2f5" w:val="clear"/>
            <w:tcMar>
              <w:top w:type="dxa" w:w="34"/>
              <w:left w:type="dxa" w:w="90"/>
              <w:bottom w:type="dxa" w:w="34"/>
              <w:right w:type="dxa" w:w="90"/>
            </w:tcMar>
          </w:tcPr>
          <w:p>
            <w:r>
              <w:rPr>
                <w:rFonts w:ascii="Calibri" w:cs="Calibri" w:eastAsia="Calibri" w:hAnsi="Calibri"/>
                <w:sz w:val="16"/>
                <w:szCs w:val="16"/>
              </w:rPr>
              <w:t xml:space="preserve">Naive estacional</w:t>
            </w:r>
          </w:p>
        </w:tc>
        <w:tc>
          <w:tcPr>
            <w:tcW w:type="dxa" w:w="1700"/>
            <w:shd w:fill="eef2f5" w:val="clear"/>
            <w:tcMar>
              <w:top w:type="dxa" w:w="34"/>
              <w:left w:type="dxa" w:w="90"/>
              <w:bottom w:type="dxa" w:w="34"/>
              <w:right w:type="dxa" w:w="90"/>
            </w:tcMar>
          </w:tcPr>
          <w:p>
            <w:r>
              <w:rPr>
                <w:rFonts w:ascii="Calibri" w:cs="Calibri" w:eastAsia="Calibri" w:hAnsi="Calibri"/>
                <w:sz w:val="16"/>
                <w:szCs w:val="16"/>
              </w:rPr>
              <w:t xml:space="preserve">-0,07</w:t>
            </w:r>
          </w:p>
        </w:tc>
        <w:tc>
          <w:tcPr>
            <w:tcW w:type="dxa" w:w="2100"/>
            <w:shd w:fill="eef2f5" w:val="clear"/>
            <w:tcMar>
              <w:top w:type="dxa" w:w="34"/>
              <w:left w:type="dxa" w:w="90"/>
              <w:bottom w:type="dxa" w:w="34"/>
              <w:right w:type="dxa" w:w="90"/>
            </w:tcMar>
          </w:tcPr>
          <w:p>
            <w:r>
              <w:rPr>
                <w:rFonts w:ascii="Calibri" w:cs="Calibri" w:eastAsia="Calibri" w:hAnsi="Calibri"/>
                <w:sz w:val="16"/>
                <w:szCs w:val="16"/>
              </w:rPr>
              <w:t xml:space="preserve">23 375</w:t>
            </w:r>
          </w:p>
        </w:tc>
      </w:tr>
    </w:tbl>
    <w:p>
      <w:pPr>
        <w:spacing w:after="150"/>
        <w:jc w:val="center"/>
      </w:pPr>
      <w:r>
        <w:rPr>
          <w:rFonts w:ascii="Calibri" w:cs="Calibri" w:eastAsia="Calibri" w:hAnsi="Calibri"/>
          <w:i/>
          <w:iCs/>
          <w:color w:val="666666"/>
          <w:sz w:val="17"/>
          <w:szCs w:val="17"/>
        </w:rPr>
        <w:t xml:space="preserve">Tabla 4. Comparación de ocho modelos (pronóstico mensual de 2024), ordenados por R².</w:t>
      </w:r>
    </w:p>
    <w:p>
      <w:pPr>
        <w:spacing w:after="30" w:before="120"/>
        <w:jc w:val="center"/>
      </w:pPr>
      <w:r>
        <w:drawing>
          <wp:inline distT="0" distB="0" distL="0" distR="0">
            <wp:extent cx="4381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257425"/>
                    </a:xfrm>
                    <a:prstGeom prst="rect">
                      <a:avLst/>
                    </a:prstGeom>
                  </pic:spPr>
                </pic:pic>
              </a:graphicData>
            </a:graphic>
          </wp:inline>
        </w:drawing>
      </w:r>
    </w:p>
    <w:p>
      <w:pPr>
        <w:spacing w:after="150"/>
        <w:jc w:val="center"/>
      </w:pPr>
      <w:r>
        <w:rPr>
          <w:rFonts w:ascii="Calibri" w:cs="Calibri" w:eastAsia="Calibri" w:hAnsi="Calibri"/>
          <w:i/>
          <w:iCs/>
          <w:color w:val="666666"/>
          <w:sz w:val="17"/>
          <w:szCs w:val="17"/>
        </w:rPr>
        <w:t xml:space="preserve">Figura 9. Desempeño (R²) de los modelos; en verde los que incorporan clima.</w:t>
      </w:r>
    </w:p>
    <w:p>
      <w:pPr>
        <w:spacing w:after="30" w:before="120"/>
        <w:jc w:val="center"/>
      </w:pPr>
      <w:r>
        <w:drawing>
          <wp:inline distT="0" distB="0" distL="0" distR="0">
            <wp:extent cx="4381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133600"/>
                    </a:xfrm>
                    <a:prstGeom prst="rect">
                      <a:avLst/>
                    </a:prstGeom>
                  </pic:spPr>
                </pic:pic>
              </a:graphicData>
            </a:graphic>
          </wp:inline>
        </w:drawing>
      </w:r>
    </w:p>
    <w:p>
      <w:pPr>
        <w:spacing w:after="150"/>
        <w:jc w:val="center"/>
      </w:pPr>
      <w:r>
        <w:rPr>
          <w:rFonts w:ascii="Calibri" w:cs="Calibri" w:eastAsia="Calibri" w:hAnsi="Calibri"/>
          <w:i/>
          <w:iCs/>
          <w:color w:val="666666"/>
          <w:sz w:val="17"/>
          <w:szCs w:val="17"/>
        </w:rPr>
        <w:t xml:space="preserve">Figura 10. Pronóstico mensual de 2024: mejor modelo frente a la línea base y los casos reales.</w:t>
      </w:r>
    </w:p>
    <w:p>
      <w:pPr>
        <w:spacing w:after="80" w:before="180"/>
      </w:pPr>
      <w:r>
        <w:rPr>
          <w:rFonts w:ascii="Calibri" w:cs="Calibri" w:eastAsia="Calibri" w:hAnsi="Calibri"/>
          <w:b/>
          <w:bCs/>
          <w:color w:val="1f7a6d"/>
          <w:sz w:val="22"/>
          <w:szCs w:val="22"/>
        </w:rPr>
        <w:t xml:space="preserve">7.4. Validación walk-forward y por departamento</w:t>
      </w:r>
    </w:p>
    <w:p>
      <w:pPr>
        <w:spacing w:after="120" w:line="270"/>
        <w:jc w:val="both"/>
      </w:pPr>
      <w:r>
        <w:rPr>
          <w:rFonts w:ascii="Calibri" w:cs="Calibri" w:eastAsia="Calibri" w:hAnsi="Calibri"/>
          <w:sz w:val="21"/>
          <w:szCs w:val="21"/>
        </w:rPr>
        <w:t xml:space="preserve">Se complementó con una validación walk-forward de un paso (2019–2024), en la que el Random Forest mantuvo un R² de 0,56, y con modelos por departamento. La Tabla 5 muestra que Piura —epicentro de la epidemia— fue el mejor modelado, mientras que el resto presentó mayor heterogeneidad, señal de que se requieren determinantes locales adicionales.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Departamento</w:t>
            </w:r>
          </w:p>
        </w:tc>
        <w:tc>
          <w:tcPr>
            <w:tcW w:type="dxa" w:w="46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R² (pronóstico 2024)</w:t>
            </w:r>
          </w:p>
        </w:tc>
      </w:tr>
      <w:tr>
        <w:tc>
          <w:tcPr>
            <w:tcW w:type="dxa" w:w="4600"/>
            <w:tcMar>
              <w:top w:type="dxa" w:w="34"/>
              <w:left w:type="dxa" w:w="90"/>
              <w:bottom w:type="dxa" w:w="34"/>
              <w:right w:type="dxa" w:w="90"/>
            </w:tcMar>
          </w:tcPr>
          <w:p>
            <w:r>
              <w:rPr>
                <w:rFonts w:ascii="Calibri" w:cs="Calibri" w:eastAsia="Calibri" w:hAnsi="Calibri"/>
                <w:sz w:val="16"/>
                <w:szCs w:val="16"/>
              </w:rPr>
              <w:t xml:space="preserve">Piura</w:t>
            </w:r>
          </w:p>
        </w:tc>
        <w:tc>
          <w:tcPr>
            <w:tcW w:type="dxa" w:w="4600"/>
            <w:tcMar>
              <w:top w:type="dxa" w:w="34"/>
              <w:left w:type="dxa" w:w="90"/>
              <w:bottom w:type="dxa" w:w="34"/>
              <w:right w:type="dxa" w:w="90"/>
            </w:tcMar>
          </w:tcPr>
          <w:p>
            <w:r>
              <w:rPr>
                <w:rFonts w:ascii="Calibri" w:cs="Calibri" w:eastAsia="Calibri" w:hAnsi="Calibri"/>
                <w:sz w:val="16"/>
                <w:szCs w:val="16"/>
              </w:rPr>
              <w:t xml:space="preserve">0,55</w:t>
            </w:r>
          </w:p>
        </w:tc>
      </w:tr>
      <w:tr>
        <w:tc>
          <w:tcPr>
            <w:tcW w:type="dxa" w:w="4600"/>
            <w:shd w:fill="eef2f5" w:val="clear"/>
            <w:tcMar>
              <w:top w:type="dxa" w:w="34"/>
              <w:left w:type="dxa" w:w="90"/>
              <w:bottom w:type="dxa" w:w="34"/>
              <w:right w:type="dxa" w:w="90"/>
            </w:tcMar>
          </w:tcPr>
          <w:p>
            <w:r>
              <w:rPr>
                <w:rFonts w:ascii="Calibri" w:cs="Calibri" w:eastAsia="Calibri" w:hAnsi="Calibri"/>
                <w:sz w:val="16"/>
                <w:szCs w:val="16"/>
              </w:rPr>
              <w:t xml:space="preserve">Ica</w:t>
            </w:r>
          </w:p>
        </w:tc>
        <w:tc>
          <w:tcPr>
            <w:tcW w:type="dxa" w:w="4600"/>
            <w:shd w:fill="eef2f5" w:val="clear"/>
            <w:tcMar>
              <w:top w:type="dxa" w:w="34"/>
              <w:left w:type="dxa" w:w="90"/>
              <w:bottom w:type="dxa" w:w="34"/>
              <w:right w:type="dxa" w:w="90"/>
            </w:tcMar>
          </w:tcPr>
          <w:p>
            <w:r>
              <w:rPr>
                <w:rFonts w:ascii="Calibri" w:cs="Calibri" w:eastAsia="Calibri" w:hAnsi="Calibri"/>
                <w:sz w:val="16"/>
                <w:szCs w:val="16"/>
              </w:rPr>
              <w:t xml:space="preserve">0,03</w:t>
            </w:r>
          </w:p>
        </w:tc>
      </w:tr>
      <w:tr>
        <w:tc>
          <w:tcPr>
            <w:tcW w:type="dxa" w:w="4600"/>
            <w:tcMar>
              <w:top w:type="dxa" w:w="34"/>
              <w:left w:type="dxa" w:w="90"/>
              <w:bottom w:type="dxa" w:w="34"/>
              <w:right w:type="dxa" w:w="90"/>
            </w:tcMar>
          </w:tcPr>
          <w:p>
            <w:r>
              <w:rPr>
                <w:rFonts w:ascii="Calibri" w:cs="Calibri" w:eastAsia="Calibri" w:hAnsi="Calibri"/>
                <w:sz w:val="16"/>
                <w:szCs w:val="16"/>
              </w:rPr>
              <w:t xml:space="preserve">La Libertad</w:t>
            </w:r>
          </w:p>
        </w:tc>
        <w:tc>
          <w:tcPr>
            <w:tcW w:type="dxa" w:w="4600"/>
            <w:tcMar>
              <w:top w:type="dxa" w:w="34"/>
              <w:left w:type="dxa" w:w="90"/>
              <w:bottom w:type="dxa" w:w="34"/>
              <w:right w:type="dxa" w:w="90"/>
            </w:tcMar>
          </w:tcPr>
          <w:p>
            <w:r>
              <w:rPr>
                <w:rFonts w:ascii="Calibri" w:cs="Calibri" w:eastAsia="Calibri" w:hAnsi="Calibri"/>
                <w:sz w:val="16"/>
                <w:szCs w:val="16"/>
              </w:rPr>
              <w:t xml:space="preserve">-0,01</w:t>
            </w:r>
          </w:p>
        </w:tc>
      </w:tr>
      <w:tr>
        <w:tc>
          <w:tcPr>
            <w:tcW w:type="dxa" w:w="4600"/>
            <w:shd w:fill="eef2f5" w:val="clear"/>
            <w:tcMar>
              <w:top w:type="dxa" w:w="34"/>
              <w:left w:type="dxa" w:w="90"/>
              <w:bottom w:type="dxa" w:w="34"/>
              <w:right w:type="dxa" w:w="90"/>
            </w:tcMar>
          </w:tcPr>
          <w:p>
            <w:r>
              <w:rPr>
                <w:rFonts w:ascii="Calibri" w:cs="Calibri" w:eastAsia="Calibri" w:hAnsi="Calibri"/>
                <w:sz w:val="16"/>
                <w:szCs w:val="16"/>
              </w:rPr>
              <w:t xml:space="preserve">Lima</w:t>
            </w:r>
          </w:p>
        </w:tc>
        <w:tc>
          <w:tcPr>
            <w:tcW w:type="dxa" w:w="4600"/>
            <w:shd w:fill="eef2f5" w:val="clear"/>
            <w:tcMar>
              <w:top w:type="dxa" w:w="34"/>
              <w:left w:type="dxa" w:w="90"/>
              <w:bottom w:type="dxa" w:w="34"/>
              <w:right w:type="dxa" w:w="90"/>
            </w:tcMar>
          </w:tcPr>
          <w:p>
            <w:r>
              <w:rPr>
                <w:rFonts w:ascii="Calibri" w:cs="Calibri" w:eastAsia="Calibri" w:hAnsi="Calibri"/>
                <w:sz w:val="16"/>
                <w:szCs w:val="16"/>
              </w:rPr>
              <w:t xml:space="preserve">-0,05</w:t>
            </w:r>
          </w:p>
        </w:tc>
      </w:tr>
      <w:tr>
        <w:tc>
          <w:tcPr>
            <w:tcW w:type="dxa" w:w="4600"/>
            <w:tcMar>
              <w:top w:type="dxa" w:w="34"/>
              <w:left w:type="dxa" w:w="90"/>
              <w:bottom w:type="dxa" w:w="34"/>
              <w:right w:type="dxa" w:w="90"/>
            </w:tcMar>
          </w:tcPr>
          <w:p>
            <w:r>
              <w:rPr>
                <w:rFonts w:ascii="Calibri" w:cs="Calibri" w:eastAsia="Calibri" w:hAnsi="Calibri"/>
                <w:sz w:val="16"/>
                <w:szCs w:val="16"/>
              </w:rPr>
              <w:t xml:space="preserve">Loreto</w:t>
            </w:r>
          </w:p>
        </w:tc>
        <w:tc>
          <w:tcPr>
            <w:tcW w:type="dxa" w:w="4600"/>
            <w:tcMar>
              <w:top w:type="dxa" w:w="34"/>
              <w:left w:type="dxa" w:w="90"/>
              <w:bottom w:type="dxa" w:w="34"/>
              <w:right w:type="dxa" w:w="90"/>
            </w:tcMar>
          </w:tcPr>
          <w:p>
            <w:r>
              <w:rPr>
                <w:rFonts w:ascii="Calibri" w:cs="Calibri" w:eastAsia="Calibri" w:hAnsi="Calibri"/>
                <w:sz w:val="16"/>
                <w:szCs w:val="16"/>
              </w:rPr>
              <w:t xml:space="preserve">-0,06</w:t>
            </w:r>
          </w:p>
        </w:tc>
      </w:tr>
    </w:tbl>
    <w:p>
      <w:pPr>
        <w:spacing w:after="150"/>
        <w:jc w:val="center"/>
      </w:pPr>
      <w:r>
        <w:rPr>
          <w:rFonts w:ascii="Calibri" w:cs="Calibri" w:eastAsia="Calibri" w:hAnsi="Calibri"/>
          <w:i/>
          <w:iCs/>
          <w:color w:val="666666"/>
          <w:sz w:val="17"/>
          <w:szCs w:val="17"/>
        </w:rPr>
        <w:t xml:space="preserve">Tabla 5. Desempeño del modelo por departamento (Random Forest con clima).</w:t>
      </w:r>
    </w:p>
    <w:p>
      <w:pPr>
        <w:spacing w:after="80" w:before="180"/>
      </w:pPr>
      <w:r>
        <w:rPr>
          <w:rFonts w:ascii="Calibri" w:cs="Calibri" w:eastAsia="Calibri" w:hAnsi="Calibri"/>
          <w:b/>
          <w:bCs/>
          <w:color w:val="1f7a6d"/>
          <w:sz w:val="22"/>
          <w:szCs w:val="22"/>
        </w:rPr>
        <w:t xml:space="preserve">7.5. Hallazgo central sobre el clima</w:t>
      </w:r>
    </w:p>
    <w:p>
      <w:pPr>
        <w:spacing w:after="120" w:line="270"/>
        <w:jc w:val="both"/>
      </w:pPr>
      <w:r>
        <w:rPr>
          <w:rFonts w:ascii="Calibri" w:cs="Calibri" w:eastAsia="Calibri" w:hAnsi="Calibri"/>
          <w:sz w:val="21"/>
          <w:szCs w:val="21"/>
        </w:rPr>
        <w:t xml:space="preserve">La incorporación del clima mejoró los modelos más robustos (Gradient Boosting, de 0,57 a 0,60; y SARIMAX frente a SARIMA, de 0,10 a 0,19), pero no al Random Forest, cuyo desempeño incluso disminuyó. Este matiz es plenamente consistente con da Silva et al. (2024), quienes concluyeron que la utilidad de las covariables climáticas depende del modelo y del contexto. El resultado eleva el mejor R² de 0,34 (modelo semanal inicial) a 0,60, y constituye un aporte honesto: no se infló un número, sino que se reportó una realidad matizada.</w:t>
      </w:r>
    </w:p>
    <w:p>
      <w:pPr>
        <w:pBdr>
          <w:bottom w:val="single" w:color="14304a" w:sz="6" w:space="3"/>
        </w:pBdr>
        <w:spacing w:after="120" w:before="260"/>
      </w:pPr>
      <w:r>
        <w:rPr>
          <w:rFonts w:ascii="Calibri" w:cs="Calibri" w:eastAsia="Calibri" w:hAnsi="Calibri"/>
          <w:b/>
          <w:bCs/>
          <w:color w:val="b81d24"/>
          <w:sz w:val="27"/>
          <w:szCs w:val="27"/>
        </w:rPr>
        <w:t xml:space="preserve">8.  </w:t>
      </w:r>
      <w:r>
        <w:rPr>
          <w:rFonts w:ascii="Calibri" w:cs="Calibri" w:eastAsia="Calibri" w:hAnsi="Calibri"/>
          <w:b/>
          <w:bCs/>
          <w:color w:val="14304a"/>
          <w:sz w:val="27"/>
          <w:szCs w:val="27"/>
        </w:rPr>
        <w:t xml:space="preserve">Fase 5 · Visualización y capa de decisión</w:t>
      </w:r>
    </w:p>
    <w:p>
      <w:pPr>
        <w:spacing w:after="80" w:before="180"/>
      </w:pPr>
      <w:r>
        <w:rPr>
          <w:rFonts w:ascii="Calibri" w:cs="Calibri" w:eastAsia="Calibri" w:hAnsi="Calibri"/>
          <w:b/>
          <w:bCs/>
          <w:color w:val="1f7a6d"/>
          <w:sz w:val="22"/>
          <w:szCs w:val="22"/>
        </w:rPr>
        <w:t xml:space="preserve">8.1. La escalera de madurez analítica</w:t>
      </w:r>
    </w:p>
    <w:p>
      <w:pPr>
        <w:spacing w:after="120" w:line="270"/>
        <w:jc w:val="both"/>
      </w:pPr>
      <w:r>
        <w:rPr>
          <w:rFonts w:ascii="Calibri" w:cs="Calibri" w:eastAsia="Calibri" w:hAnsi="Calibri"/>
          <w:sz w:val="21"/>
          <w:szCs w:val="21"/>
        </w:rPr>
        <w:t xml:space="preserve">La analítica atraviesa cuatro niveles: descriptivo (¿qué pasó?), diagnóstico (¿por qué?), predictivo (¿qué podría pasar?) y prescriptivo (¿qué hacer?). Un tablero que solo describe se queda en el primer peldaño; el valor operativo aparece en el nivel prescriptivo. Por ello, además del bloque descriptivo, se diseñó una capa de decisión.</w:t>
      </w:r>
    </w:p>
    <w:p>
      <w:pPr>
        <w:spacing w:after="80" w:before="180"/>
      </w:pPr>
      <w:r>
        <w:rPr>
          <w:rFonts w:ascii="Calibri" w:cs="Calibri" w:eastAsia="Calibri" w:hAnsi="Calibri"/>
          <w:b/>
          <w:bCs/>
          <w:color w:val="1f7a6d"/>
          <w:sz w:val="22"/>
          <w:szCs w:val="22"/>
        </w:rPr>
        <w:t xml:space="preserve">8.2. Componentes de la capa de decisión</w:t>
      </w:r>
    </w:p>
    <w:p>
      <w:pPr>
        <w:spacing w:after="30" w:before="120"/>
        <w:jc w:val="center"/>
      </w:pPr>
      <w:r>
        <w:drawing>
          <wp:inline distT="0" distB="0" distL="0" distR="0">
            <wp:extent cx="4476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781300"/>
                    </a:xfrm>
                    <a:prstGeom prst="rect">
                      <a:avLst/>
                    </a:prstGeom>
                  </pic:spPr>
                </pic:pic>
              </a:graphicData>
            </a:graphic>
          </wp:inline>
        </w:drawing>
      </w:r>
    </w:p>
    <w:p>
      <w:pPr>
        <w:spacing w:after="150"/>
        <w:jc w:val="center"/>
      </w:pPr>
      <w:r>
        <w:rPr>
          <w:rFonts w:ascii="Calibri" w:cs="Calibri" w:eastAsia="Calibri" w:hAnsi="Calibri"/>
          <w:i/>
          <w:iCs/>
          <w:color w:val="666666"/>
          <w:sz w:val="17"/>
          <w:szCs w:val="17"/>
        </w:rPr>
        <w:t xml:space="preserve">Figura 11. Representación del panel de decisión del dashboard.</w:t>
      </w:r>
    </w:p>
    <w:p>
      <w:pPr>
        <w:spacing w:after="60" w:before="120"/>
      </w:pPr>
      <w:r>
        <w:rPr>
          <w:rFonts w:ascii="Calibri" w:cs="Calibri" w:eastAsia="Calibri" w:hAnsi="Calibri"/>
          <w:b/>
          <w:bCs/>
          <w:i/>
          <w:iCs/>
          <w:color w:val="333333"/>
          <w:sz w:val="20"/>
          <w:szCs w:val="20"/>
        </w:rPr>
        <w:t xml:space="preserve">Canal endémico (semáforo)</w:t>
      </w:r>
    </w:p>
    <w:p>
      <w:pPr>
        <w:spacing w:after="120" w:line="270"/>
        <w:jc w:val="both"/>
      </w:pPr>
      <w:r>
        <w:rPr>
          <w:rFonts w:ascii="Calibri" w:cs="Calibri" w:eastAsia="Calibri" w:hAnsi="Calibri"/>
          <w:sz w:val="21"/>
          <w:szCs w:val="21"/>
        </w:rPr>
        <w:t xml:space="preserve">El canal endémico compara los casos de cada semana con el comportamiento histórico y clasifica la situación en cuatro zonas: éxito (por debajo del percentil 25), seguridad (p25–mediana), alerta (mediana–p75) y epidemia (por encima del p75). El umbral se construyó con los años de referencia 2015–2022 (excluyendo el El Niño de 2017 y la epidemia de 2023–2024). El resultado es contundente: en 35 de las 52 semanas de 2024 la incidencia estuvo en zona de epidemia.</w:t>
      </w:r>
    </w:p>
    <w:p>
      <w:pPr>
        <w:spacing w:after="3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190750"/>
                    </a:xfrm>
                    <a:prstGeom prst="rect">
                      <a:avLst/>
                    </a:prstGeom>
                  </pic:spPr>
                </pic:pic>
              </a:graphicData>
            </a:graphic>
          </wp:inline>
        </w:drawing>
      </w:r>
    </w:p>
    <w:p>
      <w:pPr>
        <w:spacing w:after="150"/>
        <w:jc w:val="center"/>
      </w:pPr>
      <w:r>
        <w:rPr>
          <w:rFonts w:ascii="Calibri" w:cs="Calibri" w:eastAsia="Calibri" w:hAnsi="Calibri"/>
          <w:i/>
          <w:iCs/>
          <w:color w:val="666666"/>
          <w:sz w:val="17"/>
          <w:szCs w:val="17"/>
        </w:rPr>
        <w:t xml:space="preserve">Figura 12. Canal endémico: casos de 2024 frente al umbral histórico.</w:t>
      </w:r>
    </w:p>
    <w:p>
      <w:pPr>
        <w:spacing w:after="60" w:before="120"/>
      </w:pPr>
      <w:r>
        <w:rPr>
          <w:rFonts w:ascii="Calibri" w:cs="Calibri" w:eastAsia="Calibri" w:hAnsi="Calibri"/>
          <w:b/>
          <w:bCs/>
          <w:i/>
          <w:iCs/>
          <w:color w:val="333333"/>
          <w:sz w:val="20"/>
          <w:szCs w:val="20"/>
        </w:rPr>
        <w:t xml:space="preserve">Índice de priorización territorial</w:t>
      </w:r>
    </w:p>
    <w:p>
      <w:pPr>
        <w:spacing w:after="120" w:line="270"/>
        <w:jc w:val="both"/>
      </w:pPr>
      <w:r>
        <w:rPr>
          <w:rFonts w:ascii="Calibri" w:cs="Calibri" w:eastAsia="Calibri" w:hAnsi="Calibri"/>
          <w:sz w:val="21"/>
          <w:szCs w:val="21"/>
        </w:rPr>
        <w:t xml:space="preserve">Para responder «¿dónde actuar primero?», se definió un puntaje de riesgo por departamento que pondera la carga de casos de 2024 (50 %), la carga histórica acumulada (30 %) y la severidad clínica (20 %). El índice identifica a Piura, Lima y La Libertad como zonas de riesgo crítico, y revela un desplazamiento del epicentro: Piura lideró en 2023, pero en 2024 la mayor carga se trasladó a Lima.</w:t>
      </w:r>
    </w:p>
    <w:p>
      <w:pPr>
        <w:spacing w:after="60" w:before="120"/>
      </w:pPr>
      <w:r>
        <w:rPr>
          <w:rFonts w:ascii="Calibri" w:cs="Calibri" w:eastAsia="Calibri" w:hAnsi="Calibri"/>
          <w:b/>
          <w:bCs/>
          <w:i/>
          <w:iCs/>
          <w:color w:val="333333"/>
          <w:sz w:val="20"/>
          <w:szCs w:val="20"/>
        </w:rPr>
        <w:t xml:space="preserve">Proyección ilustrativa</w:t>
      </w:r>
    </w:p>
    <w:p>
      <w:pPr>
        <w:spacing w:after="120" w:line="270"/>
        <w:jc w:val="both"/>
      </w:pPr>
      <w:r>
        <w:rPr>
          <w:rFonts w:ascii="Calibri" w:cs="Calibri" w:eastAsia="Calibri" w:hAnsi="Calibri"/>
          <w:sz w:val="21"/>
          <w:szCs w:val="21"/>
        </w:rPr>
        <w:t xml:space="preserve">El modelo genera una proyección para el año siguiente al último con datos (2025) bajo un escenario de clima estacional normal. Se etiqueta explícitamente como una demostración del método —no un pronóstico vigente—, dado que la serie cierra en 2024.</w:t>
      </w:r>
    </w:p>
    <w:p>
      <w:pPr>
        <w:spacing w:after="60" w:before="120"/>
      </w:pPr>
      <w:r>
        <w:rPr>
          <w:rFonts w:ascii="Calibri" w:cs="Calibri" w:eastAsia="Calibri" w:hAnsi="Calibri"/>
          <w:b/>
          <w:bCs/>
          <w:i/>
          <w:iCs/>
          <w:color w:val="333333"/>
          <w:sz w:val="20"/>
          <w:szCs w:val="20"/>
        </w:rPr>
        <w:t xml:space="preserve">Panel de recomendaciones</w:t>
      </w:r>
    </w:p>
    <w:p>
      <w:pPr>
        <w:spacing w:after="120" w:line="270"/>
        <w:jc w:val="both"/>
      </w:pPr>
      <w:r>
        <w:rPr>
          <w:rFonts w:ascii="Calibri" w:cs="Calibri" w:eastAsia="Calibri" w:hAnsi="Calibri"/>
          <w:sz w:val="21"/>
          <w:szCs w:val="21"/>
        </w:rPr>
        <w:t xml:space="preserve">Finalmente, se derivaron recomendaciones operativas de los propios datos: concentrar el control vectorial en las zonas críticas; desplegar las intervenciones en enero–febrero, antes del pico; vigilar la señal climática de El Niño; y focalizar la comunicación preventiva en adultos de 18 a 44 años.</w:t>
      </w:r>
    </w:p>
    <w:p>
      <w:pPr>
        <w:pBdr>
          <w:bottom w:val="single" w:color="14304a" w:sz="6" w:space="3"/>
        </w:pBdr>
        <w:spacing w:after="120" w:before="260"/>
      </w:pPr>
      <w:r>
        <w:rPr>
          <w:rFonts w:ascii="Calibri" w:cs="Calibri" w:eastAsia="Calibri" w:hAnsi="Calibri"/>
          <w:b/>
          <w:bCs/>
          <w:color w:val="b81d24"/>
          <w:sz w:val="27"/>
          <w:szCs w:val="27"/>
        </w:rPr>
        <w:t xml:space="preserve">9.  </w:t>
      </w:r>
      <w:r>
        <w:rPr>
          <w:rFonts w:ascii="Calibri" w:cs="Calibri" w:eastAsia="Calibri" w:hAnsi="Calibri"/>
          <w:b/>
          <w:bCs/>
          <w:color w:val="14304a"/>
          <w:sz w:val="27"/>
          <w:szCs w:val="27"/>
        </w:rPr>
        <w:t xml:space="preserve">Fase 6 · Guía de replicación en Power BI</w:t>
      </w:r>
    </w:p>
    <w:p>
      <w:pPr>
        <w:spacing w:after="120" w:line="270"/>
        <w:jc w:val="both"/>
      </w:pPr>
      <w:r>
        <w:rPr>
          <w:rFonts w:ascii="Calibri" w:cs="Calibri" w:eastAsia="Calibri" w:hAnsi="Calibri"/>
          <w:sz w:val="21"/>
          <w:szCs w:val="21"/>
        </w:rPr>
        <w:t xml:space="preserve">Se elaboró una guía paso a paso para reconstruir el dashboard en Power BI a partir de los datos procesados, cubriendo: importación de los CSV, verificación en Power Query, creación del modelo estrella y sus relaciones, definición de medidas DAX, construcción de los visuales, diseño y publicación en el Power BI Service. Ejemplos de medidas definidas:</w:t>
      </w:r>
    </w:p>
    <w:p>
      <w:pPr>
        <w:pBdr>
          <w:left w:val="single" w:color="1f7a6d" w:sz="14" w:space="8"/>
        </w:pBdr>
        <w:shd w:fill="f2f4f6" w:val="clear"/>
        <w:spacing w:after="60" w:before="20"/>
      </w:pPr>
      <w:r>
        <w:rPr>
          <w:rFonts w:ascii="Consolas" w:cs="Consolas" w:eastAsia="Consolas" w:hAnsi="Consolas"/>
          <w:color w:val="1a2733"/>
          <w:sz w:val="16"/>
          <w:szCs w:val="16"/>
        </w:rPr>
        <w:t xml:space="preserve">Total Casos = COUNTROWS ( fact_dengue )</w:t>
      </w:r>
    </w:p>
    <w:p>
      <w:pPr>
        <w:pBdr>
          <w:left w:val="single" w:color="1f7a6d" w:sz="14" w:space="8"/>
        </w:pBdr>
        <w:shd w:fill="f2f4f6" w:val="clear"/>
        <w:spacing w:after="60" w:before="20"/>
      </w:pPr>
      <w:r>
        <w:rPr>
          <w:rFonts w:ascii="Consolas" w:cs="Consolas" w:eastAsia="Consolas" w:hAnsi="Consolas"/>
          <w:color w:val="1a2733"/>
          <w:sz w:val="16"/>
          <w:szCs w:val="16"/>
        </w:rPr>
        <w:t xml:space="preserve">% Graves = DIVIDE ( [Casos Graves], [Total Casos] )</w:t>
      </w:r>
    </w:p>
    <w:p>
      <w:pPr>
        <w:pBdr>
          <w:left w:val="single" w:color="1f7a6d" w:sz="14" w:space="8"/>
        </w:pBdr>
        <w:shd w:fill="f2f4f6" w:val="clear"/>
        <w:spacing w:after="60" w:before="20"/>
      </w:pPr>
      <w:r>
        <w:rPr>
          <w:rFonts w:ascii="Consolas" w:cs="Consolas" w:eastAsia="Consolas" w:hAnsi="Consolas"/>
          <w:color w:val="1a2733"/>
          <w:sz w:val="16"/>
          <w:szCs w:val="16"/>
        </w:rPr>
        <w:t xml:space="preserve">Casos 2023-2024 = CALCULATE ( [Total Casos], fact_dengue[ano] IN {2023,2024} )</w:t>
      </w:r>
    </w:p>
    <w:p>
      <w:pPr>
        <w:pBdr>
          <w:left w:val="single" w:color="1f7a6d" w:sz="14" w:space="8"/>
        </w:pBdr>
        <w:shd w:fill="f2f4f6" w:val="clear"/>
        <w:spacing w:after="60" w:before="20"/>
      </w:pPr>
      <w:r>
        <w:rPr>
          <w:rFonts w:ascii="Consolas" w:cs="Consolas" w:eastAsia="Consolas" w:hAnsi="Consolas"/>
          <w:color w:val="1a2733"/>
          <w:sz w:val="16"/>
          <w:szCs w:val="16"/>
        </w:rPr>
        <w:t xml:space="preserve">Semanas en Epidemia = CALCULATE ( COUNTROWS(canal_endemico),</w:t>
      </w:r>
    </w:p>
    <w:p>
      <w:pPr>
        <w:pBdr>
          <w:left w:val="single" w:color="1f7a6d" w:sz="14" w:space="8"/>
        </w:pBdr>
        <w:shd w:fill="f2f4f6" w:val="clear"/>
        <w:spacing w:after="60" w:before="20"/>
      </w:pPr>
      <w:r>
        <w:rPr>
          <w:rFonts w:ascii="Consolas" w:cs="Consolas" w:eastAsia="Consolas" w:hAnsi="Consolas"/>
          <w:color w:val="1a2733"/>
          <w:sz w:val="16"/>
          <w:szCs w:val="16"/>
        </w:rPr>
        <w:t xml:space="preserve">                      canal_endemico[zona_2024] = "epidemia" )</w:t>
      </w:r>
    </w:p>
    <w:p>
      <w:pPr>
        <w:pBdr>
          <w:bottom w:val="single" w:color="14304a" w:sz="6" w:space="3"/>
        </w:pBdr>
        <w:spacing w:after="120" w:before="260"/>
      </w:pPr>
      <w:r>
        <w:rPr>
          <w:rFonts w:ascii="Calibri" w:cs="Calibri" w:eastAsia="Calibri" w:hAnsi="Calibri"/>
          <w:b/>
          <w:bCs/>
          <w:color w:val="b81d24"/>
          <w:sz w:val="27"/>
          <w:szCs w:val="27"/>
        </w:rPr>
        <w:t xml:space="preserve">10.  </w:t>
      </w:r>
      <w:r>
        <w:rPr>
          <w:rFonts w:ascii="Calibri" w:cs="Calibri" w:eastAsia="Calibri" w:hAnsi="Calibri"/>
          <w:b/>
          <w:bCs/>
          <w:color w:val="14304a"/>
          <w:sz w:val="27"/>
          <w:szCs w:val="27"/>
        </w:rPr>
        <w:t xml:space="preserve">Fase 7 · Difusión</w:t>
      </w:r>
    </w:p>
    <w:p>
      <w:pPr>
        <w:spacing w:after="120" w:line="270"/>
        <w:jc w:val="both"/>
      </w:pPr>
      <w:r>
        <w:rPr>
          <w:rFonts w:ascii="Calibri" w:cs="Calibri" w:eastAsia="Calibri" w:hAnsi="Calibri"/>
          <w:sz w:val="21"/>
          <w:szCs w:val="21"/>
        </w:rPr>
        <w:t xml:space="preserve">Los resultados se comunican en tres productos complementarios: un artículo científico redactado con el formato de la revista de la facultad (estructura IMRyD, referencias en APA 7 con DOI verificados); una página web de portafolio que presenta el proyecto y reserva un espacio para incrustar el informe de Power BI publicado; y el presente informe, que documenta el proceso completo.</w:t>
      </w:r>
    </w:p>
    <w:p>
      <w:pPr>
        <w:pBdr>
          <w:bottom w:val="single" w:color="14304a" w:sz="6" w:space="3"/>
        </w:pBdr>
        <w:spacing w:after="120" w:before="260"/>
      </w:pPr>
      <w:r>
        <w:rPr>
          <w:rFonts w:ascii="Calibri" w:cs="Calibri" w:eastAsia="Calibri" w:hAnsi="Calibri"/>
          <w:b/>
          <w:bCs/>
          <w:color w:val="b81d24"/>
          <w:sz w:val="27"/>
          <w:szCs w:val="27"/>
        </w:rPr>
        <w:t xml:space="preserve">11.  </w:t>
      </w:r>
      <w:r>
        <w:rPr>
          <w:rFonts w:ascii="Calibri" w:cs="Calibri" w:eastAsia="Calibri" w:hAnsi="Calibri"/>
          <w:b/>
          <w:bCs/>
          <w:color w:val="14304a"/>
          <w:sz w:val="27"/>
          <w:szCs w:val="27"/>
        </w:rPr>
        <w:t xml:space="preserve">El recorrido metodológico: iteraciones y decisiones</w:t>
      </w:r>
    </w:p>
    <w:p>
      <w:pPr>
        <w:spacing w:after="120" w:line="270"/>
        <w:jc w:val="both"/>
      </w:pPr>
      <w:r>
        <w:rPr>
          <w:rFonts w:ascii="Calibri" w:cs="Calibri" w:eastAsia="Calibri" w:hAnsi="Calibri"/>
          <w:sz w:val="21"/>
          <w:szCs w:val="21"/>
        </w:rPr>
        <w:t xml:space="preserve">Un valor añadido de este informe es documentar el proceso real de construcción, con sus iteraciones y correcciones —tal como ocurre en un proyecto analítico auténtico.</w:t>
      </w:r>
    </w:p>
    <w:p>
      <w:pPr>
        <w:pStyle w:val="ListParagraph"/>
        <w:numPr>
          <w:ilvl w:val="0"/>
          <w:numId w:val="3"/>
        </w:numPr>
        <w:spacing w:after="60"/>
      </w:pPr>
      <w:r>
        <w:rPr>
          <w:rFonts w:ascii="Calibri" w:cs="Calibri" w:eastAsia="Calibri" w:hAnsi="Calibri"/>
          <w:b/>
          <w:bCs/>
          <w:sz w:val="21"/>
          <w:szCs w:val="21"/>
        </w:rPr>
        <w:t xml:space="preserve">Del ETL básico al Big Data de verdad. </w:t>
      </w:r>
      <w:r>
        <w:rPr>
          <w:rFonts w:ascii="Calibri" w:cs="Calibri" w:eastAsia="Calibri" w:hAnsi="Calibri"/>
          <w:sz w:val="21"/>
          <w:szCs w:val="21"/>
        </w:rPr>
        <w:t xml:space="preserve">El planteamiento inicial contemplaba un ETL sencillo; se decidió elevarlo usando Apache Spark y un modelo de Machine Learning, para cubrir con rigor las cuatro unidades del curso (procesamiento distribuido, minería de datos).</w:t>
      </w:r>
    </w:p>
    <w:p>
      <w:pPr>
        <w:pStyle w:val="ListParagraph"/>
        <w:numPr>
          <w:ilvl w:val="0"/>
          <w:numId w:val="3"/>
        </w:numPr>
        <w:spacing w:after="60"/>
      </w:pPr>
      <w:r>
        <w:rPr>
          <w:rFonts w:ascii="Calibri" w:cs="Calibri" w:eastAsia="Calibri" w:hAnsi="Calibri"/>
          <w:b/>
          <w:bCs/>
          <w:sz w:val="21"/>
          <w:szCs w:val="21"/>
        </w:rPr>
        <w:t xml:space="preserve">Diagnóstico de una limitación. </w:t>
      </w:r>
      <w:r>
        <w:rPr>
          <w:rFonts w:ascii="Calibri" w:cs="Calibri" w:eastAsia="Calibri" w:hAnsi="Calibri"/>
          <w:sz w:val="21"/>
          <w:szCs w:val="21"/>
        </w:rPr>
        <w:t xml:space="preserve">El primer modelo (Random Forest semanal) rindió muy bien en interpolación (R²=0,94) pero mal en el pronóstico de 2024 (R²=0,34). En lugar de ocultarlo, se investigó la causa: los árboles no extrapolan magnitudes inéditas.</w:t>
      </w:r>
    </w:p>
    <w:p>
      <w:pPr>
        <w:pStyle w:val="ListParagraph"/>
        <w:numPr>
          <w:ilvl w:val="0"/>
          <w:numId w:val="3"/>
        </w:numPr>
        <w:spacing w:after="60"/>
      </w:pPr>
      <w:r>
        <w:rPr>
          <w:rFonts w:ascii="Calibri" w:cs="Calibri" w:eastAsia="Calibri" w:hAnsi="Calibri"/>
          <w:b/>
          <w:bCs/>
          <w:sz w:val="21"/>
          <w:szCs w:val="21"/>
        </w:rPr>
        <w:t xml:space="preserve">Mejora dirigida por datos, no por cómputo. </w:t>
      </w:r>
      <w:r>
        <w:rPr>
          <w:rFonts w:ascii="Calibri" w:cs="Calibri" w:eastAsia="Calibri" w:hAnsi="Calibri"/>
          <w:sz w:val="21"/>
          <w:szCs w:val="21"/>
        </w:rPr>
        <w:t xml:space="preserve">Se descartó recurrir a más potencia de cálculo (GPU) por ser irrelevante al problema, y se optó por lo correcto: incorporar variables climáticas (NASA POWER) y una comparación rigurosa de modelos, elevando el mejor R² a 0,60.</w:t>
      </w:r>
    </w:p>
    <w:p>
      <w:pPr>
        <w:pStyle w:val="ListParagraph"/>
        <w:numPr>
          <w:ilvl w:val="0"/>
          <w:numId w:val="3"/>
        </w:numPr>
        <w:spacing w:after="60"/>
      </w:pPr>
      <w:r>
        <w:rPr>
          <w:rFonts w:ascii="Calibri" w:cs="Calibri" w:eastAsia="Calibri" w:hAnsi="Calibri"/>
          <w:b/>
          <w:bCs/>
          <w:sz w:val="21"/>
          <w:szCs w:val="21"/>
        </w:rPr>
        <w:t xml:space="preserve">De describir a accionar. </w:t>
      </w:r>
      <w:r>
        <w:rPr>
          <w:rFonts w:ascii="Calibri" w:cs="Calibri" w:eastAsia="Calibri" w:hAnsi="Calibri"/>
          <w:sz w:val="21"/>
          <w:szCs w:val="21"/>
        </w:rPr>
        <w:t xml:space="preserve">Se detectó que el tablero era esencialmente descriptivo y se añadió una capa de decisión (canal endémico, priorización, proyección, recomendaciones) para alcanzar el nivel prescriptivo.</w:t>
      </w:r>
    </w:p>
    <w:p>
      <w:pPr>
        <w:pStyle w:val="ListParagraph"/>
        <w:numPr>
          <w:ilvl w:val="0"/>
          <w:numId w:val="3"/>
        </w:numPr>
        <w:spacing w:after="60"/>
      </w:pPr>
      <w:r>
        <w:rPr>
          <w:rFonts w:ascii="Calibri" w:cs="Calibri" w:eastAsia="Calibri" w:hAnsi="Calibri"/>
          <w:b/>
          <w:bCs/>
          <w:sz w:val="21"/>
          <w:szCs w:val="21"/>
        </w:rPr>
        <w:t xml:space="preserve">Reencuadre honesto. </w:t>
      </w:r>
      <w:r>
        <w:rPr>
          <w:rFonts w:ascii="Calibri" w:cs="Calibri" w:eastAsia="Calibri" w:hAnsi="Calibri"/>
          <w:sz w:val="21"/>
          <w:szCs w:val="21"/>
        </w:rPr>
        <w:t xml:space="preserve">Al advertir que la serie cierra en 2024 y que el año en curso es 2026, se reformuló el proyecto explícitamente como una demostración metodológica —no un sistema en vivo— y se documentó como limitación central.</w:t>
      </w:r>
    </w:p>
    <w:p>
      <w:pPr>
        <w:pBdr>
          <w:bottom w:val="single" w:color="14304a" w:sz="6" w:space="3"/>
        </w:pBdr>
        <w:spacing w:after="120" w:before="260"/>
      </w:pPr>
      <w:r>
        <w:rPr>
          <w:rFonts w:ascii="Calibri" w:cs="Calibri" w:eastAsia="Calibri" w:hAnsi="Calibri"/>
          <w:b/>
          <w:bCs/>
          <w:color w:val="b81d24"/>
          <w:sz w:val="27"/>
          <w:szCs w:val="27"/>
        </w:rPr>
        <w:t xml:space="preserve">12.  </w:t>
      </w:r>
      <w:r>
        <w:rPr>
          <w:rFonts w:ascii="Calibri" w:cs="Calibri" w:eastAsia="Calibri" w:hAnsi="Calibri"/>
          <w:b/>
          <w:bCs/>
          <w:color w:val="14304a"/>
          <w:sz w:val="27"/>
          <w:szCs w:val="27"/>
        </w:rPr>
        <w:t xml:space="preserve">Hallazgos principales</w:t>
      </w:r>
    </w:p>
    <w:p>
      <w:pPr>
        <w:pStyle w:val="ListParagraph"/>
        <w:numPr>
          <w:ilvl w:val="0"/>
          <w:numId w:val="1"/>
        </w:numPr>
        <w:spacing w:after="60"/>
      </w:pPr>
      <w:r>
        <w:rPr>
          <w:rFonts w:ascii="Calibri" w:cs="Calibri" w:eastAsia="Calibri" w:hAnsi="Calibri"/>
          <w:sz w:val="21"/>
          <w:szCs w:val="21"/>
        </w:rPr>
        <w:t xml:space="preserve">La epidemia de 2023–2024 concentró el 51,3 % de todos los casos históricos (528 172 de 1 029 421), con pico absoluto en 2024 (271 531 casos).</w:t>
      </w:r>
    </w:p>
    <w:p>
      <w:pPr>
        <w:pStyle w:val="ListParagraph"/>
        <w:numPr>
          <w:ilvl w:val="0"/>
          <w:numId w:val="1"/>
        </w:numPr>
        <w:spacing w:after="60"/>
      </w:pPr>
      <w:r>
        <w:rPr>
          <w:rFonts w:ascii="Calibri" w:cs="Calibri" w:eastAsia="Calibri" w:hAnsi="Calibri"/>
          <w:sz w:val="21"/>
          <w:szCs w:val="21"/>
        </w:rPr>
        <w:t xml:space="preserve">La carga es geográficamente desigual: Piura acumula la mayor cifra histórica (237 961), pero en 2024 el epicentro se desplazó a Lima (87 864 casos).</w:t>
      </w:r>
    </w:p>
    <w:p>
      <w:pPr>
        <w:pStyle w:val="ListParagraph"/>
        <w:numPr>
          <w:ilvl w:val="0"/>
          <w:numId w:val="1"/>
        </w:numPr>
        <w:spacing w:after="60"/>
      </w:pPr>
      <w:r>
        <w:rPr>
          <w:rFonts w:ascii="Calibri" w:cs="Calibri" w:eastAsia="Calibri" w:hAnsi="Calibri"/>
          <w:sz w:val="21"/>
          <w:szCs w:val="21"/>
        </w:rPr>
        <w:t xml:space="preserve">Existe un fuerte acoplamiento entre el fenómeno de El Niño (lluvias y humedad) y los brotes de dengue.</w:t>
      </w:r>
    </w:p>
    <w:p>
      <w:pPr>
        <w:pStyle w:val="ListParagraph"/>
        <w:numPr>
          <w:ilvl w:val="0"/>
          <w:numId w:val="1"/>
        </w:numPr>
        <w:spacing w:after="60"/>
      </w:pPr>
      <w:r>
        <w:rPr>
          <w:rFonts w:ascii="Calibri" w:cs="Calibri" w:eastAsia="Calibri" w:hAnsi="Calibri"/>
          <w:sz w:val="21"/>
          <w:szCs w:val="21"/>
        </w:rPr>
        <w:t xml:space="preserve">El mejor modelo (Gradient Boosting con clima) alcanzó un R² de 0,60; el clima mejora los modelos más robustos, pero no todos.</w:t>
      </w:r>
    </w:p>
    <w:p>
      <w:pPr>
        <w:pStyle w:val="ListParagraph"/>
        <w:numPr>
          <w:ilvl w:val="0"/>
          <w:numId w:val="1"/>
        </w:numPr>
        <w:spacing w:after="60"/>
      </w:pPr>
      <w:r>
        <w:rPr>
          <w:rFonts w:ascii="Calibri" w:cs="Calibri" w:eastAsia="Calibri" w:hAnsi="Calibri"/>
          <w:sz w:val="21"/>
          <w:szCs w:val="21"/>
        </w:rPr>
        <w:t xml:space="preserve">En 35 de las 52 semanas de 2024 la incidencia superó el umbral epidémico del canal endémico.</w:t>
      </w:r>
    </w:p>
    <w:p>
      <w:pPr>
        <w:pStyle w:val="ListParagraph"/>
        <w:numPr>
          <w:ilvl w:val="0"/>
          <w:numId w:val="1"/>
        </w:numPr>
        <w:spacing w:after="60"/>
      </w:pPr>
      <w:r>
        <w:rPr>
          <w:rFonts w:ascii="Calibri" w:cs="Calibri" w:eastAsia="Calibri" w:hAnsi="Calibri"/>
          <w:sz w:val="21"/>
          <w:szCs w:val="21"/>
        </w:rPr>
        <w:t xml:space="preserve">El dengue afecta sobre todo a adultos de 18 a 44 años; el 0,39 % de los casos fue dengue grave.</w:t>
      </w:r>
    </w:p>
    <w:p>
      <w:pPr>
        <w:pBdr>
          <w:bottom w:val="single" w:color="14304a" w:sz="6" w:space="3"/>
        </w:pBdr>
        <w:spacing w:after="120" w:before="260"/>
      </w:pPr>
      <w:r>
        <w:rPr>
          <w:rFonts w:ascii="Calibri" w:cs="Calibri" w:eastAsia="Calibri" w:hAnsi="Calibri"/>
          <w:b/>
          <w:bCs/>
          <w:color w:val="b81d24"/>
          <w:sz w:val="27"/>
          <w:szCs w:val="27"/>
        </w:rPr>
        <w:t xml:space="preserve">13.  </w:t>
      </w:r>
      <w:r>
        <w:rPr>
          <w:rFonts w:ascii="Calibri" w:cs="Calibri" w:eastAsia="Calibri" w:hAnsi="Calibri"/>
          <w:b/>
          <w:bCs/>
          <w:color w:val="14304a"/>
          <w:sz w:val="27"/>
          <w:szCs w:val="27"/>
        </w:rPr>
        <w:t xml:space="preserve">Limitaciones y honestidad metodológica</w:t>
      </w:r>
    </w:p>
    <w:p>
      <w:pPr>
        <w:spacing w:after="120" w:line="270"/>
        <w:jc w:val="both"/>
      </w:pPr>
      <w:r>
        <w:rPr>
          <w:rFonts w:ascii="Calibri" w:cs="Calibri" w:eastAsia="Calibri" w:hAnsi="Calibri"/>
          <w:sz w:val="21"/>
          <w:szCs w:val="21"/>
        </w:rPr>
        <w:t xml:space="preserve">Se explicitan las limitaciones por transparencia científica. La principal es la vigencia de los datos: la serie oficial de microdatos abiertos se cierra en 2024, por lo que el trabajo constituye una demostración metodológica sobre un episodio histórico y no un sistema de vigilancia en tiempo real; su uso operativo exigiría un flujo de datos actualizado semana a semana. A ello se suman el carácter provisional de las notificaciones y la posible subnotificación, la mezcla de casos sospechosos, probables y confirmados, la resolución mensual y departamental de las variables climáticas, y la ausencia de covariables poblacionales. Estas limitaciones no invalidan el proyecto: acotan su alcance y trazan la ruta para convertirlo en operativo.</w:t>
      </w:r>
    </w:p>
    <w:p>
      <w:pPr>
        <w:pBdr>
          <w:bottom w:val="single" w:color="14304a" w:sz="6" w:space="3"/>
        </w:pBdr>
        <w:spacing w:after="120" w:before="260"/>
      </w:pPr>
      <w:r>
        <w:rPr>
          <w:rFonts w:ascii="Calibri" w:cs="Calibri" w:eastAsia="Calibri" w:hAnsi="Calibri"/>
          <w:b/>
          <w:bCs/>
          <w:color w:val="b81d24"/>
          <w:sz w:val="27"/>
          <w:szCs w:val="27"/>
        </w:rPr>
        <w:t xml:space="preserve">14.  </w:t>
      </w:r>
      <w:r>
        <w:rPr>
          <w:rFonts w:ascii="Calibri" w:cs="Calibri" w:eastAsia="Calibri" w:hAnsi="Calibri"/>
          <w:b/>
          <w:bCs/>
          <w:color w:val="14304a"/>
          <w:sz w:val="27"/>
          <w:szCs w:val="27"/>
        </w:rPr>
        <w:t xml:space="preserve">Reproducibilidad</w:t>
      </w:r>
    </w:p>
    <w:p>
      <w:pPr>
        <w:spacing w:after="120" w:line="270"/>
        <w:jc w:val="both"/>
      </w:pPr>
      <w:r>
        <w:rPr>
          <w:rFonts w:ascii="Calibri" w:cs="Calibri" w:eastAsia="Calibri" w:hAnsi="Calibri"/>
          <w:sz w:val="21"/>
          <w:szCs w:val="21"/>
        </w:rPr>
        <w:t xml:space="preserve">Todo el pipeline es reproducible. Los scripts de Spark y de modelado se acompañan de un archivo de dependencias y un README. El flujo se ejecuta en un entorno virtual aislado:</w:t>
      </w:r>
    </w:p>
    <w:p>
      <w:pPr>
        <w:pBdr>
          <w:left w:val="single" w:color="1f7a6d" w:sz="14" w:space="8"/>
        </w:pBdr>
        <w:shd w:fill="f2f4f6" w:val="clear"/>
        <w:spacing w:after="60" w:before="20"/>
      </w:pPr>
      <w:r>
        <w:rPr>
          <w:rFonts w:ascii="Consolas" w:cs="Consolas" w:eastAsia="Consolas" w:hAnsi="Consolas"/>
          <w:color w:val="1a2733"/>
          <w:sz w:val="16"/>
          <w:szCs w:val="16"/>
        </w:rPr>
        <w:t xml:space="preserve">python -m venv sparkenv</w:t>
      </w:r>
    </w:p>
    <w:p>
      <w:pPr>
        <w:pBdr>
          <w:left w:val="single" w:color="1f7a6d" w:sz="14" w:space="8"/>
        </w:pBdr>
        <w:shd w:fill="f2f4f6" w:val="clear"/>
        <w:spacing w:after="60" w:before="20"/>
      </w:pPr>
      <w:r>
        <w:rPr>
          <w:rFonts w:ascii="Consolas" w:cs="Consolas" w:eastAsia="Consolas" w:hAnsi="Consolas"/>
          <w:color w:val="1a2733"/>
          <w:sz w:val="16"/>
          <w:szCs w:val="16"/>
        </w:rPr>
        <w:t xml:space="preserve">source sparkenv/bin/activate      (Windows: sparkenv\Scripts\activate)</w:t>
      </w:r>
    </w:p>
    <w:p>
      <w:pPr>
        <w:pBdr>
          <w:left w:val="single" w:color="1f7a6d" w:sz="14" w:space="8"/>
        </w:pBdr>
        <w:shd w:fill="f2f4f6" w:val="clear"/>
        <w:spacing w:after="60" w:before="20"/>
      </w:pPr>
      <w:r>
        <w:rPr>
          <w:rFonts w:ascii="Consolas" w:cs="Consolas" w:eastAsia="Consolas" w:hAnsi="Consolas"/>
          <w:color w:val="1a2733"/>
          <w:sz w:val="16"/>
          <w:szCs w:val="16"/>
        </w:rPr>
        <w:t xml:space="preserve">pip install -r requirements.txt</w:t>
      </w:r>
    </w:p>
    <w:p>
      <w:pPr>
        <w:pBdr>
          <w:left w:val="single" w:color="1f7a6d" w:sz="14" w:space="8"/>
        </w:pBdr>
        <w:shd w:fill="f2f4f6" w:val="clear"/>
        <w:spacing w:after="60" w:before="20"/>
      </w:pPr>
      <w:r>
        <w:rPr>
          <w:rFonts w:ascii="Consolas" w:cs="Consolas" w:eastAsia="Consolas" w:hAnsi="Consolas"/>
          <w:color w:val="1a2733"/>
          <w:sz w:val="16"/>
          <w:szCs w:val="16"/>
        </w:rPr>
        <w:t xml:space="preserve">python etl_dengue_spark.py        # ETL</w:t>
      </w:r>
    </w:p>
    <w:p>
      <w:pPr>
        <w:pBdr>
          <w:left w:val="single" w:color="1f7a6d" w:sz="14" w:space="8"/>
        </w:pBdr>
        <w:shd w:fill="f2f4f6" w:val="clear"/>
        <w:spacing w:after="60" w:before="20"/>
      </w:pPr>
      <w:r>
        <w:rPr>
          <w:rFonts w:ascii="Consolas" w:cs="Consolas" w:eastAsia="Consolas" w:hAnsi="Consolas"/>
          <w:color w:val="1a2733"/>
          <w:sz w:val="16"/>
          <w:szCs w:val="16"/>
        </w:rPr>
        <w:t xml:space="preserve">python ml2_clima_comparacion.py   # modelado con clima</w:t>
      </w:r>
    </w:p>
    <w:p>
      <w:pPr>
        <w:spacing w:after="120" w:line="270"/>
        <w:jc w:val="both"/>
      </w:pPr>
      <w:r>
        <w:rPr>
          <w:rFonts w:ascii="Calibri" w:cs="Calibri" w:eastAsia="Calibri" w:hAnsi="Calibri"/>
          <w:sz w:val="21"/>
          <w:szCs w:val="21"/>
        </w:rPr>
        <w:t xml:space="preserve">Requiere Java 8/11/17 para Apache Spark. Los datos de origen son públicos y su URL queda documentada.</w:t>
      </w:r>
    </w:p>
    <w:p>
      <w:pPr>
        <w:pBdr>
          <w:bottom w:val="single" w:color="14304a" w:sz="6" w:space="3"/>
        </w:pBdr>
        <w:spacing w:after="120" w:before="260"/>
      </w:pPr>
      <w:r>
        <w:rPr>
          <w:rFonts w:ascii="Calibri" w:cs="Calibri" w:eastAsia="Calibri" w:hAnsi="Calibri"/>
          <w:b/>
          <w:bCs/>
          <w:color w:val="b81d24"/>
          <w:sz w:val="27"/>
          <w:szCs w:val="27"/>
        </w:rPr>
        <w:t xml:space="preserve">15.  </w:t>
      </w:r>
      <w:r>
        <w:rPr>
          <w:rFonts w:ascii="Calibri" w:cs="Calibri" w:eastAsia="Calibri" w:hAnsi="Calibri"/>
          <w:b/>
          <w:bCs/>
          <w:color w:val="14304a"/>
          <w:sz w:val="27"/>
          <w:szCs w:val="27"/>
        </w:rPr>
        <w:t xml:space="preserve">Stack tecnológico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Componente</w:t>
            </w:r>
          </w:p>
        </w:tc>
        <w:tc>
          <w:tcPr>
            <w:tcW w:type="dxa" w:w="56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Herramienta</w:t>
            </w:r>
          </w:p>
        </w:tc>
      </w:tr>
      <w:tr>
        <w:tc>
          <w:tcPr>
            <w:tcW w:type="dxa" w:w="3600"/>
            <w:tcMar>
              <w:top w:type="dxa" w:w="34"/>
              <w:left w:type="dxa" w:w="90"/>
              <w:bottom w:type="dxa" w:w="34"/>
              <w:right w:type="dxa" w:w="90"/>
            </w:tcMar>
          </w:tcPr>
          <w:p>
            <w:r>
              <w:rPr>
                <w:rFonts w:ascii="Calibri" w:cs="Calibri" w:eastAsia="Calibri" w:hAnsi="Calibri"/>
                <w:sz w:val="16"/>
                <w:szCs w:val="16"/>
              </w:rPr>
              <w:t xml:space="preserve">Procesamiento distribuido / ETL</w:t>
            </w:r>
          </w:p>
        </w:tc>
        <w:tc>
          <w:tcPr>
            <w:tcW w:type="dxa" w:w="5600"/>
            <w:tcMar>
              <w:top w:type="dxa" w:w="34"/>
              <w:left w:type="dxa" w:w="90"/>
              <w:bottom w:type="dxa" w:w="34"/>
              <w:right w:type="dxa" w:w="90"/>
            </w:tcMar>
          </w:tcPr>
          <w:p>
            <w:r>
              <w:rPr>
                <w:rFonts w:ascii="Calibri" w:cs="Calibri" w:eastAsia="Calibri" w:hAnsi="Calibri"/>
                <w:sz w:val="16"/>
                <w:szCs w:val="16"/>
              </w:rPr>
              <w:t xml:space="preserve">Apache Spark 3.5 (PySpark)</w:t>
            </w:r>
          </w:p>
        </w:tc>
      </w:tr>
      <w:tr>
        <w:tc>
          <w:tcPr>
            <w:tcW w:type="dxa" w:w="3600"/>
            <w:shd w:fill="eef2f5" w:val="clear"/>
            <w:tcMar>
              <w:top w:type="dxa" w:w="34"/>
              <w:left w:type="dxa" w:w="90"/>
              <w:bottom w:type="dxa" w:w="34"/>
              <w:right w:type="dxa" w:w="90"/>
            </w:tcMar>
          </w:tcPr>
          <w:p>
            <w:r>
              <w:rPr>
                <w:rFonts w:ascii="Calibri" w:cs="Calibri" w:eastAsia="Calibri" w:hAnsi="Calibri"/>
                <w:sz w:val="16"/>
                <w:szCs w:val="16"/>
              </w:rPr>
              <w:t xml:space="preserve">Machine Learning</w:t>
            </w:r>
          </w:p>
        </w:tc>
        <w:tc>
          <w:tcPr>
            <w:tcW w:type="dxa" w:w="5600"/>
            <w:shd w:fill="eef2f5" w:val="clear"/>
            <w:tcMar>
              <w:top w:type="dxa" w:w="34"/>
              <w:left w:type="dxa" w:w="90"/>
              <w:bottom w:type="dxa" w:w="34"/>
              <w:right w:type="dxa" w:w="90"/>
            </w:tcMar>
          </w:tcPr>
          <w:p>
            <w:r>
              <w:rPr>
                <w:rFonts w:ascii="Calibri" w:cs="Calibri" w:eastAsia="Calibri" w:hAnsi="Calibri"/>
                <w:sz w:val="16"/>
                <w:szCs w:val="16"/>
              </w:rPr>
              <w:t xml:space="preserve">Spark MLlib, scikit-learn, statsmodels</w:t>
            </w:r>
          </w:p>
        </w:tc>
      </w:tr>
      <w:tr>
        <w:tc>
          <w:tcPr>
            <w:tcW w:type="dxa" w:w="3600"/>
            <w:tcMar>
              <w:top w:type="dxa" w:w="34"/>
              <w:left w:type="dxa" w:w="90"/>
              <w:bottom w:type="dxa" w:w="34"/>
              <w:right w:type="dxa" w:w="90"/>
            </w:tcMar>
          </w:tcPr>
          <w:p>
            <w:r>
              <w:rPr>
                <w:rFonts w:ascii="Calibri" w:cs="Calibri" w:eastAsia="Calibri" w:hAnsi="Calibri"/>
                <w:sz w:val="16"/>
                <w:szCs w:val="16"/>
              </w:rPr>
              <w:t xml:space="preserve">Datos climáticos</w:t>
            </w:r>
          </w:p>
        </w:tc>
        <w:tc>
          <w:tcPr>
            <w:tcW w:type="dxa" w:w="5600"/>
            <w:tcMar>
              <w:top w:type="dxa" w:w="34"/>
              <w:left w:type="dxa" w:w="90"/>
              <w:bottom w:type="dxa" w:w="34"/>
              <w:right w:type="dxa" w:w="90"/>
            </w:tcMar>
          </w:tcPr>
          <w:p>
            <w:r>
              <w:rPr>
                <w:rFonts w:ascii="Calibri" w:cs="Calibri" w:eastAsia="Calibri" w:hAnsi="Calibri"/>
                <w:sz w:val="16"/>
                <w:szCs w:val="16"/>
              </w:rPr>
              <w:t xml:space="preserve">NASA POWER (API)</w:t>
            </w:r>
          </w:p>
        </w:tc>
      </w:tr>
      <w:tr>
        <w:tc>
          <w:tcPr>
            <w:tcW w:type="dxa" w:w="3600"/>
            <w:shd w:fill="eef2f5" w:val="clear"/>
            <w:tcMar>
              <w:top w:type="dxa" w:w="34"/>
              <w:left w:type="dxa" w:w="90"/>
              <w:bottom w:type="dxa" w:w="34"/>
              <w:right w:type="dxa" w:w="90"/>
            </w:tcMar>
          </w:tcPr>
          <w:p>
            <w:r>
              <w:rPr>
                <w:rFonts w:ascii="Calibri" w:cs="Calibri" w:eastAsia="Calibri" w:hAnsi="Calibri"/>
                <w:sz w:val="16"/>
                <w:szCs w:val="16"/>
              </w:rPr>
              <w:t xml:space="preserve">Visualización</w:t>
            </w:r>
          </w:p>
        </w:tc>
        <w:tc>
          <w:tcPr>
            <w:tcW w:type="dxa" w:w="5600"/>
            <w:shd w:fill="eef2f5" w:val="clear"/>
            <w:tcMar>
              <w:top w:type="dxa" w:w="34"/>
              <w:left w:type="dxa" w:w="90"/>
              <w:bottom w:type="dxa" w:w="34"/>
              <w:right w:type="dxa" w:w="90"/>
            </w:tcMar>
          </w:tcPr>
          <w:p>
            <w:r>
              <w:rPr>
                <w:rFonts w:ascii="Calibri" w:cs="Calibri" w:eastAsia="Calibri" w:hAnsi="Calibri"/>
                <w:sz w:val="16"/>
                <w:szCs w:val="16"/>
              </w:rPr>
              <w:t xml:space="preserve">Power BI · prototipo HTML/Chart.js</w:t>
            </w:r>
          </w:p>
        </w:tc>
      </w:tr>
      <w:tr>
        <w:tc>
          <w:tcPr>
            <w:tcW w:type="dxa" w:w="3600"/>
            <w:tcMar>
              <w:top w:type="dxa" w:w="34"/>
              <w:left w:type="dxa" w:w="90"/>
              <w:bottom w:type="dxa" w:w="34"/>
              <w:right w:type="dxa" w:w="90"/>
            </w:tcMar>
          </w:tcPr>
          <w:p>
            <w:r>
              <w:rPr>
                <w:rFonts w:ascii="Calibri" w:cs="Calibri" w:eastAsia="Calibri" w:hAnsi="Calibri"/>
                <w:sz w:val="16"/>
                <w:szCs w:val="16"/>
              </w:rPr>
              <w:t xml:space="preserve">Lenguaje / entorno</w:t>
            </w:r>
          </w:p>
        </w:tc>
        <w:tc>
          <w:tcPr>
            <w:tcW w:type="dxa" w:w="5600"/>
            <w:tcMar>
              <w:top w:type="dxa" w:w="34"/>
              <w:left w:type="dxa" w:w="90"/>
              <w:bottom w:type="dxa" w:w="34"/>
              <w:right w:type="dxa" w:w="90"/>
            </w:tcMar>
          </w:tcPr>
          <w:p>
            <w:r>
              <w:rPr>
                <w:rFonts w:ascii="Calibri" w:cs="Calibri" w:eastAsia="Calibri" w:hAnsi="Calibri"/>
                <w:sz w:val="16"/>
                <w:szCs w:val="16"/>
              </w:rPr>
              <w:t xml:space="preserve">Python 3.10, entorno virtual reproducible</w:t>
            </w:r>
          </w:p>
        </w:tc>
      </w:tr>
      <w:tr>
        <w:tc>
          <w:tcPr>
            <w:tcW w:type="dxa" w:w="3600"/>
            <w:shd w:fill="eef2f5" w:val="clear"/>
            <w:tcMar>
              <w:top w:type="dxa" w:w="34"/>
              <w:left w:type="dxa" w:w="90"/>
              <w:bottom w:type="dxa" w:w="34"/>
              <w:right w:type="dxa" w:w="90"/>
            </w:tcMar>
          </w:tcPr>
          <w:p>
            <w:r>
              <w:rPr>
                <w:rFonts w:ascii="Calibri" w:cs="Calibri" w:eastAsia="Calibri" w:hAnsi="Calibri"/>
                <w:sz w:val="16"/>
                <w:szCs w:val="16"/>
              </w:rPr>
              <w:t xml:space="preserve">Documentación</w:t>
            </w:r>
          </w:p>
        </w:tc>
        <w:tc>
          <w:tcPr>
            <w:tcW w:type="dxa" w:w="5600"/>
            <w:shd w:fill="eef2f5" w:val="clear"/>
            <w:tcMar>
              <w:top w:type="dxa" w:w="34"/>
              <w:left w:type="dxa" w:w="90"/>
              <w:bottom w:type="dxa" w:w="34"/>
              <w:right w:type="dxa" w:w="90"/>
            </w:tcMar>
          </w:tcPr>
          <w:p>
            <w:r>
              <w:rPr>
                <w:rFonts w:ascii="Calibri" w:cs="Calibri" w:eastAsia="Calibri" w:hAnsi="Calibri"/>
                <w:sz w:val="16"/>
                <w:szCs w:val="16"/>
              </w:rPr>
              <w:t xml:space="preserve">Artículo (APA 7), portafolio web, informe</w:t>
            </w:r>
          </w:p>
        </w:tc>
      </w:tr>
    </w:tbl>
    <w:p>
      <w:pPr>
        <w:pBdr>
          <w:bottom w:val="single" w:color="14304a" w:sz="6" w:space="3"/>
        </w:pBdr>
        <w:spacing w:after="120" w:before="260"/>
      </w:pPr>
      <w:r>
        <w:rPr>
          <w:rFonts w:ascii="Calibri" w:cs="Calibri" w:eastAsia="Calibri" w:hAnsi="Calibri"/>
          <w:b/>
          <w:bCs/>
          <w:color w:val="b81d24"/>
          <w:sz w:val="27"/>
          <w:szCs w:val="27"/>
        </w:rPr>
        <w:t xml:space="preserve">16.  </w:t>
      </w:r>
      <w:r>
        <w:rPr>
          <w:rFonts w:ascii="Calibri" w:cs="Calibri" w:eastAsia="Calibri" w:hAnsi="Calibri"/>
          <w:b/>
          <w:bCs/>
          <w:color w:val="14304a"/>
          <w:sz w:val="27"/>
          <w:szCs w:val="27"/>
        </w:rPr>
        <w:t xml:space="preserve">Entregables y estructura de archivos</w:t>
      </w:r>
    </w:p>
    <w:p>
      <w:pPr>
        <w:spacing w:after="40"/>
      </w:pPr>
      <w:r>
        <w:rPr>
          <w:rFonts w:ascii="Consolas" w:cs="Consolas" w:eastAsia="Consolas" w:hAnsi="Consolas"/>
          <w:color w:val="1a2733"/>
          <w:sz w:val="16"/>
          <w:szCs w:val="16"/>
        </w:rPr>
        <w:t xml:space="preserve">01_ETL/               scripts Spark (ETL y ML), requirements.txt, README</w:t>
      </w:r>
    </w:p>
    <w:p>
      <w:pPr>
        <w:spacing w:after="40"/>
      </w:pPr>
      <w:r>
        <w:rPr>
          <w:rFonts w:ascii="Consolas" w:cs="Consolas" w:eastAsia="Consolas" w:hAnsi="Consolas"/>
          <w:color w:val="1a2733"/>
          <w:sz w:val="16"/>
          <w:szCs w:val="16"/>
        </w:rPr>
        <w:t xml:space="preserve">02_datos_procesados/  hechos, dimensiones, agregados, clima, resultados, capa accionable</w:t>
      </w:r>
    </w:p>
    <w:p>
      <w:pPr>
        <w:spacing w:after="40"/>
      </w:pPr>
      <w:r>
        <w:rPr>
          <w:rFonts w:ascii="Consolas" w:cs="Consolas" w:eastAsia="Consolas" w:hAnsi="Consolas"/>
          <w:color w:val="1a2733"/>
          <w:sz w:val="16"/>
          <w:szCs w:val="16"/>
        </w:rPr>
        <w:t xml:space="preserve">03_dashboard/         dashboard interactivo (prototipo)</w:t>
      </w:r>
    </w:p>
    <w:p>
      <w:pPr>
        <w:spacing w:after="40"/>
      </w:pPr>
      <w:r>
        <w:rPr>
          <w:rFonts w:ascii="Consolas" w:cs="Consolas" w:eastAsia="Consolas" w:hAnsi="Consolas"/>
          <w:color w:val="1a2733"/>
          <w:sz w:val="16"/>
          <w:szCs w:val="16"/>
        </w:rPr>
        <w:t xml:space="preserve">04_articulo/          artículo científico (APA 7) y figuras</w:t>
      </w:r>
    </w:p>
    <w:p>
      <w:pPr>
        <w:spacing w:after="40"/>
      </w:pPr>
      <w:r>
        <w:rPr>
          <w:rFonts w:ascii="Consolas" w:cs="Consolas" w:eastAsia="Consolas" w:hAnsi="Consolas"/>
          <w:color w:val="1a2733"/>
          <w:sz w:val="16"/>
          <w:szCs w:val="16"/>
        </w:rPr>
        <w:t xml:space="preserve">05_guia_powerbi/      guía de replicación en Power BI</w:t>
      </w:r>
    </w:p>
    <w:p>
      <w:pPr>
        <w:spacing w:after="40"/>
      </w:pPr>
      <w:r>
        <w:rPr>
          <w:rFonts w:ascii="Consolas" w:cs="Consolas" w:eastAsia="Consolas" w:hAnsi="Consolas"/>
          <w:color w:val="1a2733"/>
          <w:sz w:val="16"/>
          <w:szCs w:val="16"/>
        </w:rPr>
        <w:t xml:space="preserve">06_portafolio/        página web de portafolio</w:t>
      </w:r>
    </w:p>
    <w:p>
      <w:pPr>
        <w:spacing w:after="40"/>
      </w:pPr>
      <w:r>
        <w:rPr>
          <w:rFonts w:ascii="Consolas" w:cs="Consolas" w:eastAsia="Consolas" w:hAnsi="Consolas"/>
          <w:color w:val="1a2733"/>
          <w:sz w:val="16"/>
          <w:szCs w:val="16"/>
        </w:rPr>
        <w:t xml:space="preserve">07_informe/           este informe y sus figuras</w:t>
      </w:r>
    </w:p>
    <w:p>
      <w:pPr>
        <w:pBdr>
          <w:bottom w:val="single" w:color="14304a" w:sz="6" w:space="3"/>
        </w:pBdr>
        <w:spacing w:after="120" w:before="260"/>
      </w:pPr>
      <w:r>
        <w:rPr>
          <w:rFonts w:ascii="Calibri" w:cs="Calibri" w:eastAsia="Calibri" w:hAnsi="Calibri"/>
          <w:b/>
          <w:bCs/>
          <w:color w:val="b81d24"/>
          <w:sz w:val="27"/>
          <w:szCs w:val="27"/>
        </w:rPr>
        <w:t xml:space="preserve"/>
      </w:r>
      <w:r>
        <w:rPr>
          <w:rFonts w:ascii="Calibri" w:cs="Calibri" w:eastAsia="Calibri" w:hAnsi="Calibri"/>
          <w:b/>
          <w:bCs/>
          <w:color w:val="14304a"/>
          <w:sz w:val="27"/>
          <w:szCs w:val="27"/>
        </w:rPr>
        <w:t xml:space="preserve">Anexo A · Diccionario completo de variables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3600"/>
        <w:gridCol w:w="2500"/>
      </w:tblGrid>
      <w:tr>
        <w:trPr>
          <w:tblHeader/>
        </w:trPr>
        <w:tc>
          <w:tcPr>
            <w:tcW w:type="dxa" w:w="19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Campo</w:t>
            </w:r>
          </w:p>
        </w:tc>
        <w:tc>
          <w:tcPr>
            <w:tcW w:type="dxa" w:w="12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Tipo</w:t>
            </w:r>
          </w:p>
        </w:tc>
        <w:tc>
          <w:tcPr>
            <w:tcW w:type="dxa" w:w="36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Denominación</w:t>
            </w:r>
          </w:p>
        </w:tc>
        <w:tc>
          <w:tcPr>
            <w:tcW w:type="dxa" w:w="2500"/>
            <w:shd w:fill="14304a" w:val="clear"/>
            <w:tcMar>
              <w:top w:type="dxa" w:w="40"/>
              <w:left w:type="dxa" w:w="90"/>
              <w:bottom w:type="dxa" w:w="40"/>
              <w:right w:type="dxa" w:w="90"/>
            </w:tcMar>
          </w:tcPr>
          <w:p>
            <w:r>
              <w:rPr>
                <w:rFonts w:ascii="Calibri" w:cs="Calibri" w:eastAsia="Calibri" w:hAnsi="Calibri"/>
                <w:b/>
                <w:bCs/>
                <w:color w:val="FFFFFF"/>
                <w:sz w:val="17"/>
                <w:szCs w:val="17"/>
              </w:rPr>
              <w:t xml:space="preserve">Valores</w:t>
            </w:r>
          </w:p>
        </w:tc>
      </w:tr>
      <w:tr>
        <w:tc>
          <w:tcPr>
            <w:tcW w:type="dxa" w:w="1900"/>
            <w:tcMar>
              <w:top w:type="dxa" w:w="34"/>
              <w:left w:type="dxa" w:w="90"/>
              <w:bottom w:type="dxa" w:w="34"/>
              <w:right w:type="dxa" w:w="90"/>
            </w:tcMar>
          </w:tcPr>
          <w:p>
            <w:r>
              <w:rPr>
                <w:rFonts w:ascii="Calibri" w:cs="Calibri" w:eastAsia="Calibri" w:hAnsi="Calibri"/>
                <w:sz w:val="16"/>
                <w:szCs w:val="16"/>
              </w:rPr>
              <w:t xml:space="preserve">departamento</w:t>
            </w:r>
          </w:p>
        </w:tc>
        <w:tc>
          <w:tcPr>
            <w:tcW w:type="dxa" w:w="1200"/>
            <w:tcMar>
              <w:top w:type="dxa" w:w="34"/>
              <w:left w:type="dxa" w:w="90"/>
              <w:bottom w:type="dxa" w:w="34"/>
              <w:right w:type="dxa" w:w="90"/>
            </w:tcMar>
          </w:tcPr>
          <w:p>
            <w:r>
              <w:rPr>
                <w:rFonts w:ascii="Calibri" w:cs="Calibri" w:eastAsia="Calibri" w:hAnsi="Calibri"/>
                <w:sz w:val="16"/>
                <w:szCs w:val="16"/>
              </w:rPr>
              <w:t xml:space="preserve">Texto</w:t>
            </w:r>
          </w:p>
        </w:tc>
        <w:tc>
          <w:tcPr>
            <w:tcW w:type="dxa" w:w="3600"/>
            <w:tcMar>
              <w:top w:type="dxa" w:w="34"/>
              <w:left w:type="dxa" w:w="90"/>
              <w:bottom w:type="dxa" w:w="34"/>
              <w:right w:type="dxa" w:w="90"/>
            </w:tcMar>
          </w:tcPr>
          <w:p>
            <w:r>
              <w:rPr>
                <w:rFonts w:ascii="Calibri" w:cs="Calibri" w:eastAsia="Calibri" w:hAnsi="Calibri"/>
                <w:sz w:val="16"/>
                <w:szCs w:val="16"/>
              </w:rPr>
              <w:t xml:space="preserve">Región geográfica</w:t>
            </w:r>
          </w:p>
        </w:tc>
        <w:tc>
          <w:tcPr>
            <w:tcW w:type="dxa" w:w="2500"/>
            <w:tcMar>
              <w:top w:type="dxa" w:w="34"/>
              <w:left w:type="dxa" w:w="90"/>
              <w:bottom w:type="dxa" w:w="34"/>
              <w:right w:type="dxa" w:w="90"/>
            </w:tcMar>
          </w:tcPr>
          <w:p>
            <w:r>
              <w:rPr>
                <w:rFonts w:ascii="Calibri" w:cs="Calibri" w:eastAsia="Calibri" w:hAnsi="Calibri"/>
                <w:sz w:val="16"/>
                <w:szCs w:val="16"/>
              </w:rPr>
              <w:t xml:space="preserve">—</w:t>
            </w:r>
          </w:p>
        </w:tc>
      </w:tr>
      <w:tr>
        <w:tc>
          <w:tcPr>
            <w:tcW w:type="dxa" w:w="1900"/>
            <w:shd w:fill="eef2f5" w:val="clear"/>
            <w:tcMar>
              <w:top w:type="dxa" w:w="34"/>
              <w:left w:type="dxa" w:w="90"/>
              <w:bottom w:type="dxa" w:w="34"/>
              <w:right w:type="dxa" w:w="90"/>
            </w:tcMar>
          </w:tcPr>
          <w:p>
            <w:r>
              <w:rPr>
                <w:rFonts w:ascii="Calibri" w:cs="Calibri" w:eastAsia="Calibri" w:hAnsi="Calibri"/>
                <w:sz w:val="16"/>
                <w:szCs w:val="16"/>
              </w:rPr>
              <w:t xml:space="preserve">provincia</w:t>
            </w:r>
          </w:p>
        </w:tc>
        <w:tc>
          <w:tcPr>
            <w:tcW w:type="dxa" w:w="1200"/>
            <w:shd w:fill="eef2f5" w:val="clear"/>
            <w:tcMar>
              <w:top w:type="dxa" w:w="34"/>
              <w:left w:type="dxa" w:w="90"/>
              <w:bottom w:type="dxa" w:w="34"/>
              <w:right w:type="dxa" w:w="90"/>
            </w:tcMar>
          </w:tcPr>
          <w:p>
            <w:r>
              <w:rPr>
                <w:rFonts w:ascii="Calibri" w:cs="Calibri" w:eastAsia="Calibri" w:hAnsi="Calibri"/>
                <w:sz w:val="16"/>
                <w:szCs w:val="16"/>
              </w:rPr>
              <w:t xml:space="preserve">Texto</w:t>
            </w:r>
          </w:p>
        </w:tc>
        <w:tc>
          <w:tcPr>
            <w:tcW w:type="dxa" w:w="3600"/>
            <w:shd w:fill="eef2f5" w:val="clear"/>
            <w:tcMar>
              <w:top w:type="dxa" w:w="34"/>
              <w:left w:type="dxa" w:w="90"/>
              <w:bottom w:type="dxa" w:w="34"/>
              <w:right w:type="dxa" w:w="90"/>
            </w:tcMar>
          </w:tcPr>
          <w:p>
            <w:r>
              <w:rPr>
                <w:rFonts w:ascii="Calibri" w:cs="Calibri" w:eastAsia="Calibri" w:hAnsi="Calibri"/>
                <w:sz w:val="16"/>
                <w:szCs w:val="16"/>
              </w:rPr>
              <w:t xml:space="preserve">Provincia</w:t>
            </w:r>
          </w:p>
        </w:tc>
        <w:tc>
          <w:tcPr>
            <w:tcW w:type="dxa" w:w="2500"/>
            <w:shd w:fill="eef2f5" w:val="clear"/>
            <w:tcMar>
              <w:top w:type="dxa" w:w="34"/>
              <w:left w:type="dxa" w:w="90"/>
              <w:bottom w:type="dxa" w:w="34"/>
              <w:right w:type="dxa" w:w="90"/>
            </w:tcMar>
          </w:tcPr>
          <w:p>
            <w:r>
              <w:rPr>
                <w:rFonts w:ascii="Calibri" w:cs="Calibri" w:eastAsia="Calibri" w:hAnsi="Calibri"/>
                <w:sz w:val="16"/>
                <w:szCs w:val="16"/>
              </w:rPr>
              <w:t xml:space="preserve">—</w:t>
            </w:r>
          </w:p>
        </w:tc>
      </w:tr>
      <w:tr>
        <w:tc>
          <w:tcPr>
            <w:tcW w:type="dxa" w:w="1900"/>
            <w:tcMar>
              <w:top w:type="dxa" w:w="34"/>
              <w:left w:type="dxa" w:w="90"/>
              <w:bottom w:type="dxa" w:w="34"/>
              <w:right w:type="dxa" w:w="90"/>
            </w:tcMar>
          </w:tcPr>
          <w:p>
            <w:r>
              <w:rPr>
                <w:rFonts w:ascii="Calibri" w:cs="Calibri" w:eastAsia="Calibri" w:hAnsi="Calibri"/>
                <w:sz w:val="16"/>
                <w:szCs w:val="16"/>
              </w:rPr>
              <w:t xml:space="preserve">distrito</w:t>
            </w:r>
          </w:p>
        </w:tc>
        <w:tc>
          <w:tcPr>
            <w:tcW w:type="dxa" w:w="1200"/>
            <w:tcMar>
              <w:top w:type="dxa" w:w="34"/>
              <w:left w:type="dxa" w:w="90"/>
              <w:bottom w:type="dxa" w:w="34"/>
              <w:right w:type="dxa" w:w="90"/>
            </w:tcMar>
          </w:tcPr>
          <w:p>
            <w:r>
              <w:rPr>
                <w:rFonts w:ascii="Calibri" w:cs="Calibri" w:eastAsia="Calibri" w:hAnsi="Calibri"/>
                <w:sz w:val="16"/>
                <w:szCs w:val="16"/>
              </w:rPr>
              <w:t xml:space="preserve">Texto</w:t>
            </w:r>
          </w:p>
        </w:tc>
        <w:tc>
          <w:tcPr>
            <w:tcW w:type="dxa" w:w="3600"/>
            <w:tcMar>
              <w:top w:type="dxa" w:w="34"/>
              <w:left w:type="dxa" w:w="90"/>
              <w:bottom w:type="dxa" w:w="34"/>
              <w:right w:type="dxa" w:w="90"/>
            </w:tcMar>
          </w:tcPr>
          <w:p>
            <w:r>
              <w:rPr>
                <w:rFonts w:ascii="Calibri" w:cs="Calibri" w:eastAsia="Calibri" w:hAnsi="Calibri"/>
                <w:sz w:val="16"/>
                <w:szCs w:val="16"/>
              </w:rPr>
              <w:t xml:space="preserve">Lugar probable de infección</w:t>
            </w:r>
          </w:p>
        </w:tc>
        <w:tc>
          <w:tcPr>
            <w:tcW w:type="dxa" w:w="2500"/>
            <w:tcMar>
              <w:top w:type="dxa" w:w="34"/>
              <w:left w:type="dxa" w:w="90"/>
              <w:bottom w:type="dxa" w:w="34"/>
              <w:right w:type="dxa" w:w="90"/>
            </w:tcMar>
          </w:tcPr>
          <w:p>
            <w:r>
              <w:rPr>
                <w:rFonts w:ascii="Calibri" w:cs="Calibri" w:eastAsia="Calibri" w:hAnsi="Calibri"/>
                <w:sz w:val="16"/>
                <w:szCs w:val="16"/>
              </w:rPr>
              <w:t xml:space="preserve">—</w:t>
            </w:r>
          </w:p>
        </w:tc>
      </w:tr>
      <w:tr>
        <w:tc>
          <w:tcPr>
            <w:tcW w:type="dxa" w:w="1900"/>
            <w:shd w:fill="eef2f5" w:val="clear"/>
            <w:tcMar>
              <w:top w:type="dxa" w:w="34"/>
              <w:left w:type="dxa" w:w="90"/>
              <w:bottom w:type="dxa" w:w="34"/>
              <w:right w:type="dxa" w:w="90"/>
            </w:tcMar>
          </w:tcPr>
          <w:p>
            <w:r>
              <w:rPr>
                <w:rFonts w:ascii="Calibri" w:cs="Calibri" w:eastAsia="Calibri" w:hAnsi="Calibri"/>
                <w:sz w:val="16"/>
                <w:szCs w:val="16"/>
              </w:rPr>
              <w:t xml:space="preserve">localidad</w:t>
            </w:r>
          </w:p>
        </w:tc>
        <w:tc>
          <w:tcPr>
            <w:tcW w:type="dxa" w:w="1200"/>
            <w:shd w:fill="eef2f5" w:val="clear"/>
            <w:tcMar>
              <w:top w:type="dxa" w:w="34"/>
              <w:left w:type="dxa" w:w="90"/>
              <w:bottom w:type="dxa" w:w="34"/>
              <w:right w:type="dxa" w:w="90"/>
            </w:tcMar>
          </w:tcPr>
          <w:p>
            <w:r>
              <w:rPr>
                <w:rFonts w:ascii="Calibri" w:cs="Calibri" w:eastAsia="Calibri" w:hAnsi="Calibri"/>
                <w:sz w:val="16"/>
                <w:szCs w:val="16"/>
              </w:rPr>
              <w:t xml:space="preserve">Texto</w:t>
            </w:r>
          </w:p>
        </w:tc>
        <w:tc>
          <w:tcPr>
            <w:tcW w:type="dxa" w:w="3600"/>
            <w:shd w:fill="eef2f5" w:val="clear"/>
            <w:tcMar>
              <w:top w:type="dxa" w:w="34"/>
              <w:left w:type="dxa" w:w="90"/>
              <w:bottom w:type="dxa" w:w="34"/>
              <w:right w:type="dxa" w:w="90"/>
            </w:tcMar>
          </w:tcPr>
          <w:p>
            <w:r>
              <w:rPr>
                <w:rFonts w:ascii="Calibri" w:cs="Calibri" w:eastAsia="Calibri" w:hAnsi="Calibri"/>
                <w:sz w:val="16"/>
                <w:szCs w:val="16"/>
              </w:rPr>
              <w:t xml:space="preserve">Localidad</w:t>
            </w:r>
          </w:p>
        </w:tc>
        <w:tc>
          <w:tcPr>
            <w:tcW w:type="dxa" w:w="2500"/>
            <w:shd w:fill="eef2f5" w:val="clear"/>
            <w:tcMar>
              <w:top w:type="dxa" w:w="34"/>
              <w:left w:type="dxa" w:w="90"/>
              <w:bottom w:type="dxa" w:w="34"/>
              <w:right w:type="dxa" w:w="90"/>
            </w:tcMar>
          </w:tcPr>
          <w:p>
            <w:r>
              <w:rPr>
                <w:rFonts w:ascii="Calibri" w:cs="Calibri" w:eastAsia="Calibri" w:hAnsi="Calibri"/>
                <w:sz w:val="16"/>
                <w:szCs w:val="16"/>
              </w:rPr>
              <w:t xml:space="preserve">—</w:t>
            </w:r>
          </w:p>
        </w:tc>
      </w:tr>
      <w:tr>
        <w:tc>
          <w:tcPr>
            <w:tcW w:type="dxa" w:w="1900"/>
            <w:tcMar>
              <w:top w:type="dxa" w:w="34"/>
              <w:left w:type="dxa" w:w="90"/>
              <w:bottom w:type="dxa" w:w="34"/>
              <w:right w:type="dxa" w:w="90"/>
            </w:tcMar>
          </w:tcPr>
          <w:p>
            <w:r>
              <w:rPr>
                <w:rFonts w:ascii="Calibri" w:cs="Calibri" w:eastAsia="Calibri" w:hAnsi="Calibri"/>
                <w:sz w:val="16"/>
                <w:szCs w:val="16"/>
              </w:rPr>
              <w:t xml:space="preserve">enfermedad</w:t>
            </w:r>
          </w:p>
        </w:tc>
        <w:tc>
          <w:tcPr>
            <w:tcW w:type="dxa" w:w="1200"/>
            <w:tcMar>
              <w:top w:type="dxa" w:w="34"/>
              <w:left w:type="dxa" w:w="90"/>
              <w:bottom w:type="dxa" w:w="34"/>
              <w:right w:type="dxa" w:w="90"/>
            </w:tcMar>
          </w:tcPr>
          <w:p>
            <w:r>
              <w:rPr>
                <w:rFonts w:ascii="Calibri" w:cs="Calibri" w:eastAsia="Calibri" w:hAnsi="Calibri"/>
                <w:sz w:val="16"/>
                <w:szCs w:val="16"/>
              </w:rPr>
              <w:t xml:space="preserve">Texto</w:t>
            </w:r>
          </w:p>
        </w:tc>
        <w:tc>
          <w:tcPr>
            <w:tcW w:type="dxa" w:w="3600"/>
            <w:tcMar>
              <w:top w:type="dxa" w:w="34"/>
              <w:left w:type="dxa" w:w="90"/>
              <w:bottom w:type="dxa" w:w="34"/>
              <w:right w:type="dxa" w:w="90"/>
            </w:tcMar>
          </w:tcPr>
          <w:p>
            <w:r>
              <w:rPr>
                <w:rFonts w:ascii="Calibri" w:cs="Calibri" w:eastAsia="Calibri" w:hAnsi="Calibri"/>
                <w:sz w:val="16"/>
                <w:szCs w:val="16"/>
              </w:rPr>
              <w:t xml:space="preserve">Diagnóstico vigilado</w:t>
            </w:r>
          </w:p>
        </w:tc>
        <w:tc>
          <w:tcPr>
            <w:tcW w:type="dxa" w:w="2500"/>
            <w:tcMar>
              <w:top w:type="dxa" w:w="34"/>
              <w:left w:type="dxa" w:w="90"/>
              <w:bottom w:type="dxa" w:w="34"/>
              <w:right w:type="dxa" w:w="90"/>
            </w:tcMar>
          </w:tcPr>
          <w:p>
            <w:r>
              <w:rPr>
                <w:rFonts w:ascii="Calibri" w:cs="Calibri" w:eastAsia="Calibri" w:hAnsi="Calibri"/>
                <w:sz w:val="16"/>
                <w:szCs w:val="16"/>
              </w:rPr>
              <w:t xml:space="preserve">Sin/Con signos; Grave</w:t>
            </w:r>
          </w:p>
        </w:tc>
      </w:tr>
      <w:tr>
        <w:tc>
          <w:tcPr>
            <w:tcW w:type="dxa" w:w="1900"/>
            <w:shd w:fill="eef2f5" w:val="clear"/>
            <w:tcMar>
              <w:top w:type="dxa" w:w="34"/>
              <w:left w:type="dxa" w:w="90"/>
              <w:bottom w:type="dxa" w:w="34"/>
              <w:right w:type="dxa" w:w="90"/>
            </w:tcMar>
          </w:tcPr>
          <w:p>
            <w:r>
              <w:rPr>
                <w:rFonts w:ascii="Calibri" w:cs="Calibri" w:eastAsia="Calibri" w:hAnsi="Calibri"/>
                <w:sz w:val="16"/>
                <w:szCs w:val="16"/>
              </w:rPr>
              <w:t xml:space="preserve">ano</w:t>
            </w:r>
          </w:p>
        </w:tc>
        <w:tc>
          <w:tcPr>
            <w:tcW w:type="dxa" w:w="1200"/>
            <w:shd w:fill="eef2f5" w:val="clear"/>
            <w:tcMar>
              <w:top w:type="dxa" w:w="34"/>
              <w:left w:type="dxa" w:w="90"/>
              <w:bottom w:type="dxa" w:w="34"/>
              <w:right w:type="dxa" w:w="90"/>
            </w:tcMar>
          </w:tcPr>
          <w:p>
            <w:r>
              <w:rPr>
                <w:rFonts w:ascii="Calibri" w:cs="Calibri" w:eastAsia="Calibri" w:hAnsi="Calibri"/>
                <w:sz w:val="16"/>
                <w:szCs w:val="16"/>
              </w:rPr>
              <w:t xml:space="preserve">Entero</w:t>
            </w:r>
          </w:p>
        </w:tc>
        <w:tc>
          <w:tcPr>
            <w:tcW w:type="dxa" w:w="3600"/>
            <w:shd w:fill="eef2f5" w:val="clear"/>
            <w:tcMar>
              <w:top w:type="dxa" w:w="34"/>
              <w:left w:type="dxa" w:w="90"/>
              <w:bottom w:type="dxa" w:w="34"/>
              <w:right w:type="dxa" w:w="90"/>
            </w:tcMar>
          </w:tcPr>
          <w:p>
            <w:r>
              <w:rPr>
                <w:rFonts w:ascii="Calibri" w:cs="Calibri" w:eastAsia="Calibri" w:hAnsi="Calibri"/>
                <w:sz w:val="16"/>
                <w:szCs w:val="16"/>
              </w:rPr>
              <w:t xml:space="preserve">Año</w:t>
            </w:r>
          </w:p>
        </w:tc>
        <w:tc>
          <w:tcPr>
            <w:tcW w:type="dxa" w:w="2500"/>
            <w:shd w:fill="eef2f5" w:val="clear"/>
            <w:tcMar>
              <w:top w:type="dxa" w:w="34"/>
              <w:left w:type="dxa" w:w="90"/>
              <w:bottom w:type="dxa" w:w="34"/>
              <w:right w:type="dxa" w:w="90"/>
            </w:tcMar>
          </w:tcPr>
          <w:p>
            <w:r>
              <w:rPr>
                <w:rFonts w:ascii="Calibri" w:cs="Calibri" w:eastAsia="Calibri" w:hAnsi="Calibri"/>
                <w:sz w:val="16"/>
                <w:szCs w:val="16"/>
              </w:rPr>
              <w:t xml:space="preserve">2000–2024</w:t>
            </w:r>
          </w:p>
        </w:tc>
      </w:tr>
      <w:tr>
        <w:tc>
          <w:tcPr>
            <w:tcW w:type="dxa" w:w="1900"/>
            <w:tcMar>
              <w:top w:type="dxa" w:w="34"/>
              <w:left w:type="dxa" w:w="90"/>
              <w:bottom w:type="dxa" w:w="34"/>
              <w:right w:type="dxa" w:w="90"/>
            </w:tcMar>
          </w:tcPr>
          <w:p>
            <w:r>
              <w:rPr>
                <w:rFonts w:ascii="Calibri" w:cs="Calibri" w:eastAsia="Calibri" w:hAnsi="Calibri"/>
                <w:sz w:val="16"/>
                <w:szCs w:val="16"/>
              </w:rPr>
              <w:t xml:space="preserve">semana</w:t>
            </w:r>
          </w:p>
        </w:tc>
        <w:tc>
          <w:tcPr>
            <w:tcW w:type="dxa" w:w="1200"/>
            <w:tcMar>
              <w:top w:type="dxa" w:w="34"/>
              <w:left w:type="dxa" w:w="90"/>
              <w:bottom w:type="dxa" w:w="34"/>
              <w:right w:type="dxa" w:w="90"/>
            </w:tcMar>
          </w:tcPr>
          <w:p>
            <w:r>
              <w:rPr>
                <w:rFonts w:ascii="Calibri" w:cs="Calibri" w:eastAsia="Calibri" w:hAnsi="Calibri"/>
                <w:sz w:val="16"/>
                <w:szCs w:val="16"/>
              </w:rPr>
              <w:t xml:space="preserve">Entero</w:t>
            </w:r>
          </w:p>
        </w:tc>
        <w:tc>
          <w:tcPr>
            <w:tcW w:type="dxa" w:w="3600"/>
            <w:tcMar>
              <w:top w:type="dxa" w:w="34"/>
              <w:left w:type="dxa" w:w="90"/>
              <w:bottom w:type="dxa" w:w="34"/>
              <w:right w:type="dxa" w:w="90"/>
            </w:tcMar>
          </w:tcPr>
          <w:p>
            <w:r>
              <w:rPr>
                <w:rFonts w:ascii="Calibri" w:cs="Calibri" w:eastAsia="Calibri" w:hAnsi="Calibri"/>
                <w:sz w:val="16"/>
                <w:szCs w:val="16"/>
              </w:rPr>
              <w:t xml:space="preserve">Semana epidemiológica</w:t>
            </w:r>
          </w:p>
        </w:tc>
        <w:tc>
          <w:tcPr>
            <w:tcW w:type="dxa" w:w="2500"/>
            <w:tcMar>
              <w:top w:type="dxa" w:w="34"/>
              <w:left w:type="dxa" w:w="90"/>
              <w:bottom w:type="dxa" w:w="34"/>
              <w:right w:type="dxa" w:w="90"/>
            </w:tcMar>
          </w:tcPr>
          <w:p>
            <w:r>
              <w:rPr>
                <w:rFonts w:ascii="Calibri" w:cs="Calibri" w:eastAsia="Calibri" w:hAnsi="Calibri"/>
                <w:sz w:val="16"/>
                <w:szCs w:val="16"/>
              </w:rPr>
              <w:t xml:space="preserve">1–53</w:t>
            </w:r>
          </w:p>
        </w:tc>
      </w:tr>
      <w:tr>
        <w:tc>
          <w:tcPr>
            <w:tcW w:type="dxa" w:w="1900"/>
            <w:shd w:fill="eef2f5" w:val="clear"/>
            <w:tcMar>
              <w:top w:type="dxa" w:w="34"/>
              <w:left w:type="dxa" w:w="90"/>
              <w:bottom w:type="dxa" w:w="34"/>
              <w:right w:type="dxa" w:w="90"/>
            </w:tcMar>
          </w:tcPr>
          <w:p>
            <w:r>
              <w:rPr>
                <w:rFonts w:ascii="Calibri" w:cs="Calibri" w:eastAsia="Calibri" w:hAnsi="Calibri"/>
                <w:sz w:val="16"/>
                <w:szCs w:val="16"/>
              </w:rPr>
              <w:t xml:space="preserve">diagnostic</w:t>
            </w:r>
          </w:p>
        </w:tc>
        <w:tc>
          <w:tcPr>
            <w:tcW w:type="dxa" w:w="1200"/>
            <w:shd w:fill="eef2f5" w:val="clear"/>
            <w:tcMar>
              <w:top w:type="dxa" w:w="34"/>
              <w:left w:type="dxa" w:w="90"/>
              <w:bottom w:type="dxa" w:w="34"/>
              <w:right w:type="dxa" w:w="90"/>
            </w:tcMar>
          </w:tcPr>
          <w:p>
            <w:r>
              <w:rPr>
                <w:rFonts w:ascii="Calibri" w:cs="Calibri" w:eastAsia="Calibri" w:hAnsi="Calibri"/>
                <w:sz w:val="16"/>
                <w:szCs w:val="16"/>
              </w:rPr>
              <w:t xml:space="preserve">Texto</w:t>
            </w:r>
          </w:p>
        </w:tc>
        <w:tc>
          <w:tcPr>
            <w:tcW w:type="dxa" w:w="3600"/>
            <w:shd w:fill="eef2f5" w:val="clear"/>
            <w:tcMar>
              <w:top w:type="dxa" w:w="34"/>
              <w:left w:type="dxa" w:w="90"/>
              <w:bottom w:type="dxa" w:w="34"/>
              <w:right w:type="dxa" w:w="90"/>
            </w:tcMar>
          </w:tcPr>
          <w:p>
            <w:r>
              <w:rPr>
                <w:rFonts w:ascii="Calibri" w:cs="Calibri" w:eastAsia="Calibri" w:hAnsi="Calibri"/>
                <w:sz w:val="16"/>
                <w:szCs w:val="16"/>
              </w:rPr>
              <w:t xml:space="preserve">CIE-10</w:t>
            </w:r>
          </w:p>
        </w:tc>
        <w:tc>
          <w:tcPr>
            <w:tcW w:type="dxa" w:w="2500"/>
            <w:shd w:fill="eef2f5" w:val="clear"/>
            <w:tcMar>
              <w:top w:type="dxa" w:w="34"/>
              <w:left w:type="dxa" w:w="90"/>
              <w:bottom w:type="dxa" w:w="34"/>
              <w:right w:type="dxa" w:w="90"/>
            </w:tcMar>
          </w:tcPr>
          <w:p>
            <w:r>
              <w:rPr>
                <w:rFonts w:ascii="Calibri" w:cs="Calibri" w:eastAsia="Calibri" w:hAnsi="Calibri"/>
                <w:sz w:val="16"/>
                <w:szCs w:val="16"/>
              </w:rPr>
              <w:t xml:space="preserve">A97.0/1/2</w:t>
            </w:r>
          </w:p>
        </w:tc>
      </w:tr>
      <w:tr>
        <w:tc>
          <w:tcPr>
            <w:tcW w:type="dxa" w:w="1900"/>
            <w:tcMar>
              <w:top w:type="dxa" w:w="34"/>
              <w:left w:type="dxa" w:w="90"/>
              <w:bottom w:type="dxa" w:w="34"/>
              <w:right w:type="dxa" w:w="90"/>
            </w:tcMar>
          </w:tcPr>
          <w:p>
            <w:r>
              <w:rPr>
                <w:rFonts w:ascii="Calibri" w:cs="Calibri" w:eastAsia="Calibri" w:hAnsi="Calibri"/>
                <w:sz w:val="16"/>
                <w:szCs w:val="16"/>
              </w:rPr>
              <w:t xml:space="preserve">diresa</w:t>
            </w:r>
          </w:p>
        </w:tc>
        <w:tc>
          <w:tcPr>
            <w:tcW w:type="dxa" w:w="1200"/>
            <w:tcMar>
              <w:top w:type="dxa" w:w="34"/>
              <w:left w:type="dxa" w:w="90"/>
              <w:bottom w:type="dxa" w:w="34"/>
              <w:right w:type="dxa" w:w="90"/>
            </w:tcMar>
          </w:tcPr>
          <w:p>
            <w:r>
              <w:rPr>
                <w:rFonts w:ascii="Calibri" w:cs="Calibri" w:eastAsia="Calibri" w:hAnsi="Calibri"/>
                <w:sz w:val="16"/>
                <w:szCs w:val="16"/>
              </w:rPr>
              <w:t xml:space="preserve">Texto</w:t>
            </w:r>
          </w:p>
        </w:tc>
        <w:tc>
          <w:tcPr>
            <w:tcW w:type="dxa" w:w="3600"/>
            <w:tcMar>
              <w:top w:type="dxa" w:w="34"/>
              <w:left w:type="dxa" w:w="90"/>
              <w:bottom w:type="dxa" w:w="34"/>
              <w:right w:type="dxa" w:w="90"/>
            </w:tcMar>
          </w:tcPr>
          <w:p>
            <w:r>
              <w:rPr>
                <w:rFonts w:ascii="Calibri" w:cs="Calibri" w:eastAsia="Calibri" w:hAnsi="Calibri"/>
                <w:sz w:val="16"/>
                <w:szCs w:val="16"/>
              </w:rPr>
              <w:t xml:space="preserve">Dirección de salud notificante</w:t>
            </w:r>
          </w:p>
        </w:tc>
        <w:tc>
          <w:tcPr>
            <w:tcW w:type="dxa" w:w="2500"/>
            <w:tcMar>
              <w:top w:type="dxa" w:w="34"/>
              <w:left w:type="dxa" w:w="90"/>
              <w:bottom w:type="dxa" w:w="34"/>
              <w:right w:type="dxa" w:w="90"/>
            </w:tcMar>
          </w:tcPr>
          <w:p>
            <w:r>
              <w:rPr>
                <w:rFonts w:ascii="Calibri" w:cs="Calibri" w:eastAsia="Calibri" w:hAnsi="Calibri"/>
                <w:sz w:val="16"/>
                <w:szCs w:val="16"/>
              </w:rPr>
              <w:t xml:space="preserve">—</w:t>
            </w:r>
          </w:p>
        </w:tc>
      </w:tr>
      <w:tr>
        <w:tc>
          <w:tcPr>
            <w:tcW w:type="dxa" w:w="1900"/>
            <w:shd w:fill="eef2f5" w:val="clear"/>
            <w:tcMar>
              <w:top w:type="dxa" w:w="34"/>
              <w:left w:type="dxa" w:w="90"/>
              <w:bottom w:type="dxa" w:w="34"/>
              <w:right w:type="dxa" w:w="90"/>
            </w:tcMar>
          </w:tcPr>
          <w:p>
            <w:r>
              <w:rPr>
                <w:rFonts w:ascii="Calibri" w:cs="Calibri" w:eastAsia="Calibri" w:hAnsi="Calibri"/>
                <w:sz w:val="16"/>
                <w:szCs w:val="16"/>
              </w:rPr>
              <w:t xml:space="preserve">ubigeo</w:t>
            </w:r>
          </w:p>
        </w:tc>
        <w:tc>
          <w:tcPr>
            <w:tcW w:type="dxa" w:w="1200"/>
            <w:shd w:fill="eef2f5" w:val="clear"/>
            <w:tcMar>
              <w:top w:type="dxa" w:w="34"/>
              <w:left w:type="dxa" w:w="90"/>
              <w:bottom w:type="dxa" w:w="34"/>
              <w:right w:type="dxa" w:w="90"/>
            </w:tcMar>
          </w:tcPr>
          <w:p>
            <w:r>
              <w:rPr>
                <w:rFonts w:ascii="Calibri" w:cs="Calibri" w:eastAsia="Calibri" w:hAnsi="Calibri"/>
                <w:sz w:val="16"/>
                <w:szCs w:val="16"/>
              </w:rPr>
              <w:t xml:space="preserve">Texto</w:t>
            </w:r>
          </w:p>
        </w:tc>
        <w:tc>
          <w:tcPr>
            <w:tcW w:type="dxa" w:w="3600"/>
            <w:shd w:fill="eef2f5" w:val="clear"/>
            <w:tcMar>
              <w:top w:type="dxa" w:w="34"/>
              <w:left w:type="dxa" w:w="90"/>
              <w:bottom w:type="dxa" w:w="34"/>
              <w:right w:type="dxa" w:w="90"/>
            </w:tcMar>
          </w:tcPr>
          <w:p>
            <w:r>
              <w:rPr>
                <w:rFonts w:ascii="Calibri" w:cs="Calibri" w:eastAsia="Calibri" w:hAnsi="Calibri"/>
                <w:sz w:val="16"/>
                <w:szCs w:val="16"/>
              </w:rPr>
              <w:t xml:space="preserve">Código de ubicación</w:t>
            </w:r>
          </w:p>
        </w:tc>
        <w:tc>
          <w:tcPr>
            <w:tcW w:type="dxa" w:w="2500"/>
            <w:shd w:fill="eef2f5" w:val="clear"/>
            <w:tcMar>
              <w:top w:type="dxa" w:w="34"/>
              <w:left w:type="dxa" w:w="90"/>
              <w:bottom w:type="dxa" w:w="34"/>
              <w:right w:type="dxa" w:w="90"/>
            </w:tcMar>
          </w:tcPr>
          <w:p>
            <w:r>
              <w:rPr>
                <w:rFonts w:ascii="Calibri" w:cs="Calibri" w:eastAsia="Calibri" w:hAnsi="Calibri"/>
                <w:sz w:val="16"/>
                <w:szCs w:val="16"/>
              </w:rPr>
              <w:t xml:space="preserve">INEI</w:t>
            </w:r>
          </w:p>
        </w:tc>
      </w:tr>
      <w:tr>
        <w:tc>
          <w:tcPr>
            <w:tcW w:type="dxa" w:w="1900"/>
            <w:tcMar>
              <w:top w:type="dxa" w:w="34"/>
              <w:left w:type="dxa" w:w="90"/>
              <w:bottom w:type="dxa" w:w="34"/>
              <w:right w:type="dxa" w:w="90"/>
            </w:tcMar>
          </w:tcPr>
          <w:p>
            <w:r>
              <w:rPr>
                <w:rFonts w:ascii="Calibri" w:cs="Calibri" w:eastAsia="Calibri" w:hAnsi="Calibri"/>
                <w:sz w:val="16"/>
                <w:szCs w:val="16"/>
              </w:rPr>
              <w:t xml:space="preserve">edad</w:t>
            </w:r>
          </w:p>
        </w:tc>
        <w:tc>
          <w:tcPr>
            <w:tcW w:type="dxa" w:w="1200"/>
            <w:tcMar>
              <w:top w:type="dxa" w:w="34"/>
              <w:left w:type="dxa" w:w="90"/>
              <w:bottom w:type="dxa" w:w="34"/>
              <w:right w:type="dxa" w:w="90"/>
            </w:tcMar>
          </w:tcPr>
          <w:p>
            <w:r>
              <w:rPr>
                <w:rFonts w:ascii="Calibri" w:cs="Calibri" w:eastAsia="Calibri" w:hAnsi="Calibri"/>
                <w:sz w:val="16"/>
                <w:szCs w:val="16"/>
              </w:rPr>
              <w:t xml:space="preserve">Entero</w:t>
            </w:r>
          </w:p>
        </w:tc>
        <w:tc>
          <w:tcPr>
            <w:tcW w:type="dxa" w:w="3600"/>
            <w:tcMar>
              <w:top w:type="dxa" w:w="34"/>
              <w:left w:type="dxa" w:w="90"/>
              <w:bottom w:type="dxa" w:w="34"/>
              <w:right w:type="dxa" w:w="90"/>
            </w:tcMar>
          </w:tcPr>
          <w:p>
            <w:r>
              <w:rPr>
                <w:rFonts w:ascii="Calibri" w:cs="Calibri" w:eastAsia="Calibri" w:hAnsi="Calibri"/>
                <w:sz w:val="16"/>
                <w:szCs w:val="16"/>
              </w:rPr>
              <w:t xml:space="preserve">Edad del paciente</w:t>
            </w:r>
          </w:p>
        </w:tc>
        <w:tc>
          <w:tcPr>
            <w:tcW w:type="dxa" w:w="2500"/>
            <w:tcMar>
              <w:top w:type="dxa" w:w="34"/>
              <w:left w:type="dxa" w:w="90"/>
              <w:bottom w:type="dxa" w:w="34"/>
              <w:right w:type="dxa" w:w="90"/>
            </w:tcMar>
          </w:tcPr>
          <w:p>
            <w:r>
              <w:rPr>
                <w:rFonts w:ascii="Calibri" w:cs="Calibri" w:eastAsia="Calibri" w:hAnsi="Calibri"/>
                <w:sz w:val="16"/>
                <w:szCs w:val="16"/>
              </w:rPr>
              <w:t xml:space="preserve">—</w:t>
            </w:r>
          </w:p>
        </w:tc>
      </w:tr>
      <w:tr>
        <w:tc>
          <w:tcPr>
            <w:tcW w:type="dxa" w:w="1900"/>
            <w:shd w:fill="eef2f5" w:val="clear"/>
            <w:tcMar>
              <w:top w:type="dxa" w:w="34"/>
              <w:left w:type="dxa" w:w="90"/>
              <w:bottom w:type="dxa" w:w="34"/>
              <w:right w:type="dxa" w:w="90"/>
            </w:tcMar>
          </w:tcPr>
          <w:p>
            <w:r>
              <w:rPr>
                <w:rFonts w:ascii="Calibri" w:cs="Calibri" w:eastAsia="Calibri" w:hAnsi="Calibri"/>
                <w:sz w:val="16"/>
                <w:szCs w:val="16"/>
              </w:rPr>
              <w:t xml:space="preserve">tipo_edad</w:t>
            </w:r>
          </w:p>
        </w:tc>
        <w:tc>
          <w:tcPr>
            <w:tcW w:type="dxa" w:w="1200"/>
            <w:shd w:fill="eef2f5" w:val="clear"/>
            <w:tcMar>
              <w:top w:type="dxa" w:w="34"/>
              <w:left w:type="dxa" w:w="90"/>
              <w:bottom w:type="dxa" w:w="34"/>
              <w:right w:type="dxa" w:w="90"/>
            </w:tcMar>
          </w:tcPr>
          <w:p>
            <w:r>
              <w:rPr>
                <w:rFonts w:ascii="Calibri" w:cs="Calibri" w:eastAsia="Calibri" w:hAnsi="Calibri"/>
                <w:sz w:val="16"/>
                <w:szCs w:val="16"/>
              </w:rPr>
              <w:t xml:space="preserve">Texto</w:t>
            </w:r>
          </w:p>
        </w:tc>
        <w:tc>
          <w:tcPr>
            <w:tcW w:type="dxa" w:w="3600"/>
            <w:shd w:fill="eef2f5" w:val="clear"/>
            <w:tcMar>
              <w:top w:type="dxa" w:w="34"/>
              <w:left w:type="dxa" w:w="90"/>
              <w:bottom w:type="dxa" w:w="34"/>
              <w:right w:type="dxa" w:w="90"/>
            </w:tcMar>
          </w:tcPr>
          <w:p>
            <w:r>
              <w:rPr>
                <w:rFonts w:ascii="Calibri" w:cs="Calibri" w:eastAsia="Calibri" w:hAnsi="Calibri"/>
                <w:sz w:val="16"/>
                <w:szCs w:val="16"/>
              </w:rPr>
              <w:t xml:space="preserve">Unidad de edad</w:t>
            </w:r>
          </w:p>
        </w:tc>
        <w:tc>
          <w:tcPr>
            <w:tcW w:type="dxa" w:w="2500"/>
            <w:shd w:fill="eef2f5" w:val="clear"/>
            <w:tcMar>
              <w:top w:type="dxa" w:w="34"/>
              <w:left w:type="dxa" w:w="90"/>
              <w:bottom w:type="dxa" w:w="34"/>
              <w:right w:type="dxa" w:w="90"/>
            </w:tcMar>
          </w:tcPr>
          <w:p>
            <w:r>
              <w:rPr>
                <w:rFonts w:ascii="Calibri" w:cs="Calibri" w:eastAsia="Calibri" w:hAnsi="Calibri"/>
                <w:sz w:val="16"/>
                <w:szCs w:val="16"/>
              </w:rPr>
              <w:t xml:space="preserve">A/M/D</w:t>
            </w:r>
          </w:p>
        </w:tc>
      </w:tr>
      <w:tr>
        <w:tc>
          <w:tcPr>
            <w:tcW w:type="dxa" w:w="1900"/>
            <w:tcMar>
              <w:top w:type="dxa" w:w="34"/>
              <w:left w:type="dxa" w:w="90"/>
              <w:bottom w:type="dxa" w:w="34"/>
              <w:right w:type="dxa" w:w="90"/>
            </w:tcMar>
          </w:tcPr>
          <w:p>
            <w:r>
              <w:rPr>
                <w:rFonts w:ascii="Calibri" w:cs="Calibri" w:eastAsia="Calibri" w:hAnsi="Calibri"/>
                <w:sz w:val="16"/>
                <w:szCs w:val="16"/>
              </w:rPr>
              <w:t xml:space="preserve">sexo</w:t>
            </w:r>
          </w:p>
        </w:tc>
        <w:tc>
          <w:tcPr>
            <w:tcW w:type="dxa" w:w="1200"/>
            <w:tcMar>
              <w:top w:type="dxa" w:w="34"/>
              <w:left w:type="dxa" w:w="90"/>
              <w:bottom w:type="dxa" w:w="34"/>
              <w:right w:type="dxa" w:w="90"/>
            </w:tcMar>
          </w:tcPr>
          <w:p>
            <w:r>
              <w:rPr>
                <w:rFonts w:ascii="Calibri" w:cs="Calibri" w:eastAsia="Calibri" w:hAnsi="Calibri"/>
                <w:sz w:val="16"/>
                <w:szCs w:val="16"/>
              </w:rPr>
              <w:t xml:space="preserve">Texto</w:t>
            </w:r>
          </w:p>
        </w:tc>
        <w:tc>
          <w:tcPr>
            <w:tcW w:type="dxa" w:w="3600"/>
            <w:tcMar>
              <w:top w:type="dxa" w:w="34"/>
              <w:left w:type="dxa" w:w="90"/>
              <w:bottom w:type="dxa" w:w="34"/>
              <w:right w:type="dxa" w:w="90"/>
            </w:tcMar>
          </w:tcPr>
          <w:p>
            <w:r>
              <w:rPr>
                <w:rFonts w:ascii="Calibri" w:cs="Calibri" w:eastAsia="Calibri" w:hAnsi="Calibri"/>
                <w:sz w:val="16"/>
                <w:szCs w:val="16"/>
              </w:rPr>
              <w:t xml:space="preserve">Sexo</w:t>
            </w:r>
          </w:p>
        </w:tc>
        <w:tc>
          <w:tcPr>
            <w:tcW w:type="dxa" w:w="2500"/>
            <w:tcMar>
              <w:top w:type="dxa" w:w="34"/>
              <w:left w:type="dxa" w:w="90"/>
              <w:bottom w:type="dxa" w:w="34"/>
              <w:right w:type="dxa" w:w="90"/>
            </w:tcMar>
          </w:tcPr>
          <w:p>
            <w:r>
              <w:rPr>
                <w:rFonts w:ascii="Calibri" w:cs="Calibri" w:eastAsia="Calibri" w:hAnsi="Calibri"/>
                <w:sz w:val="16"/>
                <w:szCs w:val="16"/>
              </w:rPr>
              <w:t xml:space="preserve">M/F</w:t>
            </w:r>
          </w:p>
        </w:tc>
      </w:tr>
    </w:tbl>
    <w:p>
      <w:pPr>
        <w:pBdr>
          <w:bottom w:val="single" w:color="14304a" w:sz="6" w:space="3"/>
        </w:pBdr>
        <w:spacing w:after="120" w:before="260"/>
      </w:pPr>
      <w:r>
        <w:rPr>
          <w:rFonts w:ascii="Calibri" w:cs="Calibri" w:eastAsia="Calibri" w:hAnsi="Calibri"/>
          <w:b/>
          <w:bCs/>
          <w:color w:val="b81d24"/>
          <w:sz w:val="27"/>
          <w:szCs w:val="27"/>
        </w:rPr>
        <w:t xml:space="preserve"/>
      </w:r>
      <w:r>
        <w:rPr>
          <w:rFonts w:ascii="Calibri" w:cs="Calibri" w:eastAsia="Calibri" w:hAnsi="Calibri"/>
          <w:b/>
          <w:bCs/>
          <w:color w:val="14304a"/>
          <w:sz w:val="27"/>
          <w:szCs w:val="27"/>
        </w:rPr>
        <w:t xml:space="preserve">Anexo B · Glosario de términos</w:t>
      </w:r>
    </w:p>
    <w:p>
      <w:pPr>
        <w:spacing w:after="70"/>
      </w:pPr>
      <w:r>
        <w:rPr>
          <w:rFonts w:ascii="Calibri" w:cs="Calibri" w:eastAsia="Calibri" w:hAnsi="Calibri"/>
          <w:b/>
          <w:bCs/>
          <w:color w:val="14304a"/>
          <w:sz w:val="19"/>
          <w:szCs w:val="19"/>
        </w:rPr>
        <w:t xml:space="preserve">Big Data: </w:t>
      </w:r>
      <w:r>
        <w:rPr>
          <w:rFonts w:ascii="Calibri" w:cs="Calibri" w:eastAsia="Calibri" w:hAnsi="Calibri"/>
          <w:sz w:val="19"/>
          <w:szCs w:val="19"/>
        </w:rPr>
        <w:t xml:space="preserve">Conjuntos de datos cuyo volumen, variedad y velocidad superan la capacidad de las herramientas tradicionales.</w:t>
      </w:r>
    </w:p>
    <w:p>
      <w:pPr>
        <w:spacing w:after="70"/>
      </w:pPr>
      <w:r>
        <w:rPr>
          <w:rFonts w:ascii="Calibri" w:cs="Calibri" w:eastAsia="Calibri" w:hAnsi="Calibri"/>
          <w:b/>
          <w:bCs/>
          <w:color w:val="14304a"/>
          <w:sz w:val="19"/>
          <w:szCs w:val="19"/>
        </w:rPr>
        <w:t xml:space="preserve">ETL: </w:t>
      </w:r>
      <w:r>
        <w:rPr>
          <w:rFonts w:ascii="Calibri" w:cs="Calibri" w:eastAsia="Calibri" w:hAnsi="Calibri"/>
          <w:sz w:val="19"/>
          <w:szCs w:val="19"/>
        </w:rPr>
        <w:t xml:space="preserve">Extract–Transform–Load: proceso de extracción, transformación y carga de datos.</w:t>
      </w:r>
    </w:p>
    <w:p>
      <w:pPr>
        <w:spacing w:after="70"/>
      </w:pPr>
      <w:r>
        <w:rPr>
          <w:rFonts w:ascii="Calibri" w:cs="Calibri" w:eastAsia="Calibri" w:hAnsi="Calibri"/>
          <w:b/>
          <w:bCs/>
          <w:color w:val="14304a"/>
          <w:sz w:val="19"/>
          <w:szCs w:val="19"/>
        </w:rPr>
        <w:t xml:space="preserve">Apache Spark: </w:t>
      </w:r>
      <w:r>
        <w:rPr>
          <w:rFonts w:ascii="Calibri" w:cs="Calibri" w:eastAsia="Calibri" w:hAnsi="Calibri"/>
          <w:sz w:val="19"/>
          <w:szCs w:val="19"/>
        </w:rPr>
        <w:t xml:space="preserve">Motor de procesamiento distribuido en memoria para grandes volúmenes de datos.</w:t>
      </w:r>
    </w:p>
    <w:p>
      <w:pPr>
        <w:spacing w:after="70"/>
      </w:pPr>
      <w:r>
        <w:rPr>
          <w:rFonts w:ascii="Calibri" w:cs="Calibri" w:eastAsia="Calibri" w:hAnsi="Calibri"/>
          <w:b/>
          <w:bCs/>
          <w:color w:val="14304a"/>
          <w:sz w:val="19"/>
          <w:szCs w:val="19"/>
        </w:rPr>
        <w:t xml:space="preserve">Esquema estrella: </w:t>
      </w:r>
      <w:r>
        <w:rPr>
          <w:rFonts w:ascii="Calibri" w:cs="Calibri" w:eastAsia="Calibri" w:hAnsi="Calibri"/>
          <w:sz w:val="19"/>
          <w:szCs w:val="19"/>
        </w:rPr>
        <w:t xml:space="preserve">Modelo dimensional con una tabla de hechos central y dimensiones asociadas.</w:t>
      </w:r>
    </w:p>
    <w:p>
      <w:pPr>
        <w:spacing w:after="70"/>
      </w:pPr>
      <w:r>
        <w:rPr>
          <w:rFonts w:ascii="Calibri" w:cs="Calibri" w:eastAsia="Calibri" w:hAnsi="Calibri"/>
          <w:b/>
          <w:bCs/>
          <w:color w:val="14304a"/>
          <w:sz w:val="19"/>
          <w:szCs w:val="19"/>
        </w:rPr>
        <w:t xml:space="preserve">Random Forest / Gradient Boosting: </w:t>
      </w:r>
      <w:r>
        <w:rPr>
          <w:rFonts w:ascii="Calibri" w:cs="Calibri" w:eastAsia="Calibri" w:hAnsi="Calibri"/>
          <w:sz w:val="19"/>
          <w:szCs w:val="19"/>
        </w:rPr>
        <w:t xml:space="preserve">Algoritmos de aprendizaje automático basados en conjuntos de árboles de decisión.</w:t>
      </w:r>
    </w:p>
    <w:p>
      <w:pPr>
        <w:spacing w:after="70"/>
      </w:pPr>
      <w:r>
        <w:rPr>
          <w:rFonts w:ascii="Calibri" w:cs="Calibri" w:eastAsia="Calibri" w:hAnsi="Calibri"/>
          <w:b/>
          <w:bCs/>
          <w:color w:val="14304a"/>
          <w:sz w:val="19"/>
          <w:szCs w:val="19"/>
        </w:rPr>
        <w:t xml:space="preserve">Validación walk-forward: </w:t>
      </w:r>
      <w:r>
        <w:rPr>
          <w:rFonts w:ascii="Calibri" w:cs="Calibri" w:eastAsia="Calibri" w:hAnsi="Calibri"/>
          <w:sz w:val="19"/>
          <w:szCs w:val="19"/>
        </w:rPr>
        <w:t xml:space="preserve">Esquema de validación temporal que entrena con el pasado y predice el siguiente periodo, de forma progresiva.</w:t>
      </w:r>
    </w:p>
    <w:p>
      <w:pPr>
        <w:spacing w:after="70"/>
      </w:pPr>
      <w:r>
        <w:rPr>
          <w:rFonts w:ascii="Calibri" w:cs="Calibri" w:eastAsia="Calibri" w:hAnsi="Calibri"/>
          <w:b/>
          <w:bCs/>
          <w:color w:val="14304a"/>
          <w:sz w:val="19"/>
          <w:szCs w:val="19"/>
        </w:rPr>
        <w:t xml:space="preserve">Canal endémico: </w:t>
      </w:r>
      <w:r>
        <w:rPr>
          <w:rFonts w:ascii="Calibri" w:cs="Calibri" w:eastAsia="Calibri" w:hAnsi="Calibri"/>
          <w:sz w:val="19"/>
          <w:szCs w:val="19"/>
        </w:rPr>
        <w:t xml:space="preserve">Herramienta epidemiológica que compara la incidencia actual con umbrales históricos.</w:t>
      </w:r>
    </w:p>
    <w:p>
      <w:pPr>
        <w:spacing w:after="70"/>
      </w:pPr>
      <w:r>
        <w:rPr>
          <w:rFonts w:ascii="Calibri" w:cs="Calibri" w:eastAsia="Calibri" w:hAnsi="Calibri"/>
          <w:b/>
          <w:bCs/>
          <w:color w:val="14304a"/>
          <w:sz w:val="19"/>
          <w:szCs w:val="19"/>
        </w:rPr>
        <w:t xml:space="preserve">Analítica prescriptiva: </w:t>
      </w:r>
      <w:r>
        <w:rPr>
          <w:rFonts w:ascii="Calibri" w:cs="Calibri" w:eastAsia="Calibri" w:hAnsi="Calibri"/>
          <w:sz w:val="19"/>
          <w:szCs w:val="19"/>
        </w:rPr>
        <w:t xml:space="preserve">Nivel de la analítica que recomienda acciones, no solo describe o predice.</w:t>
      </w:r>
    </w:p>
    <w:p>
      <w:pPr>
        <w:pBdr>
          <w:bottom w:val="single" w:color="14304a" w:sz="6" w:space="3"/>
        </w:pBdr>
        <w:spacing w:after="120" w:before="260"/>
      </w:pPr>
      <w:r>
        <w:rPr>
          <w:rFonts w:ascii="Calibri" w:cs="Calibri" w:eastAsia="Calibri" w:hAnsi="Calibri"/>
          <w:b/>
          <w:bCs/>
          <w:color w:val="b81d24"/>
          <w:sz w:val="27"/>
          <w:szCs w:val="27"/>
        </w:rPr>
        <w:t xml:space="preserve"/>
      </w:r>
      <w:r>
        <w:rPr>
          <w:rFonts w:ascii="Calibri" w:cs="Calibri" w:eastAsia="Calibri" w:hAnsi="Calibri"/>
          <w:b/>
          <w:bCs/>
          <w:color w:val="14304a"/>
          <w:sz w:val="27"/>
          <w:szCs w:val="27"/>
        </w:rPr>
        <w:t xml:space="preserve">Referencias</w:t>
      </w:r>
    </w:p>
    <w:p>
      <w:pPr>
        <w:spacing w:after="90"/>
        <w:ind w:left="360" w:hanging="360"/>
        <w:jc w:val="both"/>
      </w:pPr>
      <w:r>
        <w:rPr>
          <w:rFonts w:ascii="Calibri" w:cs="Calibri" w:eastAsia="Calibri" w:hAnsi="Calibri"/>
          <w:sz w:val="19"/>
          <w:szCs w:val="19"/>
        </w:rPr>
        <w:t xml:space="preserve">Ashfaq, H., Ashraf, H., &amp; Butt, M. (2025). Dengue crisis escalates in Peru in 2024: A call for immediate action. </w:t>
      </w:r>
      <w:r>
        <w:rPr>
          <w:rFonts w:ascii="Calibri" w:cs="Calibri" w:eastAsia="Calibri" w:hAnsi="Calibri"/>
          <w:i/>
          <w:iCs/>
          <w:sz w:val="19"/>
          <w:szCs w:val="19"/>
        </w:rPr>
        <w:t xml:space="preserve">Disaster Medicine and Public Health Preparedness</w:t>
      </w:r>
      <w:r>
        <w:rPr>
          <w:rFonts w:ascii="Calibri" w:cs="Calibri" w:eastAsia="Calibri" w:hAnsi="Calibri"/>
          <w:sz w:val="19"/>
          <w:szCs w:val="19"/>
        </w:rPr>
        <w:t xml:space="preserve">. https://doi.org/10.1017/dmp.2025.50</w:t>
      </w:r>
    </w:p>
    <w:p>
      <w:pPr>
        <w:spacing w:after="90"/>
        <w:ind w:left="360" w:hanging="360"/>
        <w:jc w:val="both"/>
      </w:pPr>
      <w:r>
        <w:rPr>
          <w:rFonts w:ascii="Calibri" w:cs="Calibri" w:eastAsia="Calibri" w:hAnsi="Calibri"/>
          <w:sz w:val="19"/>
          <w:szCs w:val="19"/>
        </w:rPr>
        <w:t xml:space="preserve">Benedum, C. M., Shea, K. M., Jenkins, H. E., Kim, L. Y., &amp; Markuzon, N. (2020). Weekly dengue forecasts in Iquitos, Peru; San Juan, Puerto Rico; and Singapore. </w:t>
      </w:r>
      <w:r>
        <w:rPr>
          <w:rFonts w:ascii="Calibri" w:cs="Calibri" w:eastAsia="Calibri" w:hAnsi="Calibri"/>
          <w:i/>
          <w:iCs/>
          <w:sz w:val="19"/>
          <w:szCs w:val="19"/>
        </w:rPr>
        <w:t xml:space="preserve">PLoS Neglected Tropical Diseases, 14</w:t>
      </w:r>
      <w:r>
        <w:rPr>
          <w:rFonts w:ascii="Calibri" w:cs="Calibri" w:eastAsia="Calibri" w:hAnsi="Calibri"/>
          <w:sz w:val="19"/>
          <w:szCs w:val="19"/>
        </w:rPr>
        <w:t xml:space="preserve">(10), e0008710. https://doi.org/10.1371/journal.pntd.0008710</w:t>
      </w:r>
    </w:p>
    <w:p>
      <w:pPr>
        <w:spacing w:after="90"/>
        <w:ind w:left="360" w:hanging="360"/>
        <w:jc w:val="both"/>
      </w:pPr>
      <w:r>
        <w:rPr>
          <w:rFonts w:ascii="Calibri" w:cs="Calibri" w:eastAsia="Calibri" w:hAnsi="Calibri"/>
          <w:sz w:val="19"/>
          <w:szCs w:val="19"/>
        </w:rPr>
        <w:t xml:space="preserve">Breiman, L. (2001). Random forests. </w:t>
      </w:r>
      <w:r>
        <w:rPr>
          <w:rFonts w:ascii="Calibri" w:cs="Calibri" w:eastAsia="Calibri" w:hAnsi="Calibri"/>
          <w:i/>
          <w:iCs/>
          <w:sz w:val="19"/>
          <w:szCs w:val="19"/>
        </w:rPr>
        <w:t xml:space="preserve">Machine Learning, 45</w:t>
      </w:r>
      <w:r>
        <w:rPr>
          <w:rFonts w:ascii="Calibri" w:cs="Calibri" w:eastAsia="Calibri" w:hAnsi="Calibri"/>
          <w:sz w:val="19"/>
          <w:szCs w:val="19"/>
        </w:rPr>
        <w:t xml:space="preserve">(1), 5–32. https://doi.org/10.1023/A:1010933404324</w:t>
      </w:r>
    </w:p>
    <w:p>
      <w:pPr>
        <w:spacing w:after="90"/>
        <w:ind w:left="360" w:hanging="360"/>
        <w:jc w:val="both"/>
      </w:pPr>
      <w:r>
        <w:rPr>
          <w:rFonts w:ascii="Calibri" w:cs="Calibri" w:eastAsia="Calibri" w:hAnsi="Calibri"/>
          <w:sz w:val="19"/>
          <w:szCs w:val="19"/>
        </w:rPr>
        <w:t xml:space="preserve">da Silva, S. T., y colaboradores. (2024). When climate variables improve the dengue forecasting: A machine learning approach. </w:t>
      </w:r>
      <w:r>
        <w:rPr>
          <w:rFonts w:ascii="Calibri" w:cs="Calibri" w:eastAsia="Calibri" w:hAnsi="Calibri"/>
          <w:i/>
          <w:iCs/>
          <w:sz w:val="19"/>
          <w:szCs w:val="19"/>
        </w:rPr>
        <w:t xml:space="preserve">The European Physical Journal Special Topics</w:t>
      </w:r>
      <w:r>
        <w:rPr>
          <w:rFonts w:ascii="Calibri" w:cs="Calibri" w:eastAsia="Calibri" w:hAnsi="Calibri"/>
          <w:sz w:val="19"/>
          <w:szCs w:val="19"/>
        </w:rPr>
        <w:t xml:space="preserve">. https://doi.org/10.1140/epjs/s11734-024-01201-7</w:t>
      </w:r>
    </w:p>
    <w:p>
      <w:pPr>
        <w:spacing w:after="90"/>
        <w:ind w:left="360" w:hanging="360"/>
        <w:jc w:val="both"/>
      </w:pPr>
      <w:r>
        <w:rPr>
          <w:rFonts w:ascii="Calibri" w:cs="Calibri" w:eastAsia="Calibri" w:hAnsi="Calibri"/>
          <w:sz w:val="19"/>
          <w:szCs w:val="19"/>
        </w:rPr>
        <w:t xml:space="preserve">Friedman, J. H. (2001). Greedy function approximation: A gradient boosting machine. </w:t>
      </w:r>
      <w:r>
        <w:rPr>
          <w:rFonts w:ascii="Calibri" w:cs="Calibri" w:eastAsia="Calibri" w:hAnsi="Calibri"/>
          <w:i/>
          <w:iCs/>
          <w:sz w:val="19"/>
          <w:szCs w:val="19"/>
        </w:rPr>
        <w:t xml:space="preserve">The Annals of Statistics, 29</w:t>
      </w:r>
      <w:r>
        <w:rPr>
          <w:rFonts w:ascii="Calibri" w:cs="Calibri" w:eastAsia="Calibri" w:hAnsi="Calibri"/>
          <w:sz w:val="19"/>
          <w:szCs w:val="19"/>
        </w:rPr>
        <w:t xml:space="preserve">(5), 1189–1232. https://doi.org/10.1214/aos/1013203451</w:t>
      </w:r>
    </w:p>
    <w:p>
      <w:pPr>
        <w:spacing w:after="90"/>
        <w:ind w:left="360" w:hanging="360"/>
        <w:jc w:val="both"/>
      </w:pPr>
      <w:r>
        <w:rPr>
          <w:rFonts w:ascii="Calibri" w:cs="Calibri" w:eastAsia="Calibri" w:hAnsi="Calibri"/>
          <w:sz w:val="19"/>
          <w:szCs w:val="19"/>
        </w:rPr>
        <w:t xml:space="preserve">Ministerio de Salud del Perú. (2025). </w:t>
      </w:r>
      <w:r>
        <w:rPr>
          <w:rFonts w:ascii="Calibri" w:cs="Calibri" w:eastAsia="Calibri" w:hAnsi="Calibri"/>
          <w:i/>
          <w:iCs/>
          <w:sz w:val="19"/>
          <w:szCs w:val="19"/>
        </w:rPr>
        <w:t xml:space="preserve">Vigilancia epidemiológica de dengue [Conjunto de datos]</w:t>
      </w:r>
      <w:r>
        <w:rPr>
          <w:rFonts w:ascii="Calibri" w:cs="Calibri" w:eastAsia="Calibri" w:hAnsi="Calibri"/>
          <w:sz w:val="19"/>
          <w:szCs w:val="19"/>
        </w:rPr>
        <w:t xml:space="preserve">. Plataforma Nacional de Datos Abiertos (CDC-Perú).</w:t>
      </w:r>
    </w:p>
    <w:p>
      <w:pPr>
        <w:spacing w:after="90"/>
        <w:ind w:left="360" w:hanging="360"/>
        <w:jc w:val="both"/>
      </w:pPr>
      <w:r>
        <w:rPr>
          <w:rFonts w:ascii="Calibri" w:cs="Calibri" w:eastAsia="Calibri" w:hAnsi="Calibri"/>
          <w:sz w:val="19"/>
          <w:szCs w:val="19"/>
        </w:rPr>
        <w:t xml:space="preserve">NASA Langley Research Center. (2024). </w:t>
      </w:r>
      <w:r>
        <w:rPr>
          <w:rFonts w:ascii="Calibri" w:cs="Calibri" w:eastAsia="Calibri" w:hAnsi="Calibri"/>
          <w:i/>
          <w:iCs/>
          <w:sz w:val="19"/>
          <w:szCs w:val="19"/>
        </w:rPr>
        <w:t xml:space="preserve">POWER: Prediction of Worldwide Energy Resources [Datos meteorológicos]</w:t>
      </w:r>
      <w:r>
        <w:rPr>
          <w:rFonts w:ascii="Calibri" w:cs="Calibri" w:eastAsia="Calibri" w:hAnsi="Calibri"/>
          <w:sz w:val="19"/>
          <w:szCs w:val="19"/>
        </w:rPr>
        <w:t xml:space="preserve">. NASA. https://power.larc.nasa.gov</w:t>
      </w:r>
    </w:p>
    <w:p>
      <w:pPr>
        <w:spacing w:after="90"/>
        <w:ind w:left="360" w:hanging="360"/>
        <w:jc w:val="both"/>
      </w:pPr>
      <w:r>
        <w:rPr>
          <w:rFonts w:ascii="Calibri" w:cs="Calibri" w:eastAsia="Calibri" w:hAnsi="Calibri"/>
          <w:sz w:val="19"/>
          <w:szCs w:val="19"/>
        </w:rPr>
        <w:t xml:space="preserve">Sylvestre, E., Joachim, C., Cécilia-Joseph, E., Bouzillé, G., Campillo-Gimenez, B., Cuggia, M., &amp; Cabié, A. (2022). Data-driven methods for dengue prediction and surveillance using real-world and Big Data: A systematic review. </w:t>
      </w:r>
      <w:r>
        <w:rPr>
          <w:rFonts w:ascii="Calibri" w:cs="Calibri" w:eastAsia="Calibri" w:hAnsi="Calibri"/>
          <w:i/>
          <w:iCs/>
          <w:sz w:val="19"/>
          <w:szCs w:val="19"/>
        </w:rPr>
        <w:t xml:space="preserve">PLoS Neglected Tropical Diseases, 16</w:t>
      </w:r>
      <w:r>
        <w:rPr>
          <w:rFonts w:ascii="Calibri" w:cs="Calibri" w:eastAsia="Calibri" w:hAnsi="Calibri"/>
          <w:sz w:val="19"/>
          <w:szCs w:val="19"/>
        </w:rPr>
        <w:t xml:space="preserve">(1), e0010056. https://doi.org/10.1371/journal.pntd.0010056</w:t>
      </w:r>
    </w:p>
    <w:p>
      <w:pPr>
        <w:spacing w:after="90"/>
        <w:ind w:left="360" w:hanging="360"/>
        <w:jc w:val="both"/>
      </w:pPr>
      <w:r>
        <w:rPr>
          <w:rFonts w:ascii="Calibri" w:cs="Calibri" w:eastAsia="Calibri" w:hAnsi="Calibri"/>
          <w:sz w:val="19"/>
          <w:szCs w:val="19"/>
        </w:rPr>
        <w:t xml:space="preserve">Zaharia, M., et al. (2016). Apache Spark: A unified engine for big data processing. </w:t>
      </w:r>
      <w:r>
        <w:rPr>
          <w:rFonts w:ascii="Calibri" w:cs="Calibri" w:eastAsia="Calibri" w:hAnsi="Calibri"/>
          <w:i/>
          <w:iCs/>
          <w:sz w:val="19"/>
          <w:szCs w:val="19"/>
        </w:rPr>
        <w:t xml:space="preserve">Communications of the ACM, 59</w:t>
      </w:r>
      <w:r>
        <w:rPr>
          <w:rFonts w:ascii="Calibri" w:cs="Calibri" w:eastAsia="Calibri" w:hAnsi="Calibri"/>
          <w:sz w:val="19"/>
          <w:szCs w:val="19"/>
        </w:rPr>
        <w:t xml:space="preserve">(11), 56–65. https://doi.org/10.1145/2934664</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304a" w:sz="4" w:space="2"/>
      </w:pBdr>
      <w:jc w:val="center"/>
    </w:pPr>
    <w:r>
      <w:rPr>
        <w:rFonts w:ascii="Calibri" w:cs="Calibri" w:eastAsia="Calibri" w:hAnsi="Calibri"/>
        <w:color w:val="888888"/>
        <w:sz w:val="15"/>
        <w:szCs w:val="15"/>
      </w:rPr>
      <w:t xml:space="preserve">Universidad Nacional de Cañete — Página </w:t>
    </w:r>
    <w:r>
      <w:rPr>
        <w:rFonts w:ascii="Calibri" w:cs="Calibri" w:eastAsia="Calibri" w:hAnsi="Calibri"/>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5"/>
        <w:szCs w:val="15"/>
      </w:rPr>
      <w:t xml:space="preserve">Informe de Proyecto · Big Data · Dengue Perú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17984993dd039fa24ece198c523f4ee0aefe50.png"/><Relationship Id="rId10" Type="http://schemas.openxmlformats.org/officeDocument/2006/relationships/image" Target="media/ab56ad9286edfe185fb2a843299ee80ca077bdea.png"/><Relationship Id="rId11" Type="http://schemas.openxmlformats.org/officeDocument/2006/relationships/image" Target="media/e022903cfb154b4b10e5ccb6322e59e7671e5dbb.png"/><Relationship Id="rId12" Type="http://schemas.openxmlformats.org/officeDocument/2006/relationships/image" Target="media/093f3faad451055d48a8a788b6725a00e7d80e90.png"/><Relationship Id="rId13" Type="http://schemas.openxmlformats.org/officeDocument/2006/relationships/image" Target="media/627af2e314a7804ff190083d2877a2342e7ebbba.png"/><Relationship Id="rId14" Type="http://schemas.openxmlformats.org/officeDocument/2006/relationships/image" Target="media/11c99f1e60ed80fbe6032bcdff8b93e1575ae848.png"/><Relationship Id="rId15" Type="http://schemas.openxmlformats.org/officeDocument/2006/relationships/image" Target="media/f5776b8e575a38d55feb5c3dfc74a3c1bf568259.png"/><Relationship Id="rId16" Type="http://schemas.openxmlformats.org/officeDocument/2006/relationships/image" Target="media/9ade60f12c4f09710d5d7379b04198c76365aaf0.png"/><Relationship Id="rId17" Type="http://schemas.openxmlformats.org/officeDocument/2006/relationships/image" Target="media/e98f8e073fd042c1b8a0b800f35ce3b74e0cdf57.png"/><Relationship Id="rId18" Type="http://schemas.openxmlformats.org/officeDocument/2006/relationships/image" Target="media/bc896caa6f67ed2ecef48d0fb0efdf19c7d1db42.png"/><Relationship Id="rId19" Type="http://schemas.openxmlformats.org/officeDocument/2006/relationships/image" Target="media/186ee210e6ba1844e2ec5d93ca937a73ffe8bd68.png"/><Relationship Id="rId20" Type="http://schemas.openxmlformats.org/officeDocument/2006/relationships/image" Target="media/95029ff26b97eed9d9dd465c6e90b4a34eeb9be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 Dengue Big Data</dc:title>
  <dc:creator>Proyecto Big Data UNDC</dc:creator>
  <cp:lastModifiedBy>Un-named</cp:lastModifiedBy>
  <cp:revision>1</cp:revision>
  <dcterms:created xsi:type="dcterms:W3CDTF">2026-07-13T05:09:40.492Z</dcterms:created>
  <dcterms:modified xsi:type="dcterms:W3CDTF">2026-07-13T05:09:40.492Z</dcterms:modified>
</cp:coreProperties>
</file>

<file path=docProps/custom.xml><?xml version="1.0" encoding="utf-8"?>
<Properties xmlns="http://schemas.openxmlformats.org/officeDocument/2006/custom-properties" xmlns:vt="http://schemas.openxmlformats.org/officeDocument/2006/docPropsVTypes"/>
</file>