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4c8b"/>
          <w:sz w:val="20"/>
          <w:szCs w:val="20"/>
        </w:rPr>
        <w:t xml:space="preserve">GUÍA PRÁCTICA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Replicar el dashboard de Dengue en Tableau Public</w:t>
      </w:r>
    </w:p>
    <w:p>
      <w:pPr>
        <w:spacing w:after="18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Reconstrucción del tablero interactivo (el mismo que ves en el prototipo HTML) en Tableau Public: gratuito, conecta directo a los CSV y permite publicar y embeber por iframe.</w:t>
      </w:r>
    </w:p>
    <w:p>
      <w:pPr>
        <w:pBdr>
          <w:bottom w:val="single" w:color="1a4c8b" w:sz="6" w:space="1"/>
        </w:pBdr>
        <w:spacing w:after="150"/>
      </w:pP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Tableau Public es la versión gratuita de Tableau. Todo lo que publicas queda público (justo lo que se necesita para embeber), y no depende de permisos de tu universidad. Esta guía replica los visuales del dashboard con los mismos datos que generó el ETL.</w:t>
      </w:r>
    </w:p>
    <w:p>
      <w:pPr>
        <w:pBdr>
          <w:bottom w:val="single" w:color="1a4c8b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e2f57"/>
          <w:sz w:val="26"/>
          <w:szCs w:val="26"/>
        </w:rPr>
        <w:t xml:space="preserve">1. Instalar y preparar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1.1  </w:t>
      </w:r>
      <w:r>
        <w:rPr>
          <w:rFonts w:ascii="Calibri" w:cs="Calibri" w:eastAsia="Calibri" w:hAnsi="Calibri"/>
          <w:sz w:val="21"/>
          <w:szCs w:val="21"/>
        </w:rPr>
        <w:t xml:space="preserve">Descarga e instala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Tableau Public</w:t>
      </w:r>
      <w:r>
        <w:rPr>
          <w:rFonts w:ascii="Calibri" w:cs="Calibri" w:eastAsia="Calibri" w:hAnsi="Calibri"/>
          <w:sz w:val="21"/>
          <w:szCs w:val="21"/>
        </w:rPr>
        <w:t xml:space="preserve"> (gratis): https://www.tableau.com/products/public/download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1.2  </w:t>
      </w:r>
      <w:r>
        <w:rPr>
          <w:rFonts w:ascii="Calibri" w:cs="Calibri" w:eastAsia="Calibri" w:hAnsi="Calibri"/>
          <w:sz w:val="21"/>
          <w:szCs w:val="21"/>
        </w:rPr>
        <w:t xml:space="preserve">Crea una cuenta gratuita en https://public.tableau.com (la necesitarás para publicar).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1.3  </w:t>
      </w:r>
      <w:r>
        <w:rPr>
          <w:rFonts w:ascii="Calibri" w:cs="Calibri" w:eastAsia="Calibri" w:hAnsi="Calibri"/>
          <w:sz w:val="21"/>
          <w:szCs w:val="21"/>
        </w:rPr>
        <w:t xml:space="preserve">Ten a la mano los CSV de la carpeta 02_datos_procesados.</w:t>
      </w:r>
    </w:p>
    <w:p>
      <w:pPr>
        <w:pBdr>
          <w:left w:val="single" w:color="1a4c8b" w:sz="12" w:space="6"/>
        </w:pBdr>
        <w:shd w:fill="eaf1f9" w:val="clear"/>
        <w:spacing w:after="100" w:before="20"/>
      </w:pPr>
      <w:r>
        <w:rPr>
          <w:rFonts w:ascii="Calibri" w:cs="Calibri" w:eastAsia="Calibri" w:hAnsi="Calibri"/>
          <w:color w:val="1a2733"/>
          <w:sz w:val="19"/>
          <w:szCs w:val="19"/>
        </w:rPr>
        <w:t xml:space="preserve">Consejo: para manejar un solo origen, puedes juntar todos los CSV en un Excel (una hoja por archivo) y conectar ese Excel. O conectar cada CSV por separado; Tableau permite usar varios orígenes en un mismo dashboard.</w:t>
      </w:r>
    </w:p>
    <w:p>
      <w:pPr>
        <w:pBdr>
          <w:bottom w:val="single" w:color="1a4c8b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e2f57"/>
          <w:sz w:val="26"/>
          <w:szCs w:val="26"/>
        </w:rPr>
        <w:t xml:space="preserve">2. Conectar los datos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2.1  </w:t>
      </w:r>
      <w:r>
        <w:rPr>
          <w:rFonts w:ascii="Calibri" w:cs="Calibri" w:eastAsia="Calibri" w:hAnsi="Calibri"/>
          <w:sz w:val="21"/>
          <w:szCs w:val="21"/>
        </w:rPr>
        <w:t xml:space="preserve">Abre Tableau Public Desktop → panel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Connect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Text file</w:t>
      </w:r>
      <w:r>
        <w:rPr>
          <w:rFonts w:ascii="Calibri" w:cs="Calibri" w:eastAsia="Calibri" w:hAnsi="Calibri"/>
          <w:sz w:val="21"/>
          <w:szCs w:val="21"/>
        </w:rPr>
        <w:t xml:space="preserve"> (para CSV)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Microsoft Excel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2.2  </w:t>
      </w:r>
      <w:r>
        <w:rPr>
          <w:rFonts w:ascii="Calibri" w:cs="Calibri" w:eastAsia="Calibri" w:hAnsi="Calibri"/>
          <w:sz w:val="21"/>
          <w:szCs w:val="21"/>
        </w:rPr>
        <w:t xml:space="preserve">Selecciona el archivo. Verifica en la pestaña «Origen de datos» que los tipos de campo sean correctos (números como número, texto como texto).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2.3  </w:t>
      </w:r>
      <w:r>
        <w:rPr>
          <w:rFonts w:ascii="Calibri" w:cs="Calibri" w:eastAsia="Calibri" w:hAnsi="Calibri"/>
          <w:sz w:val="21"/>
          <w:szCs w:val="21"/>
        </w:rPr>
        <w:t xml:space="preserve">Repite para cada CSV que necesites (cada uno será un origen de datos).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Archivos y el visual que arma cada uno: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00"/>
        <w:gridCol w:w="2500"/>
      </w:tblGrid>
      <w:tr>
        <w:tc>
          <w:tcPr>
            <w:tcW w:type="dxa" w:w="3400"/>
            <w:shd w:fill="1a4c8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  <w:t xml:space="preserve">Archivo CSV</w:t>
            </w:r>
          </w:p>
        </w:tc>
        <w:tc>
          <w:tcPr>
            <w:tcW w:type="dxa" w:w="3100"/>
            <w:shd w:fill="1a4c8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  <w:t xml:space="preserve">Visual</w:t>
            </w:r>
          </w:p>
        </w:tc>
        <w:tc>
          <w:tcPr>
            <w:tcW w:type="dxa" w:w="2500"/>
            <w:shd w:fill="1a4c8b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</w:rPr>
              <w:t xml:space="preserve">Tipo de gráfico (Tableau)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kpis_dashboard.csv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Tarjetas KPI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Hoja con número grande (Texto)</w:t>
            </w:r>
          </w:p>
        </w:tc>
      </w:tr>
      <w:tr>
        <w:tc>
          <w:tcPr>
            <w:tcW w:type="dxa" w:w="34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agg_casos_por_anio.csv</w:t>
            </w:r>
          </w:p>
        </w:tc>
        <w:tc>
          <w:tcPr>
            <w:tcW w:type="dxa" w:w="31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Casos por año</w:t>
            </w:r>
          </w:p>
        </w:tc>
        <w:tc>
          <w:tcPr>
            <w:tcW w:type="dxa" w:w="25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Barras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agg_casos_por_severidad.csv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Severidad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Circular (Pie)</w:t>
            </w:r>
          </w:p>
        </w:tc>
      </w:tr>
      <w:tr>
        <w:tc>
          <w:tcPr>
            <w:tcW w:type="dxa" w:w="34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agg_casos_por_departamento.csv</w:t>
            </w:r>
          </w:p>
        </w:tc>
        <w:tc>
          <w:tcPr>
            <w:tcW w:type="dxa" w:w="31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Top departamentos</w:t>
            </w:r>
          </w:p>
        </w:tc>
        <w:tc>
          <w:tcPr>
            <w:tcW w:type="dxa" w:w="25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Barras horizontales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agg_casos_por_anio_semana.csv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Estacionalidad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Líneas</w:t>
            </w:r>
          </w:p>
        </w:tc>
      </w:tr>
      <w:tr>
        <w:tc>
          <w:tcPr>
            <w:tcW w:type="dxa" w:w="34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agg_casos_por_grupo_edad.csv</w:t>
            </w:r>
          </w:p>
        </w:tc>
        <w:tc>
          <w:tcPr>
            <w:tcW w:type="dxa" w:w="31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Grupo de edad</w:t>
            </w:r>
          </w:p>
        </w:tc>
        <w:tc>
          <w:tcPr>
            <w:tcW w:type="dxa" w:w="25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Barras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agg_casos_por_sexo.csv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Sexo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Circular (Pie)</w:t>
            </w:r>
          </w:p>
        </w:tc>
      </w:tr>
      <w:tr>
        <w:tc>
          <w:tcPr>
            <w:tcW w:type="dxa" w:w="34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canal_endemico.csv</w:t>
            </w:r>
          </w:p>
        </w:tc>
        <w:tc>
          <w:tcPr>
            <w:tcW w:type="dxa" w:w="31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Canal endémico</w:t>
            </w:r>
          </w:p>
        </w:tc>
        <w:tc>
          <w:tcPr>
            <w:tcW w:type="dxa" w:w="25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Líneas (Measure Values)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prioridad_departamentos.csv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Priorización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Tabla / barras</w:t>
            </w:r>
          </w:p>
        </w:tc>
      </w:tr>
      <w:tr>
        <w:tc>
          <w:tcPr>
            <w:tcW w:type="dxa" w:w="34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proyeccion_2025.csv</w:t>
            </w:r>
          </w:p>
        </w:tc>
        <w:tc>
          <w:tcPr>
            <w:tcW w:type="dxa" w:w="31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Proyección 2025</w:t>
            </w:r>
          </w:p>
        </w:tc>
        <w:tc>
          <w:tcPr>
            <w:tcW w:type="dxa" w:w="2500"/>
            <w:shd w:fill="eaf1f9" w:val="clear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Barras</w:t>
            </w:r>
          </w:p>
        </w:tc>
      </w:tr>
      <w:tr>
        <w:tc>
          <w:tcPr>
            <w:tcW w:type="dxa" w:w="34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5"/>
                <w:szCs w:val="15"/>
              </w:rPr>
              <w:t xml:space="preserve">ml2_pred_nacional_2024.csv</w:t>
            </w:r>
          </w:p>
        </w:tc>
        <w:tc>
          <w:tcPr>
            <w:tcW w:type="dxa" w:w="31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Real vs. pronóstico</w:t>
            </w:r>
          </w:p>
        </w:tc>
        <w:tc>
          <w:tcPr>
            <w:tcW w:type="dxa" w:w="2500"/>
            <w:tcMar>
              <w:top w:type="dxa" w:w="34"/>
              <w:left w:type="dxa" w:w="80"/>
              <w:bottom w:type="dxa" w:w="34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000000"/>
                <w:sz w:val="15"/>
                <w:szCs w:val="15"/>
              </w:rPr>
              <w:t xml:space="preserve">Líneas (doble medida)</w:t>
            </w:r>
          </w:p>
        </w:tc>
      </w:tr>
    </w:tbl>
    <w:p>
      <w:pPr>
        <w:spacing w:after="80"/>
      </w:pPr>
    </w:p>
    <w:p>
      <w:pPr>
        <w:pBdr>
          <w:bottom w:val="single" w:color="1a4c8b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e2f57"/>
          <w:sz w:val="26"/>
          <w:szCs w:val="26"/>
        </w:rPr>
        <w:t xml:space="preserve">3. Crear los visuales (Hojas)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 Tableau, cada gráfico se arma en una «Hoja» (Sheet) arrastrando campos a Columnas, Filas y la tarjeta «Marcas». Luego se combinan en un «Dashboard».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a4c8b"/>
          <w:sz w:val="22"/>
          <w:szCs w:val="22"/>
        </w:rPr>
        <w:t xml:space="preserve">3.1. Tarjetas KPI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kpis_dashboard.csv, en una hoja arrastra la medida (p. ej. total_casos) a «Texto» en Marcas; agranda la fuente. Crea una hoja por indicador (total, casos 2023-24, graves, departamentos).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a4c8b"/>
          <w:sz w:val="22"/>
          <w:szCs w:val="22"/>
        </w:rPr>
        <w:t xml:space="preserve">3.2. Barras, circulares y líneas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Casos por año: </w:t>
      </w:r>
      <w:r>
        <w:rPr>
          <w:rFonts w:ascii="Calibri" w:cs="Calibri" w:eastAsia="Calibri" w:hAnsi="Calibri"/>
          <w:sz w:val="21"/>
          <w:szCs w:val="21"/>
        </w:rPr>
        <w:t xml:space="preserve">Columnas = ano; Filas = casos. Tipo Barras. Colorea 2023–2024 distinto.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Top departamentos: </w:t>
      </w:r>
      <w:r>
        <w:rPr>
          <w:rFonts w:ascii="Calibri" w:cs="Calibri" w:eastAsia="Calibri" w:hAnsi="Calibri"/>
          <w:sz w:val="21"/>
          <w:szCs w:val="21"/>
        </w:rPr>
        <w:t xml:space="preserve">Filas = departamento; Columnas = casos; ordena descendente; barras horizontales.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Severidad y Sexo: </w:t>
      </w:r>
      <w:r>
        <w:rPr>
          <w:rFonts w:ascii="Calibri" w:cs="Calibri" w:eastAsia="Calibri" w:hAnsi="Calibri"/>
          <w:sz w:val="21"/>
          <w:szCs w:val="21"/>
        </w:rPr>
        <w:t xml:space="preserve">tipo de marca «Sector» (Pie); Ángulo = casos, Color = categoría.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Estacionalidad: </w:t>
      </w:r>
      <w:r>
        <w:rPr>
          <w:rFonts w:ascii="Calibri" w:cs="Calibri" w:eastAsia="Calibri" w:hAnsi="Calibri"/>
          <w:sz w:val="21"/>
          <w:szCs w:val="21"/>
        </w:rPr>
        <w:t xml:space="preserve">Columnas = semana; Filas = casos; Color = ano; marca Línea.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Grupo de edad: </w:t>
      </w:r>
      <w:r>
        <w:rPr>
          <w:rFonts w:ascii="Calibri" w:cs="Calibri" w:eastAsia="Calibri" w:hAnsi="Calibri"/>
          <w:sz w:val="21"/>
          <w:szCs w:val="21"/>
        </w:rPr>
        <w:t xml:space="preserve">Columnas = grupo_edad; Filas = casos; barras.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Real vs. pronóstico: </w:t>
      </w:r>
      <w:r>
        <w:rPr>
          <w:rFonts w:ascii="Calibri" w:cs="Calibri" w:eastAsia="Calibri" w:hAnsi="Calibri"/>
          <w:sz w:val="21"/>
          <w:szCs w:val="21"/>
        </w:rPr>
        <w:t xml:space="preserve">Columnas = mes; Filas = casos_real y gbt_con_clima (dos medidas); marca Línea.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a4c8b"/>
          <w:sz w:val="22"/>
          <w:szCs w:val="22"/>
        </w:rPr>
        <w:t xml:space="preserve">3.3. Canal endémico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 canal_endemico.csv: Columnas = semana; en Filas coloca «Measure Values» con p25, p50_mediana, p75_umbral y casos_2024; marca Línea. Pon casos_2024 en rojo y grueso. Para las zonas de color puedes usar «Bandas de referencia» (Analytics → Reference Band) como aproximación.</w:t>
      </w:r>
    </w:p>
    <w:p>
      <w:pPr>
        <w:spacing w:after="70" w:before="150"/>
      </w:pPr>
      <w:r>
        <w:rPr>
          <w:rFonts w:ascii="Calibri" w:cs="Calibri" w:eastAsia="Calibri" w:hAnsi="Calibri"/>
          <w:b/>
          <w:bCs/>
          <w:color w:val="1a4c8b"/>
          <w:sz w:val="22"/>
          <w:szCs w:val="22"/>
        </w:rPr>
        <w:t xml:space="preserve">3.4. Priorización y proyección</w:t>
      </w:r>
    </w:p>
    <w:p>
      <w:pPr>
        <w:spacing w:after="110" w:line="26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Priorización: tabla o barras con departamento y puntaje_riesgo (ordenado), color por nivel. Proyección: barras con mes y casos_proyectados; resalta el mes pico.</w:t>
      </w:r>
    </w:p>
    <w:p>
      <w:pPr>
        <w:pBdr>
          <w:bottom w:val="single" w:color="1a4c8b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e2f57"/>
          <w:sz w:val="26"/>
          <w:szCs w:val="26"/>
        </w:rPr>
        <w:t xml:space="preserve">4. Ensamblar el dashboard e interactividad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4.1  </w:t>
      </w:r>
      <w:r>
        <w:rPr>
          <w:rFonts w:ascii="Calibri" w:cs="Calibri" w:eastAsia="Calibri" w:hAnsi="Calibri"/>
          <w:sz w:val="21"/>
          <w:szCs w:val="21"/>
        </w:rPr>
        <w:t xml:space="preserve">Crea un «Dashboard» nuevo y arrastra tus hojas al lienzo, agrupando arriba el panel de decisión (canal, priorización, proyección) y abajo el descriptivo.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4.2  </w:t>
      </w:r>
      <w:r>
        <w:rPr>
          <w:rFonts w:ascii="Calibri" w:cs="Calibri" w:eastAsia="Calibri" w:hAnsi="Calibri"/>
          <w:sz w:val="21"/>
          <w:szCs w:val="21"/>
        </w:rPr>
        <w:t xml:space="preserve">Agrega filtros: clic derecho en un campo (ano, departamento) → «Mostrar filtro»; aplícalo a todas las hojas para que el tablero sea interactivo.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4.3  </w:t>
      </w:r>
      <w:r>
        <w:rPr>
          <w:rFonts w:ascii="Calibri" w:cs="Calibri" w:eastAsia="Calibri" w:hAnsi="Calibri"/>
          <w:sz w:val="21"/>
          <w:szCs w:val="21"/>
        </w:rPr>
        <w:t xml:space="preserve">Aplica formato: fondo oscuro y acento rojo, títulos y alineación con la cuadrícula.</w:t>
      </w:r>
    </w:p>
    <w:p>
      <w:pPr>
        <w:pBdr>
          <w:bottom w:val="single" w:color="1a4c8b" w:sz="4" w:space="2"/>
        </w:pBdr>
        <w:spacing w:after="110" w:before="220"/>
      </w:pPr>
      <w:r>
        <w:rPr>
          <w:rFonts w:ascii="Calibri" w:cs="Calibri" w:eastAsia="Calibri" w:hAnsi="Calibri"/>
          <w:b/>
          <w:bCs/>
          <w:color w:val="0e2f57"/>
          <w:sz w:val="26"/>
          <w:szCs w:val="26"/>
        </w:rPr>
        <w:t xml:space="preserve">5. Publicar y embeber en el portafolio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5.1  </w:t>
      </w:r>
      <w:r>
        <w:rPr>
          <w:rFonts w:ascii="Calibri" w:cs="Calibri" w:eastAsia="Calibri" w:hAnsi="Calibri"/>
          <w:sz w:val="21"/>
          <w:szCs w:val="21"/>
        </w:rPr>
        <w:t xml:space="preserve">En Tableau Public Desktop: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Archivo → Guardar en Tableau Public como…</w:t>
      </w:r>
      <w:r>
        <w:rPr>
          <w:rFonts w:ascii="Calibri" w:cs="Calibri" w:eastAsia="Calibri" w:hAnsi="Calibri"/>
          <w:sz w:val="21"/>
          <w:szCs w:val="21"/>
        </w:rPr>
        <w:t xml:space="preserve"> e inicia sesión con tu cuenta. El libro se sube a tu perfil público.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5.2  </w:t>
      </w:r>
      <w:r>
        <w:rPr>
          <w:rFonts w:ascii="Calibri" w:cs="Calibri" w:eastAsia="Calibri" w:hAnsi="Calibri"/>
          <w:sz w:val="21"/>
          <w:szCs w:val="21"/>
        </w:rPr>
        <w:t xml:space="preserve">Abre tu visualización 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public.tableau.com</w:t>
      </w:r>
      <w:r>
        <w:rPr>
          <w:rFonts w:ascii="Calibri" w:cs="Calibri" w:eastAsia="Calibri" w:hAnsi="Calibri"/>
          <w:sz w:val="21"/>
          <w:szCs w:val="21"/>
        </w:rPr>
        <w:t xml:space="preserve"> (tu perfil → el dashboard).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5.3  </w:t>
      </w:r>
      <w:r>
        <w:rPr>
          <w:rFonts w:ascii="Calibri" w:cs="Calibri" w:eastAsia="Calibri" w:hAnsi="Calibri"/>
          <w:sz w:val="21"/>
          <w:szCs w:val="21"/>
        </w:rPr>
        <w:t xml:space="preserve">Abajo del tablero, clic en el icono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Compartir</w:t>
      </w:r>
      <w:r>
        <w:rPr>
          <w:rFonts w:ascii="Calibri" w:cs="Calibri" w:eastAsia="Calibri" w:hAnsi="Calibri"/>
          <w:sz w:val="21"/>
          <w:szCs w:val="21"/>
        </w:rPr>
        <w:t xml:space="preserve"> (tres puntos conectados) → copia el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Código de inserción (Embed Code)</w:t>
      </w:r>
      <w:r>
        <w:rPr>
          <w:rFonts w:ascii="Calibri" w:cs="Calibri" w:eastAsia="Calibri" w:hAnsi="Calibri"/>
          <w:sz w:val="21"/>
          <w:szCs w:val="21"/>
        </w:rPr>
        <w:t xml:space="preserve">, que es un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&lt;iframe&gt;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70"/>
        <w:ind w:left="360" w:hanging="360"/>
      </w:pPr>
      <w:r>
        <w:rPr>
          <w:rFonts w:ascii="Calibri" w:cs="Calibri" w:eastAsia="Calibri" w:hAnsi="Calibri"/>
          <w:b/>
          <w:bCs/>
          <w:color w:val="1a4c8b"/>
          <w:sz w:val="21"/>
          <w:szCs w:val="21"/>
        </w:rPr>
        <w:t xml:space="preserve">5.4  </w:t>
      </w:r>
      <w:r>
        <w:rPr>
          <w:rFonts w:ascii="Calibri" w:cs="Calibri" w:eastAsia="Calibri" w:hAnsi="Calibri"/>
          <w:sz w:val="21"/>
          <w:szCs w:val="21"/>
        </w:rPr>
        <w:t xml:space="preserve">Pega ese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&lt;iframe&gt;</w:t>
      </w:r>
      <w:r>
        <w:rPr>
          <w:rFonts w:ascii="Calibri" w:cs="Calibri" w:eastAsia="Calibri" w:hAnsi="Calibri"/>
          <w:sz w:val="21"/>
          <w:szCs w:val="21"/>
        </w:rPr>
        <w:t xml:space="preserve"> en index.html, en el bloque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id="pbi-dengue"</w:t>
      </w:r>
      <w:r>
        <w:rPr>
          <w:rFonts w:ascii="Calibri" w:cs="Calibri" w:eastAsia="Calibri" w:hAnsi="Calibri"/>
          <w:sz w:val="21"/>
          <w:szCs w:val="21"/>
        </w:rPr>
        <w:t xml:space="preserve"> (reemplazando el iframe del dashboard HTML, o como segunda vista). Vuelve a subir index.html a GitHub. También puedes mandármelo y lo integro.</w:t>
      </w:r>
    </w:p>
    <w:p>
      <w:pPr>
        <w:pBdr>
          <w:left w:val="single" w:color="1a4c8b" w:sz="12" w:space="6"/>
        </w:pBdr>
        <w:shd w:fill="eaf1f9" w:val="clear"/>
        <w:spacing w:after="100" w:before="20"/>
      </w:pPr>
      <w:r>
        <w:rPr>
          <w:rFonts w:ascii="Calibri" w:cs="Calibri" w:eastAsia="Calibri" w:hAnsi="Calibri"/>
          <w:color w:val="1a2733"/>
          <w:sz w:val="19"/>
          <w:szCs w:val="19"/>
        </w:rPr>
        <w:t xml:space="preserve">Tableau Public activa protección anti-clickjacking, por eso solo funciona con datos públicos en webs públicas — que es exactamente tu caso (datos abiertos + GitHub Pages).</w:t>
      </w:r>
    </w:p>
    <w:p>
      <w:pPr>
        <w:pBdr>
          <w:top w:val="single" w:color="cccccc" w:sz="4" w:space="4"/>
        </w:pBdr>
        <w:spacing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Checklist: </w:t>
      </w:r>
      <w:r>
        <w:rPr>
          <w:rFonts w:ascii="Calibri" w:cs="Calibri" w:eastAsia="Calibri" w:hAnsi="Calibri"/>
          <w:color w:val="666666"/>
          <w:sz w:val="18"/>
          <w:szCs w:val="18"/>
        </w:rPr>
        <w:t xml:space="preserve">Tableau Public instalado ✓ · datos conectados ✓ · hojas creadas ✓ · dashboard + filtros ✓ · publicado y embebido ✓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c8b" w:sz="4" w:space="2"/>
      </w:pBd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Guía Tableau Public · Dashboard de Dengue · Proyecto Big Data UNDC — Página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Tableau Public - Dengue</dc:title>
  <dc:creator>Proyecto Big Data UNDC</dc:creator>
  <cp:lastModifiedBy>Un-named</cp:lastModifiedBy>
  <cp:revision>1</cp:revision>
  <dcterms:created xsi:type="dcterms:W3CDTF">2026-07-13T06:38:29.966Z</dcterms:created>
  <dcterms:modified xsi:type="dcterms:W3CDTF">2026-07-13T06:38:29.968Z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