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Pr="001A7EB6" w:rsidRDefault="001A7EB6" w:rsidP="001A7EB6">
      <w:pPr>
        <w:jc w:val="center"/>
        <w:rPr>
          <w:b/>
          <w:sz w:val="28"/>
          <w:szCs w:val="28"/>
        </w:rPr>
      </w:pPr>
      <w:r>
        <w:rPr>
          <w:b/>
          <w:sz w:val="28"/>
          <w:szCs w:val="28"/>
        </w:rPr>
        <w:t>Sergio Martín Vaquero</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764931">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764931" w:rsidRPr="001A7EB6" w:rsidRDefault="00764931">
      <w:pPr>
        <w:rPr>
          <w:b/>
          <w:sz w:val="28"/>
          <w:szCs w:val="28"/>
        </w:rPr>
      </w:pPr>
    </w:p>
    <w:p w:rsidR="00764931" w:rsidRDefault="00764931">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2B2D85" w:rsidP="002B2D85">
      <w:pPr>
        <w:rPr>
          <w:b/>
          <w:sz w:val="48"/>
          <w:szCs w:val="48"/>
        </w:rPr>
      </w:pPr>
    </w:p>
    <w:p w:rsidR="004B41C4" w:rsidRDefault="004B41C4" w:rsidP="004B41C4"/>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4B41C4" w:rsidRDefault="004B41C4" w:rsidP="004B41C4"/>
    <w:p w:rsidR="004B41C4" w:rsidRDefault="004B41C4" w:rsidP="004B41C4"/>
    <w:p w:rsidR="002B2D85" w:rsidRDefault="002B2D85" w:rsidP="002B2D85">
      <w:pPr>
        <w:rPr>
          <w:b/>
          <w:sz w:val="48"/>
          <w:szCs w:val="48"/>
        </w:rPr>
      </w:pPr>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lastRenderedPageBreak/>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lastRenderedPageBreak/>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lastRenderedPageBreak/>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lastRenderedPageBreak/>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lastRenderedPageBreak/>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lastRenderedPageBreak/>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bookmarkStart w:id="0" w:name="_GoBack"/>
      <w:bookmarkEnd w:id="0"/>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0F2" w:rsidRDefault="006810F2" w:rsidP="002B2D85">
      <w:pPr>
        <w:spacing w:after="0" w:line="240" w:lineRule="auto"/>
      </w:pPr>
      <w:r>
        <w:separator/>
      </w:r>
    </w:p>
  </w:endnote>
  <w:endnote w:type="continuationSeparator" w:id="0">
    <w:p w:rsidR="006810F2" w:rsidRDefault="006810F2"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0F2" w:rsidRDefault="006810F2" w:rsidP="002B2D85">
      <w:pPr>
        <w:spacing w:after="0" w:line="240" w:lineRule="auto"/>
      </w:pPr>
      <w:r>
        <w:separator/>
      </w:r>
    </w:p>
  </w:footnote>
  <w:footnote w:type="continuationSeparator" w:id="0">
    <w:p w:rsidR="006810F2" w:rsidRDefault="006810F2"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475E6"/>
    <w:rsid w:val="000535B0"/>
    <w:rsid w:val="000B3AFF"/>
    <w:rsid w:val="00187777"/>
    <w:rsid w:val="001A7EB6"/>
    <w:rsid w:val="002B2D85"/>
    <w:rsid w:val="002C4B56"/>
    <w:rsid w:val="003C547F"/>
    <w:rsid w:val="00443625"/>
    <w:rsid w:val="004B41C4"/>
    <w:rsid w:val="00510661"/>
    <w:rsid w:val="005503FE"/>
    <w:rsid w:val="006810F2"/>
    <w:rsid w:val="00764931"/>
    <w:rsid w:val="007E08DC"/>
    <w:rsid w:val="00911F53"/>
    <w:rsid w:val="00934E41"/>
    <w:rsid w:val="00B068F1"/>
    <w:rsid w:val="00B12503"/>
    <w:rsid w:val="00C86388"/>
    <w:rsid w:val="00CB0CD6"/>
    <w:rsid w:val="00CF26A0"/>
    <w:rsid w:val="00D80C37"/>
    <w:rsid w:val="00E303DB"/>
    <w:rsid w:val="00E85838"/>
    <w:rsid w:val="00EE5E92"/>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9321D2-1E52-47D9-AB3E-3F3D73B5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3021</Words>
  <Characters>16619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19601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2</cp:revision>
  <dcterms:created xsi:type="dcterms:W3CDTF">2016-04-07T12:27:00Z</dcterms:created>
  <dcterms:modified xsi:type="dcterms:W3CDTF">2016-04-07T12:27:00Z</dcterms:modified>
  <dc:language>es-ES</dc:language>
</cp:coreProperties>
</file>