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0"/>
      </w:pPr>
    </w:p>
    <w:p>
      <w:pPr>
        <w:spacing w:after="60"/>
        <w:jc w:val="center"/>
      </w:pPr>
      <w:r>
        <w:rPr>
          <w:b/>
          <w:bCs/>
          <w:color w:val="2F5D8A"/>
          <w:spacing w:val="60"/>
          <w:sz w:val="26"/>
          <w:szCs w:val="26"/>
        </w:rPr>
        <w:t xml:space="preserve">SOFTSOLUTIONS</w:t>
      </w:r>
    </w:p>
    <w:p>
      <w:pPr>
        <w:spacing w:after="40"/>
        <w:jc w:val="center"/>
      </w:pPr>
      <w:r>
        <w:rPr>
          <w:b/>
          <w:bCs/>
          <w:color w:val="161D24"/>
          <w:sz w:val="56"/>
          <w:szCs w:val="56"/>
        </w:rPr>
        <w:t xml:space="preserve">Portal de Clientes</w:t>
      </w:r>
    </w:p>
    <w:p>
      <w:pPr>
        <w:spacing w:after="400"/>
        <w:jc w:val="center"/>
      </w:pPr>
      <w:r>
        <w:rPr>
          <w:i/>
          <w:iCs/>
          <w:color w:val="4C5A66"/>
          <w:sz w:val="24"/>
          <w:szCs w:val="24"/>
        </w:rPr>
        <w:t xml:space="preserve">Seguimiento de proyectos, cotizaciones y pagos</w:t>
      </w:r>
    </w:p>
    <w:p>
      <w:pPr>
        <w:spacing w:after="80"/>
        <w:jc w:val="center"/>
      </w:pPr>
      <w:r>
        <w:rPr>
          <w:b/>
          <w:bCs/>
          <w:color w:val="161D24"/>
          <w:sz w:val="32"/>
          <w:szCs w:val="32"/>
        </w:rPr>
        <w:t xml:space="preserve">Informe Final del Proyecto</w:t>
      </w:r>
    </w:p>
    <w:p>
      <w:pPr>
        <w:spacing w:after="600"/>
        <w:jc w:val="center"/>
      </w:pPr>
      <w:r>
        <w:rPr>
          <w:color w:val="4C5A66"/>
          <w:sz w:val="22"/>
          <w:szCs w:val="22"/>
        </w:rPr>
        <w:t xml:space="preserve">Ingeniería de Software · Proyecto integrador (continuación)</w:t>
      </w:r>
    </w:p>
    <w:p>
      <w:pPr>
        <w:spacing w:after="40"/>
        <w:jc w:val="center"/>
      </w:pPr>
      <w:r>
        <w:rPr>
          <w:b/>
          <w:bCs/>
          <w:color w:val="161D24"/>
          <w:sz w:val="24"/>
          <w:szCs w:val="24"/>
        </w:rPr>
        <w:t xml:space="preserve">Jesús Gómez Monroy</w:t>
      </w:r>
    </w:p>
    <w:p>
      <w:pPr>
        <w:spacing w:after="40"/>
        <w:jc w:val="center"/>
      </w:pPr>
      <w:r>
        <w:rPr>
          <w:color w:val="4C5A66"/>
          <w:sz w:val="20"/>
          <w:szCs w:val="20"/>
        </w:rPr>
        <w:t xml:space="preserve">Universidad Autónoma de Baja California (UABC)</w:t>
      </w:r>
    </w:p>
    <w:p>
      <w:pPr>
        <w:spacing w:after="40"/>
        <w:jc w:val="center"/>
      </w:pPr>
      <w:r>
        <w:rPr>
          <w:color w:val="4C5A66"/>
          <w:sz w:val="20"/>
          <w:szCs w:val="20"/>
        </w:rPr>
        <w:t xml:space="preserve">jesus.gomez.monroy@uabc.edu.mx</w:t>
      </w:r>
    </w:p>
    <w:p>
      <w:pPr>
        <w:spacing w:after="400"/>
        <w:jc w:val="center"/>
      </w:pPr>
      <w:r>
        <w:rPr>
          <w:color w:val="4C5A66"/>
          <w:sz w:val="20"/>
          <w:szCs w:val="20"/>
        </w:rPr>
        <w:t xml:space="preserve">Agosto 2026</w:t>
      </w:r>
    </w:p>
    <w:p>
      <w:pPr>
        <w:spacing w:after="0"/>
        <w:jc w:val="center"/>
      </w:pPr>
      <w:r>
        <w:rPr>
          <w:color w:val="2F5D8A"/>
          <w:sz w:val="18"/>
          <w:szCs w:val="18"/>
        </w:rPr>
        <w:t xml:space="preserve">Repositorio: github.com/JesusGomezMon/softsolutions-portal</w:t>
      </w:r>
    </w:p>
    <w:p>
      <w:r>
        <w:br w:type="page"/>
      </w:r>
    </w:p>
    <w:p>
      <w:pPr>
        <w:pStyle w:val="Heading1"/>
        <w:spacing w:after="140"/>
      </w:pPr>
      <w:r>
        <w:rPr>
          <w:b/>
          <w:bCs/>
          <w:color w:val="161D24"/>
        </w:rP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61D24"/>
        </w:rPr>
        <w:t xml:space="preserve">1. Resumen ejecutivo</w:t>
      </w:r>
    </w:p>
    <w:p>
      <w:pPr>
        <w:spacing w:after="120" w:line="276"/>
        <w:jc w:val="both"/>
      </w:pPr>
      <w:r>
        <w:t xml:space="preserve">Este informe documenta el desarrollo, verificación y preparación para el despliegue del </w:t>
      </w:r>
      <w:r>
        <w:rPr>
          <w:b/>
          <w:bCs/>
          <w:color w:val="161D24"/>
        </w:rPr>
        <w:t xml:space="preserve">Portal de Clientes de SoftSolutions</w:t>
      </w:r>
      <w:r>
        <w:t xml:space="preserve">, dando continuidad al proyecto seleccionado y planificado en las actividades previas. El portal resuelve un problema operativo real de SoftSolutions —una agencia de desarrollo web para PyMEs—: la comunicación del avance de proyectos y las cotizaciones ocurría de forma dispersa por WhatsApp y correo, sin una fuente única de verdad.</w:t>
      </w:r>
    </w:p>
    <w:p>
      <w:pPr>
        <w:spacing w:after="120" w:line="276"/>
        <w:jc w:val="both"/>
      </w:pPr>
      <w:r>
        <w:t xml:space="preserve">La solución es una aplicación web con </w:t>
      </w:r>
      <w:r>
        <w:rPr>
          <w:b/>
          <w:bCs/>
          <w:color w:val="161D24"/>
        </w:rPr>
        <w:t xml:space="preserve">dos roles</w:t>
      </w:r>
      <w:r>
        <w:t xml:space="preserve"> (administrador y cliente): el administrador gestiona clientes, proyectos, hitos y cotizaciones basadas en el catálogo comercial real; cada cliente accede a su propio portal para ver el avance de su proyecto, aceptar su cotización (eligiendo modalidad y plan) y —una vez integrada la pasarela— pagar con tarjeta. Sobre la base planificada se incorporaron temas avanzados del curso (gestión de proyectos avanzada, ingeniería de software asistida por inteligencia artificial y tendencias futuras), y se añadieron funcionalidades de nivel producto: identidad de marca, ruteo por subdominio multi-inquilino, diseño responsivo, alta de clientes por invitación de correo y pagos con Stripe.</w:t>
      </w:r>
    </w:p>
    <w:p>
      <w:pPr>
        <w:spacing w:after="120" w:line="276"/>
        <w:jc w:val="both"/>
      </w:pPr>
      <w:r>
        <w:t xml:space="preserve">El stack es </w:t>
      </w:r>
      <w:r>
        <w:rPr>
          <w:b/>
          <w:bCs/>
          <w:color w:val="161D24"/>
        </w:rPr>
        <w:t xml:space="preserve">Next.js 16</w:t>
      </w:r>
      <w:r>
        <w:t xml:space="preserve"> (App Router, Server Components y Server Actions), </w:t>
      </w:r>
      <w:r>
        <w:rPr>
          <w:b/>
          <w:bCs/>
          <w:color w:val="161D24"/>
        </w:rPr>
        <w:t xml:space="preserve">TypeScript</w:t>
      </w:r>
      <w:r>
        <w:t xml:space="preserve">, </w:t>
      </w:r>
      <w:r>
        <w:rPr>
          <w:b/>
          <w:bCs/>
          <w:color w:val="161D24"/>
        </w:rPr>
        <w:t xml:space="preserve">Tailwind CSS v4</w:t>
      </w:r>
      <w:r>
        <w:t xml:space="preserve">, persistencia en </w:t>
      </w:r>
      <w:r>
        <w:rPr>
          <w:b/>
          <w:bCs/>
          <w:color w:val="161D24"/>
        </w:rPr>
        <w:t xml:space="preserve">SQLite</w:t>
      </w:r>
      <w:r>
        <w:t xml:space="preserve"> mediante el módulo nativo `node:sqlite`, autenticación con </w:t>
      </w:r>
      <w:r>
        <w:rPr>
          <w:b/>
          <w:bCs/>
          <w:color w:val="161D24"/>
        </w:rPr>
        <w:t xml:space="preserve">Auth.js v5</w:t>
      </w:r>
      <w:r>
        <w:t xml:space="preserve"> (credenciales + JWT), pagos con </w:t>
      </w:r>
      <w:r>
        <w:rPr>
          <w:b/>
          <w:bCs/>
          <w:color w:val="161D24"/>
        </w:rPr>
        <w:t xml:space="preserve">Stripe Checkout</w:t>
      </w:r>
      <w:r>
        <w:t xml:space="preserve"> y correo transaccional con </w:t>
      </w:r>
      <w:r>
        <w:rPr>
          <w:b/>
          <w:bCs/>
          <w:color w:val="161D24"/>
        </w:rPr>
        <w:t xml:space="preserve">Resend</w:t>
      </w:r>
      <w:r>
        <w:t xml:space="preserve">. El objetivo de despliegue es </w:t>
      </w:r>
      <w:r>
        <w:rPr>
          <w:b/>
          <w:bCs/>
          <w:color w:val="161D24"/>
        </w:rPr>
        <w:t xml:space="preserve">Railway</w:t>
      </w:r>
      <w:r>
        <w:t xml:space="preserve"> con un volumen persistente para la base de datos.</w:t>
      </w:r>
    </w:p>
    <w:p>
      <w:pPr>
        <w:pStyle w:val="Heading1"/>
        <w:spacing w:after="140" w:before="320"/>
      </w:pPr>
      <w:r>
        <w:rPr>
          <w:b/>
          <w:bCs/>
          <w:color w:val="161D24"/>
        </w:rPr>
        <w:t xml:space="preserve">2. Revisión y actualización del plan del proyecto</w:t>
      </w:r>
    </w:p>
    <w:p>
      <w:pPr>
        <w:pStyle w:val="Heading2"/>
        <w:spacing w:after="100" w:before="220"/>
      </w:pPr>
      <w:r>
        <w:rPr>
          <w:b/>
          <w:bCs/>
          <w:color w:val="2F5D8A"/>
        </w:rPr>
        <w:t xml:space="preserve">2.1 Evaluación del progreso</w:t>
      </w:r>
    </w:p>
    <w:p>
      <w:pPr>
        <w:spacing w:after="120" w:line="276"/>
        <w:jc w:val="both"/>
      </w:pPr>
      <w:r>
        <w:t xml:space="preserve">El plan inicial (documento 02-project-plan) contemplaba cinco sprints —planeación, modelo de datos y autenticación, vistas de administrador, vistas de cliente, y pulido/QA— con una estimación de ~8 días. Ese alcance se completó y verificó (ver documentos 03-development-log y 05-qa-report). A partir de ahí, el proyecto evolucionó con </w:t>
      </w:r>
      <w:r>
        <w:rPr>
          <w:b/>
          <w:bCs/>
          <w:color w:val="161D24"/>
        </w:rPr>
        <w:t xml:space="preserve">solicitudes de cambio posteriores a la entrega</w:t>
      </w:r>
      <w:r>
        <w:t xml:space="preserve"> que ampliaron el alcance hacia un producto realista, gestionadas de forma incremental y con verificación en cada paso.</w:t>
      </w:r>
    </w:p>
    <w:p>
      <w:pPr>
        <w:pStyle w:val="Heading2"/>
        <w:spacing w:after="100" w:before="220"/>
      </w:pPr>
      <w:r>
        <w:rPr>
          <w:b/>
          <w:bCs/>
          <w:color w:val="2F5D8A"/>
        </w:rPr>
        <w:t xml:space="preserve">2.2 Objetivos actualizados</w:t>
      </w:r>
    </w:p>
    <w:p>
      <w:pPr>
        <w:spacing w:after="120" w:line="276"/>
        <w:jc w:val="both"/>
      </w:pPr>
      <w:r>
        <w:t xml:space="preserve">Los objetivos originales siguen vigentes y se cumplieron. Se añadieron objetivos nuevos, alineados con los requisitos del curso (integración de temas avanzados) y con las necesidades reales del negocio: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/>
          <w:bCs/>
          <w:color w:val="161D24"/>
        </w:rPr>
        <w:t xml:space="preserve">Cotizaciones basadas en catálogo real</w:t>
      </w:r>
      <w:r>
        <w:t xml:space="preserve">: modelar los 3 servicios × 3 niveles y los 4 planes de suscripción del catálogo comercial de SoftSolutions.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/>
          <w:bCs/>
          <w:color w:val="161D24"/>
        </w:rPr>
        <w:t xml:space="preserve">Autoservicio del cliente</w:t>
      </w:r>
      <w:r>
        <w:t xml:space="preserve">: que el cliente acepte su cotización y, tras integrar la pasarela, pague en línea.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/>
          <w:bCs/>
          <w:color w:val="161D24"/>
        </w:rPr>
        <w:t xml:space="preserve">Multi-inquilino por subdominio</w:t>
      </w:r>
      <w:r>
        <w:t xml:space="preserve">: `admin.softsolutions.mx` y `cliente.softsolutions.mx`, listo para el dominio real.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/>
          <w:bCs/>
          <w:color w:val="161D24"/>
        </w:rPr>
        <w:t xml:space="preserve">Alta de clientes por invitación</w:t>
      </w:r>
      <w:r>
        <w:t xml:space="preserve">: el administrador invita con solo el correo; la cuenta se crea sola y el cliente define su contraseña desde un enlace.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/>
          <w:bCs/>
          <w:color w:val="161D24"/>
        </w:rPr>
        <w:t xml:space="preserve">Identidad de marca y experiencia móvil</w:t>
      </w:r>
      <w:r>
        <w:t xml:space="preserve"> consistentes con el sitio de SoftSolutions.</w:t>
      </w:r>
    </w:p>
    <w:p>
      <w:pPr>
        <w:pStyle w:val="Heading2"/>
        <w:spacing w:after="100" w:before="220"/>
      </w:pPr>
      <w:r>
        <w:rPr>
          <w:b/>
          <w:bCs/>
          <w:color w:val="2F5D8A"/>
        </w:rPr>
        <w:t xml:space="preserve">2.3 Ajustes al plan (inicial vs. real)</w:t>
      </w:r>
    </w:p>
    <w:tbl>
      <w:tblPr>
        <w:tblW w:type="dxa" w:w="9360"/>
        <w:tblBorders>
          <w:top w:val="single" w:color="E1E6E9" w:sz="4"/>
          <w:left w:val="single" w:color="E1E6E9" w:sz="4"/>
          <w:bottom w:val="single" w:color="E1E6E9" w:sz="4"/>
          <w:right w:val="single" w:color="E1E6E9" w:sz="4"/>
          <w:insideH w:val="single" w:color="E1E6E9" w:sz="4"/>
          <w:insideV w:val="single" w:color="E1E6E9" w:sz="4"/>
        </w:tblBorders>
      </w:tblPr>
      <w:tblGrid>
        <w:gridCol w:w="2200"/>
        <w:gridCol w:w="3080"/>
        <w:gridCol w:w="4080"/>
      </w:tblGrid>
      <w:tr>
        <w:trPr>
          <w:tblHeader/>
        </w:trPr>
        <w:tc>
          <w:tcPr>
            <w:tcW w:type="dxa" w:w="2200"/>
            <w:shd w:fill="161D2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Aspecto</w:t>
            </w:r>
          </w:p>
        </w:tc>
        <w:tc>
          <w:tcPr>
            <w:tcW w:type="dxa" w:w="3080"/>
            <w:shd w:fill="161D2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Plan inicial</w:t>
            </w:r>
          </w:p>
        </w:tc>
        <w:tc>
          <w:tcPr>
            <w:tcW w:type="dxa" w:w="4080"/>
            <w:shd w:fill="161D2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Resultado real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1D24"/>
                <w:sz w:val="18"/>
                <w:szCs w:val="18"/>
              </w:rPr>
              <w:t xml:space="preserve">Persistencia</w:t>
            </w:r>
          </w:p>
        </w:tc>
        <w:tc>
          <w:tcPr>
            <w:tcW w:type="dxa" w:w="3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1D24"/>
                <w:sz w:val="18"/>
                <w:szCs w:val="18"/>
              </w:rPr>
              <w:t xml:space="preserve">Prisma + SQLite</w:t>
            </w:r>
          </w:p>
        </w:tc>
        <w:tc>
          <w:tcPr>
            <w:tcW w:type="dxa" w:w="4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1D24"/>
                <w:sz w:val="18"/>
                <w:szCs w:val="18"/>
              </w:rPr>
              <w:t xml:space="preserve">node:sqlite (nativo Node 22) por restricción de red; mismo modelo relacional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1D24"/>
                <w:sz w:val="18"/>
                <w:szCs w:val="18"/>
              </w:rPr>
              <w:t xml:space="preserve">Hosting</w:t>
            </w:r>
          </w:p>
        </w:tc>
        <w:tc>
          <w:tcPr>
            <w:tcW w:type="dxa" w:w="3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1D24"/>
                <w:sz w:val="18"/>
                <w:szCs w:val="18"/>
              </w:rPr>
              <w:t xml:space="preserve">Vercel (free)</w:t>
            </w:r>
          </w:p>
        </w:tc>
        <w:tc>
          <w:tcPr>
            <w:tcW w:type="dxa" w:w="4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1D24"/>
                <w:sz w:val="18"/>
                <w:szCs w:val="18"/>
              </w:rPr>
              <w:t xml:space="preserve">Railway + volumen persistente (SQLite requiere disco que persista)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1D24"/>
                <w:sz w:val="18"/>
                <w:szCs w:val="18"/>
              </w:rPr>
              <w:t xml:space="preserve">Cotizaciones</w:t>
            </w:r>
          </w:p>
        </w:tc>
        <w:tc>
          <w:tcPr>
            <w:tcW w:type="dxa" w:w="3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1D24"/>
                <w:sz w:val="18"/>
                <w:szCs w:val="18"/>
              </w:rPr>
              <w:t xml:space="preserve">Modalidad/tier libres</w:t>
            </w:r>
          </w:p>
        </w:tc>
        <w:tc>
          <w:tcPr>
            <w:tcW w:type="dxa" w:w="4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1D24"/>
                <w:sz w:val="18"/>
                <w:szCs w:val="18"/>
              </w:rPr>
              <w:t xml:space="preserve">Catálogo estructurado real, con precios por tier y planes de suscripción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1D24"/>
                <w:sz w:val="18"/>
                <w:szCs w:val="18"/>
              </w:rPr>
              <w:t xml:space="preserve">Alcance de cliente</w:t>
            </w:r>
          </w:p>
        </w:tc>
        <w:tc>
          <w:tcPr>
            <w:tcW w:type="dxa" w:w="3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1D24"/>
                <w:sz w:val="18"/>
                <w:szCs w:val="18"/>
              </w:rPr>
              <w:t xml:space="preserve">Solo lectura</w:t>
            </w:r>
          </w:p>
        </w:tc>
        <w:tc>
          <w:tcPr>
            <w:tcW w:type="dxa" w:w="4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1D24"/>
                <w:sz w:val="18"/>
                <w:szCs w:val="18"/>
              </w:rPr>
              <w:t xml:space="preserve">Lectura + aceptación + pago en línea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1D24"/>
                <w:sz w:val="18"/>
                <w:szCs w:val="18"/>
              </w:rPr>
              <w:t xml:space="preserve">Ruteo</w:t>
            </w:r>
          </w:p>
        </w:tc>
        <w:tc>
          <w:tcPr>
            <w:tcW w:type="dxa" w:w="3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1D24"/>
                <w:sz w:val="18"/>
                <w:szCs w:val="18"/>
              </w:rPr>
              <w:t xml:space="preserve">Por ruta</w:t>
            </w:r>
          </w:p>
        </w:tc>
        <w:tc>
          <w:tcPr>
            <w:tcW w:type="dxa" w:w="4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1D24"/>
                <w:sz w:val="18"/>
                <w:szCs w:val="18"/>
              </w:rPr>
              <w:t xml:space="preserve">Por subdominio (multi-inquilino) + fallback por ruta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1D24"/>
                <w:sz w:val="18"/>
                <w:szCs w:val="18"/>
              </w:rPr>
              <w:t xml:space="preserve">Alta de usuarios</w:t>
            </w:r>
          </w:p>
        </w:tc>
        <w:tc>
          <w:tcPr>
            <w:tcW w:type="dxa" w:w="3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1D24"/>
                <w:sz w:val="18"/>
                <w:szCs w:val="18"/>
              </w:rPr>
              <w:t xml:space="preserve">No contemplada</w:t>
            </w:r>
          </w:p>
        </w:tc>
        <w:tc>
          <w:tcPr>
            <w:tcW w:type="dxa" w:w="4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1D24"/>
                <w:sz w:val="18"/>
                <w:szCs w:val="18"/>
              </w:rPr>
              <w:t xml:space="preserve">Invitación por correo con activación por token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161D24"/>
        </w:rPr>
        <w:t xml:space="preserve">3. Integración de temas avanzados (temas 16–20)</w:t>
      </w:r>
    </w:p>
    <w:p>
      <w:pPr>
        <w:pStyle w:val="Heading2"/>
        <w:spacing w:after="100" w:before="220"/>
      </w:pPr>
      <w:r>
        <w:rPr>
          <w:b/>
          <w:bCs/>
          <w:color w:val="2F5D8A"/>
        </w:rPr>
        <w:t xml:space="preserve">3.1 Gestión de proyectos avanzada</w:t>
      </w:r>
    </w:p>
    <w:p>
      <w:pPr>
        <w:spacing w:after="120" w:line="276"/>
        <w:jc w:val="both"/>
      </w:pPr>
      <w:r>
        <w:t xml:space="preserve">El proyecto se condujo con una </w:t>
      </w:r>
      <w:r>
        <w:rPr>
          <w:b/>
          <w:bCs/>
          <w:color w:val="161D24"/>
        </w:rPr>
        <w:t xml:space="preserve">metodología ágil por sprints</w:t>
      </w:r>
      <w:r>
        <w:t xml:space="preserve">, con el ciclo diseño → código → prueba funcional → revisión en cada iteración, registrando el avance en el log de desarrollo antes de pasar al siguiente incremento. Se aplicaron prácticas de gestión avanzada: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/>
          <w:bCs/>
          <w:color w:val="161D24"/>
        </w:rPr>
        <w:t xml:space="preserve">Control de cambios</w:t>
      </w:r>
      <w:r>
        <w:t xml:space="preserve">: cada solicitud posterior a la entrega (catálogo, subdominios, invitaciones, pagos) se trató como un incremento acotado, verificado y documentado, en lugar de un refactor masivo.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/>
          <w:bCs/>
          <w:color w:val="161D24"/>
        </w:rPr>
        <w:t xml:space="preserve">Gestión de riesgos y contingencias</w:t>
      </w:r>
      <w:r>
        <w:t xml:space="preserve">: ante bloqueos del entorno (Prisma y fuentes de Google inalcanzables) se tomaron desviaciones documentadas que preservaron el modelo y la funcionalidad.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/>
          <w:bCs/>
          <w:color w:val="161D24"/>
        </w:rPr>
        <w:t xml:space="preserve">Control de versiones</w:t>
      </w:r>
      <w:r>
        <w:t xml:space="preserve">: el código se versiona en un repositorio público de GitHub, y se integró de forma selectiva una rama externa (`fase2`) portando solo lo útil sin regresar el trabajo posterior.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/>
          <w:bCs/>
          <w:color w:val="161D24"/>
        </w:rPr>
        <w:t xml:space="preserve">Gestión de la configuración</w:t>
      </w:r>
      <w:r>
        <w:t xml:space="preserve">: separación estricta de secretos en variables de entorno, con degradación elegante cuando un servicio externo no está configurado.</w:t>
      </w:r>
    </w:p>
    <w:p>
      <w:pPr>
        <w:pStyle w:val="Heading2"/>
        <w:spacing w:after="100" w:before="220"/>
      </w:pPr>
      <w:r>
        <w:rPr>
          <w:b/>
          <w:bCs/>
          <w:color w:val="2F5D8A"/>
        </w:rPr>
        <w:t xml:space="preserve">3.2 Ingeniería de software con inteligencia artificial</w:t>
      </w:r>
    </w:p>
    <w:p>
      <w:pPr>
        <w:spacing w:after="120" w:line="276"/>
        <w:jc w:val="both"/>
      </w:pPr>
      <w:r>
        <w:t xml:space="preserve">El desarrollo se realizó mediante </w:t>
      </w:r>
      <w:r>
        <w:rPr>
          <w:b/>
          <w:bCs/>
          <w:color w:val="161D24"/>
        </w:rPr>
        <w:t xml:space="preserve">programación asistida por un agente de IA</w:t>
      </w:r>
      <w:r>
        <w:t xml:space="preserve"> (Claude Code) actuando como par-programador: generación de código, refactorización, escritura de pruebas y verificación asistida, siempre bajo </w:t>
      </w:r>
      <w:r>
        <w:rPr>
          <w:b/>
          <w:bCs/>
          <w:color w:val="161D24"/>
        </w:rPr>
        <w:t xml:space="preserve">supervisión humana</w:t>
      </w:r>
      <w:r>
        <w:t xml:space="preserve"> que definía objetivos, tomaba las decisiones de negocio y validaba cada resultado. Este proyecto es, por tanto, un caso práctico del tema: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/>
          <w:bCs/>
          <w:color w:val="161D24"/>
        </w:rPr>
        <w:t xml:space="preserve">Aumento de productividad</w:t>
      </w:r>
      <w:r>
        <w:t xml:space="preserve">: funcionalidades completas (pagos, invitaciones, subdominios) implementadas y verificadas en ciclos cortos.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/>
          <w:bCs/>
          <w:color w:val="161D24"/>
        </w:rPr>
        <w:t xml:space="preserve">Calidad asistida</w:t>
      </w:r>
      <w:r>
        <w:t xml:space="preserve">: verificación de tipos (`tsc`), pruebas HTTP reproducibles y revisiones de código continuas como parte del flujo.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/>
          <w:bCs/>
          <w:color w:val="161D24"/>
        </w:rPr>
        <w:t xml:space="preserve">Límites y supervisión</w:t>
      </w:r>
      <w:r>
        <w:t xml:space="preserve">: las decisiones de negocio (montos a cobrar, modelo de subdominio, manejo de credenciales) las tomó la persona; la IA no maneja claves secretas ni ejecuta acciones irreversibles sin confirmación. La verificación humana en un navegador real fue insustituible para la QA visual.</w:t>
      </w:r>
    </w:p>
    <w:p>
      <w:pPr>
        <w:spacing w:after="120" w:line="276"/>
        <w:jc w:val="both"/>
      </w:pPr>
      <w:r>
        <w:t xml:space="preserve">Como línea de producto a futuro, la misma base habilita </w:t>
      </w:r>
      <w:r>
        <w:rPr>
          <w:b/>
          <w:bCs/>
          <w:color w:val="161D24"/>
        </w:rPr>
        <w:t xml:space="preserve">funciones de IA orientadas al usuario</w:t>
      </w:r>
      <w:r>
        <w:t xml:space="preserve"> (p. ej. asistentes de soporte al cliente o generación asistida de cotizaciones), que se contemplan en el roadmap.</w:t>
      </w:r>
    </w:p>
    <w:p>
      <w:pPr>
        <w:pStyle w:val="Heading2"/>
        <w:spacing w:after="100" w:before="220"/>
      </w:pPr>
      <w:r>
        <w:rPr>
          <w:b/>
          <w:bCs/>
          <w:color w:val="2F5D8A"/>
        </w:rPr>
        <w:t xml:space="preserve">3.3 Tendencias futuras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/>
          <w:bCs/>
          <w:color w:val="161D24"/>
        </w:rPr>
        <w:t xml:space="preserve">Arquitectura multi-inquilino</w:t>
      </w:r>
      <w:r>
        <w:t xml:space="preserve"> por subdominio, agnóstica al dominio, como base para escalar a muchos clientes sin rediseño.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/>
          <w:bCs/>
          <w:color w:val="161D24"/>
        </w:rPr>
        <w:t xml:space="preserve">Serverless / edge y bases gestionadas</w:t>
      </w:r>
      <w:r>
        <w:t xml:space="preserve">: ruta de evolución de SQLite en volumen hacia Turso/Postgres si el volumen de datos lo exige.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/>
          <w:bCs/>
          <w:color w:val="161D24"/>
        </w:rPr>
        <w:t xml:space="preserve">Integración fintech</w:t>
      </w:r>
      <w:r>
        <w:t xml:space="preserve">: pagos con tarjeta vía pasarela hospedada (Stripe), sin que los datos de tarjeta toquen el servidor (cumplimiento PCI simplificado).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/>
          <w:bCs/>
          <w:color w:val="161D24"/>
        </w:rPr>
        <w:t xml:space="preserve">Correo transaccional</w:t>
      </w:r>
      <w:r>
        <w:t xml:space="preserve"> para onboarding y notificaciones, con remitente verificado en el dominio propio.</w:t>
      </w:r>
    </w:p>
    <w:p>
      <w:pPr>
        <w:pStyle w:val="Heading1"/>
        <w:spacing w:after="140" w:before="320"/>
      </w:pPr>
      <w:r>
        <w:rPr>
          <w:b/>
          <w:bCs/>
          <w:color w:val="161D24"/>
        </w:rPr>
        <w:t xml:space="preserve">4. Desarrollo y codificación</w:t>
      </w:r>
    </w:p>
    <w:p>
      <w:pPr>
        <w:pStyle w:val="Heading2"/>
        <w:spacing w:after="100" w:before="220"/>
      </w:pPr>
      <w:r>
        <w:rPr>
          <w:b/>
          <w:bCs/>
          <w:color w:val="2F5D8A"/>
        </w:rPr>
        <w:t xml:space="preserve">4.1 Arquitectura y stack</w:t>
      </w:r>
    </w:p>
    <w:p>
      <w:pPr>
        <w:spacing w:after="120" w:line="276"/>
        <w:jc w:val="both"/>
      </w:pPr>
      <w:r>
        <w:t xml:space="preserve">Aplicación </w:t>
      </w:r>
      <w:r>
        <w:rPr>
          <w:b/>
          <w:bCs/>
          <w:color w:val="161D24"/>
        </w:rPr>
        <w:t xml:space="preserve">Next.js 16</w:t>
      </w:r>
      <w:r>
        <w:t xml:space="preserve"> con App Router: renderizado en servidor (Server Components), mutaciones mediante </w:t>
      </w:r>
      <w:r>
        <w:rPr>
          <w:b/>
          <w:bCs/>
          <w:color w:val="161D24"/>
        </w:rPr>
        <w:t xml:space="preserve">Server Actions</w:t>
      </w:r>
      <w:r>
        <w:t xml:space="preserve"> (sin necesidad de una capa de API separada para la mayoría de operaciones) y protección de rutas en `src/proxy.ts` (la convención renombrada de middleware en Next.js 16, que corre en runtime Node y puede consultar la base de datos). La capa de datos es una </w:t>
      </w:r>
      <w:r>
        <w:rPr>
          <w:b/>
          <w:bCs/>
          <w:color w:val="161D24"/>
        </w:rPr>
        <w:t xml:space="preserve">capa de repositorio delgada</w:t>
      </w:r>
      <w:r>
        <w:t xml:space="preserve"> por entidad sobre `node:sqlite`, sin ORM.</w:t>
      </w:r>
    </w:p>
    <w:p>
      <w:pPr>
        <w:pStyle w:val="Heading2"/>
        <w:spacing w:after="100" w:before="220"/>
      </w:pPr>
      <w:r>
        <w:rPr>
          <w:b/>
          <w:bCs/>
          <w:color w:val="2F5D8A"/>
        </w:rPr>
        <w:t xml:space="preserve">4.2 Modelo de datos</w:t>
      </w:r>
    </w:p>
    <w:tbl>
      <w:tblPr>
        <w:tblW w:type="dxa" w:w="9360"/>
        <w:tblBorders>
          <w:top w:val="single" w:color="E1E6E9" w:sz="4"/>
          <w:left w:val="single" w:color="E1E6E9" w:sz="4"/>
          <w:bottom w:val="single" w:color="E1E6E9" w:sz="4"/>
          <w:right w:val="single" w:color="E1E6E9" w:sz="4"/>
          <w:insideH w:val="single" w:color="E1E6E9" w:sz="4"/>
          <w:insideV w:val="single" w:color="E1E6E9" w:sz="4"/>
        </w:tblBorders>
      </w:tblPr>
      <w:tblGrid>
        <w:gridCol w:w="1500"/>
        <w:gridCol w:w="4860"/>
        <w:gridCol w:w="3000"/>
      </w:tblGrid>
      <w:tr>
        <w:trPr>
          <w:tblHeader/>
        </w:trPr>
        <w:tc>
          <w:tcPr>
            <w:tcW w:type="dxa" w:w="1500"/>
            <w:shd w:fill="161D2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Tabla</w:t>
            </w:r>
          </w:p>
        </w:tc>
        <w:tc>
          <w:tcPr>
            <w:tcW w:type="dxa" w:w="4860"/>
            <w:shd w:fill="161D2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Campos clave</w:t>
            </w:r>
          </w:p>
        </w:tc>
        <w:tc>
          <w:tcPr>
            <w:tcW w:type="dxa" w:w="3000"/>
            <w:shd w:fill="161D2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1D24"/>
                <w:sz w:val="18"/>
                <w:szCs w:val="18"/>
              </w:rPr>
              <w:t xml:space="preserve">clients</w:t>
            </w:r>
          </w:p>
        </w:tc>
        <w:tc>
          <w:tcPr>
            <w:tcW w:type="dxa" w:w="4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1D24"/>
                <w:sz w:val="18"/>
                <w:szCs w:val="18"/>
              </w:rPr>
              <w:t xml:space="preserve">name, company, contact_email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1D24"/>
                <w:sz w:val="18"/>
                <w:szCs w:val="18"/>
              </w:rPr>
              <w:t xml:space="preserve">Negocio del cliente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1D24"/>
                <w:sz w:val="18"/>
                <w:szCs w:val="18"/>
              </w:rPr>
              <w:t xml:space="preserve">users</w:t>
            </w:r>
          </w:p>
        </w:tc>
        <w:tc>
          <w:tcPr>
            <w:tcW w:type="dxa" w:w="4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1D24"/>
                <w:sz w:val="18"/>
                <w:szCs w:val="18"/>
              </w:rPr>
              <w:t xml:space="preserve">email, password_hash, role, client_id, must_change_password, invite_token, invite_expires_at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1D24"/>
                <w:sz w:val="18"/>
                <w:szCs w:val="18"/>
              </w:rPr>
              <w:t xml:space="preserve">Cuentas (ADMIN/CLIENT) y alta por invitación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1D24"/>
                <w:sz w:val="18"/>
                <w:szCs w:val="18"/>
              </w:rPr>
              <w:t xml:space="preserve">projects</w:t>
            </w:r>
          </w:p>
        </w:tc>
        <w:tc>
          <w:tcPr>
            <w:tcW w:type="dxa" w:w="4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1D24"/>
                <w:sz w:val="18"/>
                <w:szCs w:val="18"/>
              </w:rPr>
              <w:t xml:space="preserve">client_id, name, modality, tier, status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1D24"/>
                <w:sz w:val="18"/>
                <w:szCs w:val="18"/>
              </w:rPr>
              <w:t xml:space="preserve">Proyectos del cliente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1D24"/>
                <w:sz w:val="18"/>
                <w:szCs w:val="18"/>
              </w:rPr>
              <w:t xml:space="preserve">milestones</w:t>
            </w:r>
          </w:p>
        </w:tc>
        <w:tc>
          <w:tcPr>
            <w:tcW w:type="dxa" w:w="4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1D24"/>
                <w:sz w:val="18"/>
                <w:szCs w:val="18"/>
              </w:rPr>
              <w:t xml:space="preserve">project_id, title, status, order_index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1D24"/>
                <w:sz w:val="18"/>
                <w:szCs w:val="18"/>
              </w:rPr>
              <w:t xml:space="preserve">Hitos y avance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1D24"/>
                <w:sz w:val="18"/>
                <w:szCs w:val="18"/>
              </w:rPr>
              <w:t xml:space="preserve">quotations</w:t>
            </w:r>
          </w:p>
        </w:tc>
        <w:tc>
          <w:tcPr>
            <w:tcW w:type="dxa" w:w="4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1D24"/>
                <w:sz w:val="18"/>
                <w:szCs w:val="18"/>
              </w:rPr>
              <w:t xml:space="preserve">service_type, service_tier, precios, accepted_modality, accepted_plan, stripe_session_id, paid_at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1D24"/>
                <w:sz w:val="18"/>
                <w:szCs w:val="18"/>
              </w:rPr>
              <w:t xml:space="preserve">Cotizaciones de catálogo, aceptación y pago</w:t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color w:val="2F5D8A"/>
        </w:rPr>
        <w:t xml:space="preserve">4.3 Funcionalidades implementadas</w:t>
      </w:r>
    </w:p>
    <w:tbl>
      <w:tblPr>
        <w:tblW w:type="dxa" w:w="9360"/>
        <w:tblBorders>
          <w:top w:val="single" w:color="E1E6E9" w:sz="4"/>
          <w:left w:val="single" w:color="E1E6E9" w:sz="4"/>
          <w:bottom w:val="single" w:color="E1E6E9" w:sz="4"/>
          <w:right w:val="single" w:color="E1E6E9" w:sz="4"/>
          <w:insideH w:val="single" w:color="E1E6E9" w:sz="4"/>
          <w:insideV w:val="single" w:color="E1E6E9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161D2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type="dxa" w:w="6960"/>
            <w:shd w:fill="161D2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1D24"/>
                <w:sz w:val="18"/>
                <w:szCs w:val="18"/>
              </w:rPr>
              <w:t xml:space="preserve">Autenticación y roles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1D24"/>
                <w:sz w:val="18"/>
                <w:szCs w:val="18"/>
              </w:rPr>
              <w:t xml:space="preserve">Auth.js v5, credenciales + JWT, bcrypt; aislamiento estricto: cada cliente solo ve sus datos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1D24"/>
                <w:sz w:val="18"/>
                <w:szCs w:val="18"/>
              </w:rPr>
              <w:t xml:space="preserve">Panel de administrador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1D24"/>
                <w:sz w:val="18"/>
                <w:szCs w:val="18"/>
              </w:rPr>
              <w:t xml:space="preserve">Gestión de clientes, proyectos, hitos y cotizaciones; avance de estados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1D24"/>
                <w:sz w:val="18"/>
                <w:szCs w:val="18"/>
              </w:rPr>
              <w:t xml:space="preserve">Cotizaciones de catálogo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1D24"/>
                <w:sz w:val="18"/>
                <w:szCs w:val="18"/>
              </w:rPr>
              <w:t xml:space="preserve">3 servicios × 3 niveles, precios por tier, 4 planes de suscripción calculados; documento estilo PDF y descarga PDF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1D24"/>
                <w:sz w:val="18"/>
                <w:szCs w:val="18"/>
              </w:rPr>
              <w:t xml:space="preserve">Base mensual por tier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1D24"/>
                <w:sz w:val="18"/>
                <w:szCs w:val="18"/>
              </w:rPr>
              <w:t xml:space="preserve">La tarifa de suscripción escala con el nivel elegido, derivada del catálogo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1D24"/>
                <w:sz w:val="18"/>
                <w:szCs w:val="18"/>
              </w:rPr>
              <w:t xml:space="preserve">Portal del cliente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1D24"/>
                <w:sz w:val="18"/>
                <w:szCs w:val="18"/>
              </w:rPr>
              <w:t xml:space="preserve">Panel de solo lectura + aceptación de cotización (modalidad y plan) por el propio cliente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1D24"/>
                <w:sz w:val="18"/>
                <w:szCs w:val="18"/>
              </w:rPr>
              <w:t xml:space="preserve">Ruteo por subdominio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1D24"/>
                <w:sz w:val="18"/>
                <w:szCs w:val="18"/>
              </w:rPr>
              <w:t xml:space="preserve">admin.* / cliente.*, agnóstico al dominio, con fronteras de acceso por rol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1D24"/>
                <w:sz w:val="18"/>
                <w:szCs w:val="18"/>
              </w:rPr>
              <w:t xml:space="preserve">Alta por invitación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1D24"/>
                <w:sz w:val="18"/>
                <w:szCs w:val="18"/>
              </w:rPr>
              <w:t xml:space="preserve">El admin invita con el correo; cuenta creada al instante; el cliente activa y define su contraseña por enlace (token con caducidad)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1D24"/>
                <w:sz w:val="18"/>
                <w:szCs w:val="18"/>
              </w:rPr>
              <w:t xml:space="preserve">Pagos con Stripe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1D24"/>
                <w:sz w:val="18"/>
                <w:szCs w:val="18"/>
              </w:rPr>
              <w:t xml:space="preserve">Checkout hospedado; anticipo del proyecto o cuota+primer periodo de la suscripción; confirmación por webhook; recibo por correo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1D24"/>
                <w:sz w:val="18"/>
                <w:szCs w:val="18"/>
              </w:rPr>
              <w:t xml:space="preserve">Identidad y móvil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1D24"/>
                <w:sz w:val="18"/>
                <w:szCs w:val="18"/>
              </w:rPr>
              <w:t xml:space="preserve">Paleta e tipografía de marca; esquinas nítidas; tablas responsivas y verificación a 375px</w:t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color w:val="2F5D8A"/>
        </w:rPr>
        <w:t xml:space="preserve">4.4 Prácticas de calidad de código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/>
          <w:bCs/>
          <w:color w:val="161D24"/>
        </w:rPr>
        <w:t xml:space="preserve">Verificación de tipos</w:t>
      </w:r>
      <w:r>
        <w:t xml:space="preserve"> con TypeScript estricto (`tsc --noEmit`) en cada cambio.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/>
          <w:bCs/>
          <w:color w:val="161D24"/>
        </w:rPr>
        <w:t xml:space="preserve">Migraciones aditivas idempotentes</w:t>
      </w:r>
      <w:r>
        <w:t xml:space="preserve"> en el esquema (columnas nuevas con guardas), de modo que una base existente se actualiza sin perder datos.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/>
          <w:bCs/>
          <w:color w:val="161D24"/>
        </w:rPr>
        <w:t xml:space="preserve">Separación de responsabilidades</w:t>
      </w:r>
      <w:r>
        <w:t xml:space="preserve">: catálogo, repositorio, componentes de UI y lógica de pago en módulos dedicados.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/>
          <w:bCs/>
          <w:color w:val="161D24"/>
        </w:rPr>
        <w:t xml:space="preserve">Manejo seguro de secretos</w:t>
      </w:r>
      <w:r>
        <w:t xml:space="preserve">: nunca en el código; el asistente no escribe claves secretas.</w:t>
      </w:r>
    </w:p>
    <w:p>
      <w:pPr>
        <w:pStyle w:val="Heading1"/>
        <w:spacing w:after="140" w:before="320"/>
      </w:pPr>
      <w:r>
        <w:rPr>
          <w:b/>
          <w:bCs/>
          <w:color w:val="161D24"/>
        </w:rPr>
        <w:t xml:space="preserve">5. Pruebas exhaustivas</w:t>
      </w:r>
    </w:p>
    <w:p>
      <w:pPr>
        <w:spacing w:after="120" w:line="276"/>
        <w:jc w:val="both"/>
      </w:pPr>
      <w:r>
        <w:t xml:space="preserve">El método principal fue </w:t>
      </w:r>
      <w:r>
        <w:rPr>
          <w:b/>
          <w:bCs/>
          <w:color w:val="161D24"/>
        </w:rPr>
        <w:t xml:space="preserve">pruebas a nivel HTTP</w:t>
      </w:r>
      <w:r>
        <w:t xml:space="preserve"> contra una instancia en ejecución (con `curl` y cookies, ejercitando el endpoint real de Auth.js y las Server Actions), inspección directa del archivo SQLite, y —en esta fase— </w:t>
      </w:r>
      <w:r>
        <w:rPr>
          <w:b/>
          <w:bCs/>
          <w:color w:val="161D24"/>
        </w:rPr>
        <w:t xml:space="preserve">verificación en un navegador real</w:t>
      </w:r>
      <w:r>
        <w:t xml:space="preserve"> para la QA visual y de interacción que antes quedó pendiente.</w:t>
      </w:r>
    </w:p>
    <w:p>
      <w:pPr>
        <w:pStyle w:val="Heading2"/>
        <w:spacing w:after="100" w:before="220"/>
      </w:pPr>
      <w:r>
        <w:rPr>
          <w:b/>
          <w:bCs/>
          <w:color w:val="2F5D8A"/>
        </w:rPr>
        <w:t xml:space="preserve">5.1 Pruebas funcionales</w:t>
      </w:r>
    </w:p>
    <w:tbl>
      <w:tblPr>
        <w:tblW w:type="dxa" w:w="9360"/>
        <w:tblBorders>
          <w:top w:val="single" w:color="E1E6E9" w:sz="4"/>
          <w:left w:val="single" w:color="E1E6E9" w:sz="4"/>
          <w:bottom w:val="single" w:color="E1E6E9" w:sz="4"/>
          <w:right w:val="single" w:color="E1E6E9" w:sz="4"/>
          <w:insideH w:val="single" w:color="E1E6E9" w:sz="4"/>
          <w:insideV w:val="single" w:color="E1E6E9" w:sz="4"/>
        </w:tblBorders>
      </w:tblPr>
      <w:tblGrid>
        <w:gridCol w:w="700"/>
        <w:gridCol w:w="5660"/>
        <w:gridCol w:w="3000"/>
      </w:tblGrid>
      <w:tr>
        <w:trPr>
          <w:tblHeader/>
        </w:trPr>
        <w:tc>
          <w:tcPr>
            <w:tcW w:type="dxa" w:w="700"/>
            <w:shd w:fill="161D2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660"/>
            <w:shd w:fill="161D2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</w:t>
            </w:r>
          </w:p>
        </w:tc>
        <w:tc>
          <w:tcPr>
            <w:tcW w:type="dxa" w:w="3000"/>
            <w:shd w:fill="161D2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1D24"/>
                <w:sz w:val="18"/>
                <w:szCs w:val="18"/>
              </w:rPr>
              <w:t xml:space="preserve">F1</w:t>
            </w:r>
          </w:p>
        </w:tc>
        <w:tc>
          <w:tcPr>
            <w:tcW w:type="dxa" w:w="5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1D24"/>
                <w:sz w:val="18"/>
                <w:szCs w:val="18"/>
              </w:rPr>
              <w:t xml:space="preserve">Login de administrador y de cliente con credenciales válidas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1D24"/>
                <w:sz w:val="18"/>
                <w:szCs w:val="18"/>
              </w:rPr>
              <w:t xml:space="preserve">✅ Sesión con rol y clientId correctos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1D24"/>
                <w:sz w:val="18"/>
                <w:szCs w:val="18"/>
              </w:rPr>
              <w:t xml:space="preserve">F2</w:t>
            </w:r>
          </w:p>
        </w:tc>
        <w:tc>
          <w:tcPr>
            <w:tcW w:type="dxa" w:w="5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1D24"/>
                <w:sz w:val="18"/>
                <w:szCs w:val="18"/>
              </w:rPr>
              <w:t xml:space="preserve">Alta de cliente por Server Action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1D24"/>
                <w:sz w:val="18"/>
                <w:szCs w:val="18"/>
              </w:rPr>
              <w:t xml:space="preserve">✅ Aparece en la lista tras el envío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1D24"/>
                <w:sz w:val="18"/>
                <w:szCs w:val="18"/>
              </w:rPr>
              <w:t xml:space="preserve">F3</w:t>
            </w:r>
          </w:p>
        </w:tc>
        <w:tc>
          <w:tcPr>
            <w:tcW w:type="dxa" w:w="5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1D24"/>
                <w:sz w:val="18"/>
                <w:szCs w:val="18"/>
              </w:rPr>
              <w:t xml:space="preserve">Cliente ve solo sus proyectos y cotizaciones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1D24"/>
                <w:sz w:val="18"/>
                <w:szCs w:val="18"/>
              </w:rPr>
              <w:t xml:space="preserve">✅ Datos acotados a su clientId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1D24"/>
                <w:sz w:val="18"/>
                <w:szCs w:val="18"/>
              </w:rPr>
              <w:t xml:space="preserve">F4</w:t>
            </w:r>
          </w:p>
        </w:tc>
        <w:tc>
          <w:tcPr>
            <w:tcW w:type="dxa" w:w="5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1D24"/>
                <w:sz w:val="18"/>
                <w:szCs w:val="18"/>
              </w:rPr>
              <w:t xml:space="preserve">Cotización calcula total de Proyecto y los 4 planes de suscripción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1D24"/>
                <w:sz w:val="18"/>
                <w:szCs w:val="18"/>
              </w:rPr>
              <w:t xml:space="preserve">✅ Coincide con el catálogo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1D24"/>
                <w:sz w:val="18"/>
                <w:szCs w:val="18"/>
              </w:rPr>
              <w:t xml:space="preserve">F5</w:t>
            </w:r>
          </w:p>
        </w:tc>
        <w:tc>
          <w:tcPr>
            <w:tcW w:type="dxa" w:w="5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1D24"/>
                <w:sz w:val="18"/>
                <w:szCs w:val="18"/>
              </w:rPr>
              <w:t xml:space="preserve">Flujo de nueva cotización en 2 pasos prellenado desde el catálogo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1D24"/>
                <w:sz w:val="18"/>
                <w:szCs w:val="18"/>
              </w:rPr>
              <w:t xml:space="preserve">✅ Título y montos por tier correctos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1D24"/>
                <w:sz w:val="18"/>
                <w:szCs w:val="18"/>
              </w:rPr>
              <w:t xml:space="preserve">F6</w:t>
            </w:r>
          </w:p>
        </w:tc>
        <w:tc>
          <w:tcPr>
            <w:tcW w:type="dxa" w:w="5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1D24"/>
                <w:sz w:val="18"/>
                <w:szCs w:val="18"/>
              </w:rPr>
              <w:t xml:space="preserve">Base mensual de suscripción escala por tier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1D24"/>
                <w:sz w:val="18"/>
                <w:szCs w:val="18"/>
              </w:rPr>
              <w:t xml:space="preserve">✅ LP Esencial $1,500 · Premium $4,500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1D24"/>
                <w:sz w:val="18"/>
                <w:szCs w:val="18"/>
              </w:rPr>
              <w:t xml:space="preserve">F7</w:t>
            </w:r>
          </w:p>
        </w:tc>
        <w:tc>
          <w:tcPr>
            <w:tcW w:type="dxa" w:w="5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1D24"/>
                <w:sz w:val="18"/>
                <w:szCs w:val="18"/>
              </w:rPr>
              <w:t xml:space="preserve">El cliente acepta su cotización (modalidad + plan)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1D24"/>
                <w:sz w:val="18"/>
                <w:szCs w:val="18"/>
              </w:rPr>
              <w:t xml:space="preserve">✅ Estado ACEPTADA con plan; persistido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1D24"/>
                <w:sz w:val="18"/>
                <w:szCs w:val="18"/>
              </w:rPr>
              <w:t xml:space="preserve">F8</w:t>
            </w:r>
          </w:p>
        </w:tc>
        <w:tc>
          <w:tcPr>
            <w:tcW w:type="dxa" w:w="5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1D24"/>
                <w:sz w:val="18"/>
                <w:szCs w:val="18"/>
              </w:rPr>
              <w:t xml:space="preserve">Alta por invitación: activación por token define contraseña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1D24"/>
                <w:sz w:val="18"/>
                <w:szCs w:val="18"/>
              </w:rPr>
              <w:t xml:space="preserve">✅ Cuenta activa y sesión iniciada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1D24"/>
                <w:sz w:val="18"/>
                <w:szCs w:val="18"/>
              </w:rPr>
              <w:t xml:space="preserve">F9</w:t>
            </w:r>
          </w:p>
        </w:tc>
        <w:tc>
          <w:tcPr>
            <w:tcW w:type="dxa" w:w="5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1D24"/>
                <w:sz w:val="18"/>
                <w:szCs w:val="18"/>
              </w:rPr>
              <w:t xml:space="preserve">Compilación y arranque sin errores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1D24"/>
                <w:sz w:val="18"/>
                <w:szCs w:val="18"/>
              </w:rPr>
              <w:t xml:space="preserve">✅ tsc limpio; sin errores de consola</w:t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color w:val="2F5D8A"/>
        </w:rPr>
        <w:t xml:space="preserve">5.2 Pruebas de seguridad</w:t>
      </w:r>
    </w:p>
    <w:tbl>
      <w:tblPr>
        <w:tblW w:type="dxa" w:w="9360"/>
        <w:tblBorders>
          <w:top w:val="single" w:color="E1E6E9" w:sz="4"/>
          <w:left w:val="single" w:color="E1E6E9" w:sz="4"/>
          <w:bottom w:val="single" w:color="E1E6E9" w:sz="4"/>
          <w:right w:val="single" w:color="E1E6E9" w:sz="4"/>
          <w:insideH w:val="single" w:color="E1E6E9" w:sz="4"/>
          <w:insideV w:val="single" w:color="E1E6E9" w:sz="4"/>
        </w:tblBorders>
      </w:tblPr>
      <w:tblGrid>
        <w:gridCol w:w="700"/>
        <w:gridCol w:w="5660"/>
        <w:gridCol w:w="3000"/>
      </w:tblGrid>
      <w:tr>
        <w:trPr>
          <w:tblHeader/>
        </w:trPr>
        <w:tc>
          <w:tcPr>
            <w:tcW w:type="dxa" w:w="700"/>
            <w:shd w:fill="161D2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660"/>
            <w:shd w:fill="161D2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</w:t>
            </w:r>
          </w:p>
        </w:tc>
        <w:tc>
          <w:tcPr>
            <w:tcW w:type="dxa" w:w="3000"/>
            <w:shd w:fill="161D2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1D24"/>
                <w:sz w:val="18"/>
                <w:szCs w:val="18"/>
              </w:rPr>
              <w:t xml:space="preserve">S1</w:t>
            </w:r>
          </w:p>
        </w:tc>
        <w:tc>
          <w:tcPr>
            <w:tcW w:type="dxa" w:w="5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1D24"/>
                <w:sz w:val="18"/>
                <w:szCs w:val="18"/>
              </w:rPr>
              <w:t xml:space="preserve">Petición sin sesión a /admin y /portal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1D24"/>
                <w:sz w:val="18"/>
                <w:szCs w:val="18"/>
              </w:rPr>
              <w:t xml:space="preserve">✅ Redirige a /login (307)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1D24"/>
                <w:sz w:val="18"/>
                <w:szCs w:val="18"/>
              </w:rPr>
              <w:t xml:space="preserve">S2</w:t>
            </w:r>
          </w:p>
        </w:tc>
        <w:tc>
          <w:tcPr>
            <w:tcW w:type="dxa" w:w="5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1D24"/>
                <w:sz w:val="18"/>
                <w:szCs w:val="18"/>
              </w:rPr>
              <w:t xml:space="preserve">Cliente autenticado intenta /admin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1D24"/>
                <w:sz w:val="18"/>
                <w:szCs w:val="18"/>
              </w:rPr>
              <w:t xml:space="preserve">✅ Redirige a /portal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1D24"/>
                <w:sz w:val="18"/>
                <w:szCs w:val="18"/>
              </w:rPr>
              <w:t xml:space="preserve">S3</w:t>
            </w:r>
          </w:p>
        </w:tc>
        <w:tc>
          <w:tcPr>
            <w:tcW w:type="dxa" w:w="5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1D24"/>
                <w:sz w:val="18"/>
                <w:szCs w:val="18"/>
              </w:rPr>
              <w:t xml:space="preserve">Cliente A no ve datos de Cliente B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1D24"/>
                <w:sz w:val="18"/>
                <w:szCs w:val="18"/>
              </w:rPr>
              <w:t xml:space="preserve">✅ 0 coincidencias en ambos sentidos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1D24"/>
                <w:sz w:val="18"/>
                <w:szCs w:val="18"/>
              </w:rPr>
              <w:t xml:space="preserve">S4</w:t>
            </w:r>
          </w:p>
        </w:tc>
        <w:tc>
          <w:tcPr>
            <w:tcW w:type="dxa" w:w="5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1D24"/>
                <w:sz w:val="18"/>
                <w:szCs w:val="18"/>
              </w:rPr>
              <w:t xml:space="preserve">Contraseñas hasheadas (bcrypt), no en claro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1D24"/>
                <w:sz w:val="18"/>
                <w:szCs w:val="18"/>
              </w:rPr>
              <w:t xml:space="preserve">✅ No aparecen en el archivo .db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1D24"/>
                <w:sz w:val="18"/>
                <w:szCs w:val="18"/>
              </w:rPr>
              <w:t xml:space="preserve">S5</w:t>
            </w:r>
          </w:p>
        </w:tc>
        <w:tc>
          <w:tcPr>
            <w:tcW w:type="dxa" w:w="5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1D24"/>
                <w:sz w:val="18"/>
                <w:szCs w:val="18"/>
              </w:rPr>
              <w:t xml:space="preserve">Frontera por subdominio: rol equivocado en admin.*/cliente.*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1D24"/>
                <w:sz w:val="18"/>
                <w:szCs w:val="18"/>
              </w:rPr>
              <w:t xml:space="preserve">✅ Redirige a /login (sin bucles)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1D24"/>
                <w:sz w:val="18"/>
                <w:szCs w:val="18"/>
              </w:rPr>
              <w:t xml:space="preserve">S6</w:t>
            </w:r>
          </w:p>
        </w:tc>
        <w:tc>
          <w:tcPr>
            <w:tcW w:type="dxa" w:w="5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1D24"/>
                <w:sz w:val="18"/>
                <w:szCs w:val="18"/>
              </w:rPr>
              <w:t xml:space="preserve">Cliente no abre cotización ajena por URL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1D24"/>
                <w:sz w:val="18"/>
                <w:szCs w:val="18"/>
              </w:rPr>
              <w:t xml:space="preserve">✅ 404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1D24"/>
                <w:sz w:val="18"/>
                <w:szCs w:val="18"/>
              </w:rPr>
              <w:t xml:space="preserve">S7</w:t>
            </w:r>
          </w:p>
        </w:tc>
        <w:tc>
          <w:tcPr>
            <w:tcW w:type="dxa" w:w="5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1D24"/>
                <w:sz w:val="18"/>
                <w:szCs w:val="18"/>
              </w:rPr>
              <w:t xml:space="preserve">Cambio forzado / activación validados en el servidor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1D24"/>
                <w:sz w:val="18"/>
                <w:szCs w:val="18"/>
              </w:rPr>
              <w:t xml:space="preserve">✅ Token vigente y propiedad revalidados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1D24"/>
                <w:sz w:val="18"/>
                <w:szCs w:val="18"/>
              </w:rPr>
              <w:t xml:space="preserve">S8</w:t>
            </w:r>
          </w:p>
        </w:tc>
        <w:tc>
          <w:tcPr>
            <w:tcW w:type="dxa" w:w="5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1D24"/>
                <w:sz w:val="18"/>
                <w:szCs w:val="18"/>
              </w:rPr>
              <w:t xml:space="preserve">Webhook de Stripe sin firma/sin configurar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1D24"/>
                <w:sz w:val="18"/>
                <w:szCs w:val="18"/>
              </w:rPr>
              <w:t xml:space="preserve">✅ Rechazado (400/503); marca PAGADA solo con firma válida</w:t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color w:val="2F5D8A"/>
        </w:rPr>
        <w:t xml:space="preserve">5.3 Pruebas de usabilidad y responsivas</w:t>
      </w:r>
    </w:p>
    <w:p>
      <w:pPr>
        <w:spacing w:after="120" w:line="276"/>
        <w:jc w:val="both"/>
      </w:pPr>
      <w:r>
        <w:t xml:space="preserve">Se verificó en un navegador real el recorrido completo (login, panel de administrador, ficha de cliente, documento de cotización y portal del cliente) a </w:t>
      </w:r>
      <w:r>
        <w:rPr>
          <w:b/>
          <w:bCs/>
          <w:color w:val="161D24"/>
        </w:rPr>
        <w:t xml:space="preserve">375px (móvil)</w:t>
      </w:r>
      <w:r>
        <w:t xml:space="preserve"> y en escritorio. Las tablas se rediseñaron a un patrón responsivo (se apilan en móvil, tabla en escritorio) y se confirmó </w:t>
      </w:r>
      <w:r>
        <w:rPr>
          <w:b/>
          <w:bCs/>
          <w:color w:val="161D24"/>
        </w:rPr>
        <w:t xml:space="preserve">cero desbordamiento horizontal</w:t>
      </w:r>
      <w:r>
        <w:t xml:space="preserve"> midiendo los rectángulos reales. La QA visual que en la entrega anterior quedó como pendiente humano queda así cerrada.</w:t>
      </w:r>
    </w:p>
    <w:p>
      <w:pPr>
        <w:pStyle w:val="Heading2"/>
        <w:spacing w:after="100" w:before="220"/>
      </w:pPr>
      <w:r>
        <w:rPr>
          <w:b/>
          <w:bCs/>
          <w:color w:val="2F5D8A"/>
        </w:rPr>
        <w:t xml:space="preserve">5.4 Pruebas de rendimiento</w:t>
      </w:r>
    </w:p>
    <w:p>
      <w:pPr>
        <w:spacing w:after="120" w:line="276"/>
        <w:jc w:val="both"/>
      </w:pPr>
      <w:r>
        <w:t xml:space="preserve">Con ~20 proyectos/cotizaciones sembrados, tras la compilación inicial de desarrollo (~2 s, una sola vez), las peticiones promediaron </w:t>
      </w:r>
      <w:r>
        <w:rPr>
          <w:b/>
          <w:bCs/>
          <w:color w:val="161D24"/>
        </w:rPr>
        <w:t xml:space="preserve">~100–650 ms</w:t>
      </w:r>
      <w:r>
        <w:t xml:space="preserve">. En producción (`next start`) sería más rápido al no haber compilación bajo demanda.</w:t>
      </w:r>
    </w:p>
    <w:p>
      <w:pPr>
        <w:pStyle w:val="Heading2"/>
        <w:spacing w:after="100" w:before="220"/>
      </w:pPr>
      <w:r>
        <w:rPr>
          <w:b/>
          <w:bCs/>
          <w:color w:val="2F5D8A"/>
        </w:rPr>
        <w:t xml:space="preserve">5.5 Acciones correctivas registradas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/>
          <w:bCs/>
          <w:color w:val="161D24"/>
        </w:rPr>
        <w:t xml:space="preserve">Tarjeta oscura en blanco</w:t>
      </w:r>
      <w:r>
        <w:t xml:space="preserve">: el componente Card forzaba `bg-white` y ganaba sobre el fondo pasado; se resolvió con el modificador de importancia de Tailwind (`!`).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/>
          <w:bCs/>
          <w:color w:val="161D24"/>
        </w:rPr>
        <w:t xml:space="preserve">Server Actions con closures</w:t>
      </w:r>
      <w:r>
        <w:t xml:space="preserve">: la verificación por curl del envío de la cotización no era práctica; se sustituyó por prueba de la función de repositorio y verificación en navegador real.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/>
          <w:bCs/>
          <w:color w:val="161D24"/>
        </w:rPr>
        <w:t xml:space="preserve">Preservación del plan al pagar</w:t>
      </w:r>
      <w:r>
        <w:t xml:space="preserve">: se detectó y corrigió que marcar como pagada no debía borrar el plan de suscripción aceptado.</w:t>
      </w:r>
    </w:p>
    <w:p>
      <w:pPr>
        <w:pStyle w:val="Heading1"/>
        <w:spacing w:after="140" w:before="320"/>
      </w:pPr>
      <w:r>
        <w:rPr>
          <w:b/>
          <w:bCs/>
          <w:color w:val="161D24"/>
        </w:rPr>
        <w:t xml:space="preserve">6. Preparación para el despliegue</w:t>
      </w:r>
    </w:p>
    <w:p>
      <w:pPr>
        <w:pStyle w:val="Heading2"/>
        <w:spacing w:after="100" w:before="220"/>
      </w:pPr>
      <w:r>
        <w:rPr>
          <w:b/>
          <w:bCs/>
          <w:color w:val="2F5D8A"/>
        </w:rPr>
        <w:t xml:space="preserve">6.1 Plan de despliegue (Railway)</w:t>
      </w:r>
    </w:p>
    <w:p>
      <w:pPr>
        <w:spacing w:after="120" w:line="276"/>
        <w:jc w:val="both"/>
      </w:pPr>
      <w:r>
        <w:t xml:space="preserve">El destino es </w:t>
      </w:r>
      <w:r>
        <w:rPr>
          <w:b/>
          <w:bCs/>
          <w:color w:val="161D24"/>
        </w:rPr>
        <w:t xml:space="preserve">Railway</w:t>
      </w:r>
      <w:r>
        <w:t xml:space="preserve"> con una única instancia (SQLite es de un solo escritor) y un </w:t>
      </w:r>
      <w:r>
        <w:rPr>
          <w:b/>
          <w:bCs/>
          <w:color w:val="161D24"/>
        </w:rPr>
        <w:t xml:space="preserve">volumen persistente</w:t>
      </w:r>
      <w:r>
        <w:t xml:space="preserve"> montado, apuntado con la variable `DATA_DIR` (p. ej. `/data`). El sitio de marketing y el portal se despliegan por separado, apuntando a la misma zona DNS de `softsolutions.mx`.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/>
          <w:bCs/>
          <w:color w:val="161D24"/>
        </w:rPr>
        <w:t xml:space="preserve">DNS</w:t>
      </w:r>
      <w:r>
        <w:t xml:space="preserve">: `admin.softsolutions.mx` y `cliente.softsolutions.mx` con registros A/CNAME a la misma app; el apex/`www` para el sitio de marketing, aparte. No se requiere comodín.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/>
          <w:bCs/>
          <w:color w:val="161D24"/>
        </w:rPr>
        <w:t xml:space="preserve">TLS</w:t>
      </w:r>
      <w:r>
        <w:t xml:space="preserve">: certificado automático por hostname (Railway lo provee).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/>
          <w:bCs/>
          <w:color w:val="161D24"/>
        </w:rPr>
        <w:t xml:space="preserve">Ruteo agnóstico al dominio</w:t>
      </w:r>
      <w:r>
        <w:t xml:space="preserve">: no fue necesario cambiar código para el `.mx`; el mapeo mira solo la primera etiqueta del host.</w:t>
      </w:r>
    </w:p>
    <w:p>
      <w:pPr>
        <w:pStyle w:val="Heading2"/>
        <w:spacing w:after="100" w:before="220"/>
      </w:pPr>
      <w:r>
        <w:rPr>
          <w:b/>
          <w:bCs/>
          <w:color w:val="2F5D8A"/>
        </w:rPr>
        <w:t xml:space="preserve">6.2 Variables de entorno</w:t>
      </w:r>
    </w:p>
    <w:tbl>
      <w:tblPr>
        <w:tblW w:type="dxa" w:w="9360"/>
        <w:tblBorders>
          <w:top w:val="single" w:color="E1E6E9" w:sz="4"/>
          <w:left w:val="single" w:color="E1E6E9" w:sz="4"/>
          <w:bottom w:val="single" w:color="E1E6E9" w:sz="4"/>
          <w:right w:val="single" w:color="E1E6E9" w:sz="4"/>
          <w:insideH w:val="single" w:color="E1E6E9" w:sz="4"/>
          <w:insideV w:val="single" w:color="E1E6E9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161D2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6160"/>
            <w:shd w:fill="161D2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Uso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1D24"/>
                <w:sz w:val="18"/>
                <w:szCs w:val="18"/>
              </w:rPr>
              <w:t xml:space="preserve">AUTH_SECRET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1D24"/>
                <w:sz w:val="18"/>
                <w:szCs w:val="18"/>
              </w:rPr>
              <w:t xml:space="preserve">Secreto de sesión (obligatorio en producción)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1D24"/>
                <w:sz w:val="18"/>
                <w:szCs w:val="18"/>
              </w:rPr>
              <w:t xml:space="preserve">AUTH_TRUST_HOST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1D24"/>
                <w:sz w:val="18"/>
                <w:szCs w:val="18"/>
              </w:rPr>
              <w:t xml:space="preserve">Confianza en el host (multi-subdominio)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1D24"/>
                <w:sz w:val="18"/>
                <w:szCs w:val="18"/>
              </w:rPr>
              <w:t xml:space="preserve">DATA_DIR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1D24"/>
                <w:sz w:val="18"/>
                <w:szCs w:val="18"/>
              </w:rPr>
              <w:t xml:space="preserve">Ruta del volumen persistente de SQLite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1D24"/>
                <w:sz w:val="18"/>
                <w:szCs w:val="18"/>
              </w:rPr>
              <w:t xml:space="preserve">ADMIN_EMAIL / ADMIN_PASSWORD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1D24"/>
                <w:sz w:val="18"/>
                <w:szCs w:val="18"/>
              </w:rPr>
              <w:t xml:space="preserve">Admin inicial creado automáticamente al arrancar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1D24"/>
                <w:sz w:val="18"/>
                <w:szCs w:val="18"/>
              </w:rPr>
              <w:t xml:space="preserve">ENABLE_DEMO_SEED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1D24"/>
                <w:sz w:val="18"/>
                <w:szCs w:val="18"/>
              </w:rPr>
              <w:t xml:space="preserve">"false" en producción para no mezclar datos demo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1D24"/>
                <w:sz w:val="18"/>
                <w:szCs w:val="18"/>
              </w:rPr>
              <w:t xml:space="preserve">STRIPE_SECRET_KEY / STRIPE_WEBHOOK_SECRET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1D24"/>
                <w:sz w:val="18"/>
                <w:szCs w:val="18"/>
              </w:rPr>
              <w:t xml:space="preserve">Pagos y confirmación por webhook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1D24"/>
                <w:sz w:val="18"/>
                <w:szCs w:val="18"/>
              </w:rPr>
              <w:t xml:space="preserve">RESEND_API_KEY / EMAIL_FROM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1D24"/>
                <w:sz w:val="18"/>
                <w:szCs w:val="18"/>
              </w:rPr>
              <w:t xml:space="preserve">Envío de invitaciones por correo (opcional; degrada a link en pantalla)</w:t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color w:val="2F5D8A"/>
        </w:rPr>
        <w:t xml:space="preserve">6.3 Pruebas de pre-despliegue</w:t>
      </w:r>
    </w:p>
    <w:p>
      <w:pPr>
        <w:spacing w:after="120" w:line="276"/>
        <w:jc w:val="both"/>
      </w:pPr>
      <w:r>
        <w:t xml:space="preserve">Antes de producción: cambiar `AUTH_SECRET`, poner `ENABLE_DEMO_SEED=false`, cargar las claves reales, configurar el endpoint del webhook de Stripe y el remitente verificado de Resend, y validar el recorrido crítico (login, invitación → activación, aceptación y pago) en el entorno de destino. En desarrollo, el webhook se prueba con `stripe listen` reenviando a `/api/stripe/webhook`.</w:t>
      </w:r>
    </w:p>
    <w:p>
      <w:pPr>
        <w:pStyle w:val="Heading1"/>
        <w:spacing w:after="140" w:before="320"/>
      </w:pPr>
      <w:r>
        <w:rPr>
          <w:b/>
          <w:bCs/>
          <w:color w:val="161D24"/>
        </w:rPr>
        <w:t xml:space="preserve">7. Despliegue y mantenimiento</w:t>
      </w:r>
    </w:p>
    <w:p>
      <w:pPr>
        <w:pStyle w:val="Heading2"/>
        <w:spacing w:after="100" w:before="220"/>
      </w:pPr>
      <w:r>
        <w:rPr>
          <w:b/>
          <w:bCs/>
          <w:color w:val="2F5D8A"/>
        </w:rPr>
        <w:t xml:space="preserve">7.1 Procedimiento de despliegue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Conectar el repositorio de GitHub a Railway y desplegar la rama principal.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Montar el volumen y fijar `DATA_DIR`; cargar todas las variables de entorno de producción.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Configurar los subdominios y verificar TLS; configurar el webhook de Stripe apuntando al dominio de producción.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Verificación de humo del recorrido crítico; el admin inicial se crea solo en el primer arranque.</w:t>
      </w:r>
    </w:p>
    <w:p>
      <w:pPr>
        <w:pStyle w:val="Heading2"/>
        <w:spacing w:after="100" w:before="220"/>
      </w:pPr>
      <w:r>
        <w:rPr>
          <w:b/>
          <w:bCs/>
          <w:color w:val="2F5D8A"/>
        </w:rPr>
        <w:t xml:space="preserve">7.2 Plan de mantenimiento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/>
          <w:bCs/>
          <w:color w:val="161D24"/>
        </w:rPr>
        <w:t xml:space="preserve">Respaldos</w:t>
      </w:r>
      <w:r>
        <w:t xml:space="preserve">: copia periódica del archivo SQLite del volumen (y prueba de restauración).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/>
          <w:bCs/>
          <w:color w:val="161D24"/>
        </w:rPr>
        <w:t xml:space="preserve">Actualizaciones</w:t>
      </w:r>
      <w:r>
        <w:t xml:space="preserve">: revisión de dependencias y parches de seguridad; `npm audit` en el flujo.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/>
          <w:bCs/>
          <w:color w:val="161D24"/>
        </w:rPr>
        <w:t xml:space="preserve">Rotación de secretos</w:t>
      </w:r>
      <w:r>
        <w:t xml:space="preserve">: rotar claves si se exponen; nunca compartir claves live en texto.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/>
          <w:bCs/>
          <w:color w:val="161D24"/>
        </w:rPr>
        <w:t xml:space="preserve">Monitoreo e incidencias</w:t>
      </w:r>
      <w:r>
        <w:t xml:space="preserve">: revisar logs de la app y de los webhooks; procedimiento de reversión ante fallos.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/>
          <w:bCs/>
          <w:color w:val="161D24"/>
        </w:rPr>
        <w:t xml:space="preserve">Escalabilidad</w:t>
      </w:r>
      <w:r>
        <w:t xml:space="preserve">: si el volumen de datos crece, migrar SQLite → Turso/Postgres (cambio acotado a la capa de datos).</w:t>
      </w:r>
    </w:p>
    <w:p>
      <w:pPr>
        <w:pStyle w:val="Heading1"/>
        <w:spacing w:after="140" w:before="320"/>
      </w:pPr>
      <w:r>
        <w:rPr>
          <w:b/>
          <w:bCs/>
          <w:color w:val="161D24"/>
        </w:rPr>
        <w:t xml:space="preserve">8. Desafíos enfrentados y cómo se abordaron</w:t>
      </w:r>
    </w:p>
    <w:tbl>
      <w:tblPr>
        <w:tblW w:type="dxa" w:w="9360"/>
        <w:tblBorders>
          <w:top w:val="single" w:color="E1E6E9" w:sz="4"/>
          <w:left w:val="single" w:color="E1E6E9" w:sz="4"/>
          <w:bottom w:val="single" w:color="E1E6E9" w:sz="4"/>
          <w:right w:val="single" w:color="E1E6E9" w:sz="4"/>
          <w:insideH w:val="single" w:color="E1E6E9" w:sz="4"/>
          <w:insideV w:val="single" w:color="E1E6E9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shd w:fill="161D2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Desafío</w:t>
            </w:r>
          </w:p>
        </w:tc>
        <w:tc>
          <w:tcPr>
            <w:tcW w:type="dxa" w:w="5760"/>
            <w:shd w:fill="161D2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Solución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1D24"/>
                <w:sz w:val="18"/>
                <w:szCs w:val="18"/>
              </w:rPr>
              <w:t xml:space="preserve">Entorno sin Prisma ni fuentes de Google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1D24"/>
                <w:sz w:val="18"/>
                <w:szCs w:val="18"/>
              </w:rPr>
              <w:t xml:space="preserve">Desviación a node:sqlite y, al desplegar localmente, tipografías reales de marca vía next/font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1D24"/>
                <w:sz w:val="18"/>
                <w:szCs w:val="18"/>
              </w:rPr>
              <w:t xml:space="preserve">QA visual sin navegador en el sandbox original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1D24"/>
                <w:sz w:val="18"/>
                <w:szCs w:val="18"/>
              </w:rPr>
              <w:t xml:space="preserve">Cerrada en esta fase con verificación en navegador real a 375px y escritorio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1D24"/>
                <w:sz w:val="18"/>
                <w:szCs w:val="18"/>
              </w:rPr>
              <w:t xml:space="preserve">Server Actions que capturan variables en closure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1D24"/>
                <w:sz w:val="18"/>
                <w:szCs w:val="18"/>
              </w:rPr>
              <w:t xml:space="preserve">Verificación por función de repositorio + prueba en navegador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1D24"/>
                <w:sz w:val="18"/>
                <w:szCs w:val="18"/>
              </w:rPr>
              <w:t xml:space="preserve">Integrar una rama externa (fase2) sin regresar el catálogo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1D24"/>
                <w:sz w:val="18"/>
                <w:szCs w:val="18"/>
              </w:rPr>
              <w:t xml:space="preserve">Se portaron solo las features útiles, adaptadas al código actual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1D24"/>
                <w:sz w:val="18"/>
                <w:szCs w:val="18"/>
              </w:rPr>
              <w:t xml:space="preserve">Cobrar el monto correcto por modalidad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1D24"/>
                <w:sz w:val="18"/>
                <w:szCs w:val="18"/>
              </w:rPr>
              <w:t xml:space="preserve">Regla del catálogo: anticipo 50% en Proyecto; cuota+primer periodo en Suscripción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1D24"/>
                <w:sz w:val="18"/>
                <w:szCs w:val="18"/>
              </w:rPr>
              <w:t xml:space="preserve">Manejo seguro de credenciales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61D24"/>
                <w:sz w:val="18"/>
                <w:szCs w:val="18"/>
              </w:rPr>
              <w:t xml:space="preserve">Secretos solo en .env; el asistente nunca escribe claves secretas; pagos vía Checkout hospedado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161D24"/>
        </w:rPr>
        <w:t xml:space="preserve">9. Evaluación del desempeño</w:t>
      </w:r>
    </w:p>
    <w:p>
      <w:pPr>
        <w:spacing w:after="120" w:line="276"/>
        <w:jc w:val="both"/>
      </w:pPr>
      <w:r>
        <w:t xml:space="preserve">El software cumple sus objetivos funcionales y de seguridad, verificados con pruebas reproducibles y verificación en navegador real. El rendimiento en desarrollo es holgado para el caso de uso. La aplicación está </w:t>
      </w:r>
      <w:r>
        <w:rPr>
          <w:b/>
          <w:bCs/>
          <w:color w:val="161D24"/>
        </w:rPr>
        <w:t xml:space="preserve">lista para despliegue</w:t>
      </w:r>
      <w:r>
        <w:t xml:space="preserve">, con el plan de infraestructura definido.</w:t>
      </w:r>
    </w:p>
    <w:p>
      <w:pPr>
        <w:spacing w:after="120" w:line="276"/>
        <w:jc w:val="both"/>
      </w:pPr>
      <w:r>
        <w:t xml:space="preserve">Estado honesto de los pendientes que dependen de terceros/entorno: el </w:t>
      </w:r>
      <w:r>
        <w:rPr>
          <w:b/>
          <w:bCs/>
          <w:color w:val="161D24"/>
        </w:rPr>
        <w:t xml:space="preserve">pago end-to-end con Stripe</w:t>
      </w:r>
      <w:r>
        <w:t xml:space="preserve"> requiere las claves del propietario (probado con tarjetas de prueba una vez cargadas); el </w:t>
      </w:r>
      <w:r>
        <w:rPr>
          <w:b/>
          <w:bCs/>
          <w:color w:val="161D24"/>
        </w:rPr>
        <w:t xml:space="preserve">envío real de correo</w:t>
      </w:r>
      <w:r>
        <w:t xml:space="preserve"> requiere conectar Resend (mientras tanto, el enlace de activación se muestra en el panel); y la </w:t>
      </w:r>
      <w:r>
        <w:rPr>
          <w:b/>
          <w:bCs/>
          <w:color w:val="161D24"/>
        </w:rPr>
        <w:t xml:space="preserve">evaluación en producción real</w:t>
      </w:r>
      <w:r>
        <w:t xml:space="preserve"> se realizará tras el despliegue en Railway, siguiendo el plan de la sección 6–7. La arquitectura de pagos e invitaciones incluye </w:t>
      </w:r>
      <w:r>
        <w:rPr>
          <w:b/>
          <w:bCs/>
          <w:color w:val="161D24"/>
        </w:rPr>
        <w:t xml:space="preserve">degradación elegante</w:t>
      </w:r>
      <w:r>
        <w:t xml:space="preserve">, de modo que el sistema es plenamente demostrable aun sin esos servicios externos configurados.</w:t>
      </w:r>
    </w:p>
    <w:p>
      <w:pPr>
        <w:pStyle w:val="Heading1"/>
        <w:spacing w:after="140" w:before="320"/>
      </w:pPr>
      <w:r>
        <w:rPr>
          <w:b/>
          <w:bCs/>
          <w:color w:val="161D24"/>
        </w:rPr>
        <w:t xml:space="preserve">10. Entregables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/>
          <w:bCs/>
          <w:color w:val="161D24"/>
        </w:rPr>
        <w:t xml:space="preserve">Código fuente completo y documentación técnica</w:t>
      </w:r>
      <w:r>
        <w:t xml:space="preserve">: repositorio público en GitHub — github.com/JesusGomezMon/softsolutions-portal (incluye `README.md`, la carpeta `docs/` con los entregables ágiles, y este informe).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/>
          <w:bCs/>
          <w:color w:val="161D24"/>
        </w:rPr>
        <w:t xml:space="preserve">Documentos de prueba</w:t>
      </w:r>
      <w:r>
        <w:t xml:space="preserve">: casos y resultados en la sección 5 de este informe y en `docs/05-qa-report.md` (más el script de regresión `scripts/qa-check.ts`).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/>
          <w:bCs/>
          <w:color w:val="161D24"/>
        </w:rPr>
        <w:t xml:space="preserve">Informe final del proyecto</w:t>
      </w:r>
      <w:r>
        <w:t xml:space="preserve">: el presente documento.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/>
          <w:bCs/>
          <w:color w:val="161D24"/>
        </w:rPr>
        <w:t xml:space="preserve">Presentación del proyecto</w:t>
      </w:r>
      <w:r>
        <w:t xml:space="preserve">: a exponer en la última semana del curso (entregable complementario).</w:t>
      </w:r>
    </w:p>
    <w:p>
      <w:pPr>
        <w:pStyle w:val="Heading1"/>
        <w:spacing w:after="140" w:before="320"/>
      </w:pPr>
      <w:r>
        <w:rPr>
          <w:b/>
          <w:bCs/>
          <w:color w:val="161D24"/>
        </w:rPr>
        <w:t xml:space="preserve">11. Conclusiones</w:t>
      </w:r>
    </w:p>
    <w:p>
      <w:pPr>
        <w:spacing w:after="120" w:line="276"/>
        <w:jc w:val="both"/>
      </w:pPr>
      <w:r>
        <w:t xml:space="preserve">El Portal de Clientes de SoftSolutions evolucionó de un prototipo funcional a un producto realista, aplicando un ciclo completo de ingeniería de software: selección y planeación, desarrollo ágil iterativo, control de cambios, pruebas funcionales/de seguridad/usabilidad/rendimiento, y un plan concreto de despliegue y mantenimiento. La integración de los temas avanzados —gestión de proyectos, ingeniería asistida por IA y tendencias futuras— no fue teórica: se reflejó en cómo se construyó (par-programación con IA bajo supervisión), en qué se construyó (multi-inquilino, pagos, correo transaccional) y en cómo se planea sostener el sistema. El resultado demuestra la capacidad de gestionar el desarrollo, asegurar la calidad y preparar un despliegue profesional de una solución que resuelve un problema real.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326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</w:pPr>
    <w:rPr>
      <w:b/>
      <w:bCs/>
      <w:color w:val="161D2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</w:pPr>
    <w:rPr>
      <w:b/>
      <w:bCs/>
      <w:color w:val="2F5D8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Final — Portal de Clientes SoftSolutions</dc:title>
  <dc:creator>Jesús Gómez Monroy</dc:creator>
  <cp:lastModifiedBy>Un-named</cp:lastModifiedBy>
  <cp:revision>1</cp:revision>
  <dcterms:created xsi:type="dcterms:W3CDTF">2026-08-14T05:29:05.388Z</dcterms:created>
  <dcterms:modified xsi:type="dcterms:W3CDTF">2026-08-14T05:29:05.389Z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