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524" w:val="right"/>
        </w:tabs>
        <w:spacing w:after="120"/>
        <w:pBdr>
          <w:bottom w:val="single" w:sz="12" w:space="5" w:color="00B8D4"/>
        </w:pBdr>
      </w:pPr>
      <w:r>
        <w:rPr>
          <w:b/>
          <w:color w:val="0B2341"/>
          <w:sz w:val="16"/>
          <w:spacing w:val="12"/>
        </w:rPr>
        <w:t>UNIVERSIDAD NACIONAL DE COLOMBIA  ·  SEMILLERO PRIMBIO</w:t>
      </w:r>
      <w:r>
        <w:rPr>
          <w:b/>
          <w:color w:val="C8157F"/>
          <w:sz w:val="16"/>
          <w:spacing w:val="12"/>
        </w:rPr>
        <w:tab/>
        <w:t>PQS-TF-004  ·  Rev. 3.0</w:t>
      </w:r>
    </w:p>
    <w:tbl>
      <w:tblPr>
        <w:tblW w:type="dxa" w:w="9525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5"/>
      </w:tblGrid>
      <w:tr>
        <w:tc>
          <w:tcPr>
            <w:tcW w:type="dxa" w:w="9524"/>
            <w:shd w:val="clear" w:color="auto" w:fill="0B2341"/>
            <w:tcBorders>
              <w:left w:val="single" w:sz="48" w:space="0" w:color="00B8D4"/>
            </w:tcBorders>
            <w:tcMar>
              <w:top w:w="220" w:type="dxa"/>
              <w:bottom w:w="220" w:type="dxa"/>
              <w:start w:w="340" w:type="dxa"/>
              <w:end w:w="340" w:type="dxa"/>
              <w:left w:w="340" w:type="dxa"/>
              <w:right w:w="340" w:type="dxa"/>
            </w:tcMar>
          </w:tcPr>
          <w:p>
            <w:pPr>
              <w:spacing w:after="40"/>
            </w:pPr>
            <w:r>
              <w:rPr>
                <w:b/>
                <w:color w:val="00B8D4"/>
                <w:sz w:val="16"/>
                <w:spacing w:val="24"/>
              </w:rPr>
              <w:t>REGISTRO DE SOPORTE LÓGICO · DIRECCIÓN NACIONAL DE DERECHO DE AUTOR</w:t>
            </w:r>
          </w:p>
          <w:p>
            <w:pPr>
              <w:spacing w:after="0"/>
            </w:pPr>
            <w:r>
              <w:rPr>
                <w:b/>
                <w:color w:val="FFFFFF"/>
                <w:sz w:val="40"/>
              </w:rPr>
              <w:t>Título y Descripción de Funciones</w:t>
            </w:r>
          </w:p>
          <w:p>
            <w:r>
              <w:rPr>
                <w:color w:val="BFEFF7"/>
                <w:sz w:val="22"/>
              </w:rPr>
              <w:t>QuadSIM-PRIMBIO · versión 3.0</w:t>
            </w:r>
          </w:p>
        </w:tc>
      </w:tr>
    </w:tbl>
    <w:tbl>
      <w:tblPr>
        <w:tblW w:type="dxa" w:w="9525"/>
        <w:tblLayout w:type="fixed"/>
        <w:tblLook w:firstColumn="1" w:firstRow="1" w:lastColumn="0" w:lastRow="0" w:noHBand="0" w:noVBand="1" w:val="04A0"/>
        <w:tblLayout w:type="fixed"/>
        <w:tblBorders>
          <w:top w:val="single" w:sz="8" w:space="0" w:color="0B2341"/>
          <w:left w:val="single" w:sz="8" w:space="0" w:color="0B2341"/>
          <w:bottom w:val="single" w:sz="8" w:space="0" w:color="0B2341"/>
          <w:right w:val="single" w:sz="8" w:space="0" w:color="0B2341"/>
          <w:insideH w:val="single" w:sz="4" w:space="0" w:color="C5D0DB"/>
          <w:insideV w:val="single" w:sz="4" w:space="0" w:color="C5D0DB"/>
        </w:tblBorders>
      </w:tblPr>
      <w:tblGrid>
        <w:gridCol w:w="2608"/>
        <w:gridCol w:w="1814"/>
        <w:gridCol w:w="5103"/>
      </w:tblGrid>
      <w:tr>
        <w:tc>
          <w:tcPr>
            <w:tcW w:type="dxa" w:w="2608"/>
            <w:tcMar>
              <w:top w:w="5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B6B7B"/>
                <w:sz w:val="13"/>
                <w:spacing w:val="16"/>
              </w:rPr>
              <w:t>AUTOR(ES)</w:t>
            </w:r>
          </w:p>
          <w:p>
            <w:pPr>
              <w:spacing w:after="0"/>
            </w:pPr>
            <w:r>
              <w:rPr>
                <w:b/>
                <w:color w:val="0B2341"/>
                <w:sz w:val="17"/>
              </w:rPr>
              <w:t>Jesús Daniel Jácome (autor) · Francisco Javier Burgos Flórez (director)</w:t>
            </w:r>
          </w:p>
        </w:tc>
        <w:tc>
          <w:tcPr>
            <w:tcW w:type="dxa" w:w="1814"/>
            <w:tcMar>
              <w:top w:w="5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B6B7B"/>
                <w:sz w:val="13"/>
                <w:spacing w:val="16"/>
              </w:rPr>
              <w:t>FECHA</w:t>
            </w:r>
          </w:p>
          <w:p>
            <w:pPr>
              <w:spacing w:after="0"/>
            </w:pPr>
            <w:r>
              <w:rPr>
                <w:b/>
                <w:color w:val="0B2341"/>
                <w:sz w:val="17"/>
              </w:rPr>
              <w:t>Octubre de 2026</w:t>
            </w:r>
          </w:p>
        </w:tc>
        <w:tc>
          <w:tcPr>
            <w:tcW w:type="dxa" w:w="5102"/>
            <w:tcMar>
              <w:top w:w="5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B6B7B"/>
                <w:sz w:val="13"/>
                <w:spacing w:val="16"/>
              </w:rPr>
              <w:t>AFILIACIÓN</w:t>
            </w:r>
          </w:p>
          <w:p>
            <w:pPr>
              <w:spacing w:after="0"/>
            </w:pPr>
            <w:r>
              <w:rPr>
                <w:b/>
                <w:color w:val="0B2341"/>
                <w:sz w:val="17"/>
              </w:rPr>
              <w:t>Universidad Nacional de Colombia, Sede La Paz · Semillero PRIMBIO · Grupo de Investigación IAM-NANO</w:t>
            </w:r>
          </w:p>
        </w:tc>
      </w:tr>
    </w:tbl>
    <w:p>
      <w:pPr>
        <w:spacing w:after="80"/>
      </w:pPr>
    </w:p>
    <w:p>
      <w:pPr>
        <w:pStyle w:val="Heading1"/>
        <w:pageBreakBefore w:val="0"/>
        <w:pBdr>
          <w:bottom w:val="single" w:sz="6" w:space="4" w:color="C5D0DB"/>
        </w:pBdr>
      </w:pPr>
      <w:bookmarkStart w:id="101" w:name="_Ref_sec_1"/>
      <w:r>
        <w:rPr>
          <w:b/>
          <w:color w:val="00B8D4"/>
        </w:rPr>
        <w:t xml:space="preserve">1 </w:t>
      </w:r>
      <w:r>
        <w:t>Título del soporte lógico</w:t>
      </w:r>
      <w:bookmarkEnd w:id="101"/>
    </w:p>
    <w:p>
      <w:r>
        <w:rPr>
          <w:b/>
          <w:i w:val="0"/>
          <w:color w:val="0B2341"/>
          <w:sz w:val="32"/>
        </w:rPr>
        <w:t>QuadSIM-PRIMBIO</w:t>
      </w:r>
    </w:p>
    <w:p>
      <w:pPr>
        <w:pStyle w:val="Heading1"/>
        <w:pageBreakBefore w:val="0"/>
        <w:pBdr>
          <w:bottom w:val="single" w:sz="6" w:space="4" w:color="C5D0DB"/>
        </w:pBdr>
      </w:pPr>
      <w:bookmarkStart w:id="102" w:name="_Ref_sec_2"/>
      <w:r>
        <w:rPr>
          <w:b/>
          <w:color w:val="00B8D4"/>
        </w:rPr>
        <w:t xml:space="preserve">2 </w:t>
      </w:r>
      <w:r>
        <w:t>Descripción</w:t>
      </w:r>
      <w:bookmarkEnd w:id="102"/>
    </w:p>
    <w:p>
      <w:pPr>
        <w:jc w:val="both"/>
      </w:pPr>
      <w:r>
        <w:t>QuadSIM-PRIMBIO es un simulador de escritorio de un cuadricóptero que reproduce su dinámica no lineal de seis grados de libertad, sus motores, sensores, filtros y estimadores de actitud, y el control en cascada de un autopiloto. Permite sintonizar en simulación los controladores de actitud y de trayectoria (PID, MPC lineal, MPC no lineal, aprendizaje por refuerzo e híbrido), someter el vehículo a viento, interferencia magnética, cambios de carga y fallas de motor, y comparar resultados reproducibles como punto de partida para la sintonía de drones reales.</w:t>
      </w:r>
    </w:p>
    <w:p>
      <w:pPr>
        <w:pStyle w:val="Heading1"/>
        <w:pageBreakBefore w:val="0"/>
        <w:pBdr>
          <w:bottom w:val="single" w:sz="6" w:space="4" w:color="C5D0DB"/>
        </w:pBdr>
      </w:pPr>
      <w:bookmarkStart w:id="103" w:name="_Ref_sec_3"/>
      <w:r>
        <w:rPr>
          <w:b/>
          <w:color w:val="00B8D4"/>
        </w:rPr>
        <w:t xml:space="preserve">3 </w:t>
      </w:r>
      <w:r>
        <w:t>Funciones</w:t>
      </w:r>
      <w:bookmarkEnd w:id="103"/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1.</w:t>
        <w:tab/>
      </w:r>
      <w:r>
        <w:t>Simular el vuelo de un cuadricóptero con un modelo no lineal de seis grados de libertad y 17 estados, integrado con Runge–Kutta de cuarto orden a 1 kHz, sobre un catálogo de 5 vehículos con parámetros tomados de la literatura.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2.</w:t>
        <w:tab/>
      </w:r>
      <w:r>
        <w:t>Modelar el propulsor (variador, motor sin escobillas y hélice) y repartir el mando entre los cuatro motores con un mezclador que desatura por prioridades.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3.</w:t>
        <w:tab/>
      </w:r>
      <w:r>
        <w:t>Simular los sensores de a bordo (IMU, magnetómetro, barómetro y posición externa) con ruido, sesgo, retardo y la vibración de las hélices.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4.</w:t>
        <w:tab/>
      </w:r>
      <w:r>
        <w:t>Filtrar el giroscopio con filtros digitales configurables (pasa-bajos, Butterworth, Chebyshev y notch) y mostrar su respuesta en frecuencia y el espectro de la señal.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5.</w:t>
        <w:tab/>
      </w:r>
      <w:r>
        <w:t>Estimar la actitud con los algoritmos de Madgwick, Mahony o un filtro de Kalman extendido, intercambiables en pleno vuelo, y la posición con un filtro de Kalman.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6.</w:t>
        <w:tab/>
      </w:r>
      <w:r>
        <w:t>Sintonizar el control de actitud en cascada por eje, con ganancias iniciales calculadas desde el modelo (reglas SIMC), y medir pruebas de escalón con subida, sobrepaso, asentamiento y error final.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7.</w:t>
        <w:tab/>
      </w:r>
      <w:r>
        <w:t>Generar 7 trayectorias de referencia con derivadas analíticas: vuelo estacionario, escalones, círculo, figura en 8, hélice, mínimo snap y punto a punto.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8.</w:t>
        <w:tab/>
      </w:r>
      <w:r>
        <w:t>Seguir trayectorias con cinco controladores de posición (PID en cascada, MPC lineal, MPC no lineal, aprendizaje por refuerzo e híbrido MPC con aprendizaje por refuerzo) y compararlos en igualdad de condiciones.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9.</w:t>
        <w:tab/>
      </w:r>
      <w:r>
        <w:t>Aplicar perturbaciones inmediatas o programadas: viento medio, turbulencia, ráfagas, interferencia en el magnetómetro, carga útil y pérdida de eficiencia de un motor.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10.</w:t>
        <w:tab/>
      </w:r>
      <w:r>
        <w:t>Ejecutar barridos automáticos de parámetros de filtros, estimadores y ganancias, con réplicas, costo normalizado, frente de Pareto, análisis de sensibilidad y ejecución paralela reanudable.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11.</w:t>
        <w:tab/>
      </w:r>
      <w:r>
        <w:t>Entrenar fuera de línea políticas de aprendizaje por refuerzo en un entorno rápido identificado del simulador completo y validarlas en él.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12.</w:t>
        <w:tab/>
      </w:r>
      <w:r>
        <w:t>Visualizar la telemetría en vivo con gráficas, instrumentos de vuelo y vista 3D, y exportar cada corrida a un archivo CSV.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13.</w:t>
        <w:tab/>
      </w:r>
      <w:r>
        <w:t>Consultar los parámetros del vehículo con su unidad y su fuente, las cantidades derivadas y las tasas de ejecución de la simulación.</w:t>
      </w:r>
    </w:p>
    <w:p>
      <w:pPr>
        <w:tabs>
          <w:tab w:pos="425" w:val="left"/>
        </w:tabs>
        <w:spacing w:after="60"/>
        <w:ind w:left="425" w:hanging="425"/>
      </w:pPr>
      <w:r>
        <w:rPr>
          <w:b/>
          <w:color w:val="00838F"/>
        </w:rPr>
        <w:t>14.</w:t>
        <w:tab/>
      </w:r>
      <w:r>
        <w:t>Ofrecer ayuda integrada en la aplicación: un recorrido guiado por la interfaz, una galería de ejemplos listos para cargar y guardar y abrir escenarios de simulación.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134" w:bottom="1247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24" w:val="right"/>
      </w:tabs>
      <w:spacing w:after="0"/>
      <w:pBdr>
        <w:top w:val="single" w:sz="4" w:space="4" w:color="C5D0DB"/>
      </w:pBdr>
    </w:pPr>
    <w:r>
      <w:rPr>
        <w:color w:val="5B6B7B"/>
        <w:sz w:val="16"/>
      </w:rPr>
      <w:t>Semillero PRIMBIO · Grupo IAM-NANO · UNAL Sede La Paz</w:t>
    </w:r>
    <w:r>
      <w:rPr>
        <w:color w:val="5B6B7B"/>
        <w:sz w:val="16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b/>
        <w:color w:val="0B2341"/>
        <w:sz w:val="16"/>
      </w:rPr>
      <w:t>1</w:t>
    </w:r>
    <w:r>
      <w:fldChar w:fldCharType="end"/>
    </w:r>
    <w:r>
      <w:rPr>
        <w:color w:val="5B6B7B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b/>
        <w:color w:val="0B2341"/>
        <w:sz w:val="16"/>
      </w:rP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24" w:val="right"/>
      </w:tabs>
      <w:spacing w:after="0"/>
      <w:pBdr>
        <w:top w:val="single" w:sz="4" w:space="4" w:color="C5D0DB"/>
      </w:pBdr>
    </w:pPr>
    <w:r>
      <w:rPr>
        <w:color w:val="5B6B7B"/>
        <w:sz w:val="16"/>
      </w:rPr>
      <w:t>Semillero PRIMBIO · Grupo IAM-NANO · UNAL Sede La Paz</w:t>
    </w:r>
    <w:r>
      <w:rPr>
        <w:color w:val="5B6B7B"/>
        <w:sz w:val="16"/>
      </w:rPr>
      <w:tab/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b/>
        <w:color w:val="0B2341"/>
        <w:sz w:val="16"/>
      </w:rPr>
      <w:t>1</w:t>
    </w:r>
    <w:r>
      <w:fldChar w:fldCharType="end"/>
    </w:r>
    <w:r>
      <w:rPr>
        <w:color w:val="5B6B7B"/>
        <w:sz w:val="16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b/>
        <w:color w:val="0B2341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524" w:val="right"/>
      </w:tabs>
      <w:spacing w:after="0"/>
      <w:pBdr>
        <w:bottom w:val="single" w:sz="8" w:space="4" w:color="00B8D4"/>
      </w:pBdr>
    </w:pPr>
    <w:r>
      <w:rPr>
        <w:b/>
        <w:color w:val="0B2341"/>
        <w:sz w:val="17"/>
      </w:rPr>
      <w:t>QuadSIM-PRIMBIO</w:t>
    </w:r>
    <w:r>
      <w:rPr>
        <w:color w:val="5B6B7B"/>
        <w:sz w:val="17"/>
      </w:rPr>
      <w:t xml:space="preserve">  ·  Título y Descripción de Funciones</w:t>
    </w:r>
    <w:r>
      <w:rPr>
        <w:b/>
        <w:color w:val="0B2341"/>
        <w:sz w:val="17"/>
      </w:rPr>
      <w:tab/>
      <w:t>PQS-TF-004</w:t>
    </w:r>
    <w:r>
      <w:rPr>
        <w:b/>
        <w:color w:val="C8157F"/>
        <w:sz w:val="17"/>
      </w:rPr>
      <w:t xml:space="preserve">  ·  Rev. 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40" w:lineRule="auto"/>
      <w:outlineLvl w:val="0"/>
    </w:pPr>
    <w:rPr>
      <w:rFonts w:ascii="Calibri" w:hAnsi="Calibri" w:cs="Calibri" w:eastAsia="Calibri"/>
      <w:b/>
      <w:bCs/>
      <w:i w:val="0"/>
      <w:color w:val="0B234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 w:line="240" w:lineRule="auto"/>
      <w:outlineLvl w:val="1"/>
    </w:pPr>
    <w:rPr>
      <w:rFonts w:ascii="Calibri" w:hAnsi="Calibri" w:cs="Calibri" w:eastAsia="Calibri"/>
      <w:b/>
      <w:bCs/>
      <w:i w:val="0"/>
      <w:color w:val="0B234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rFonts w:ascii="Calibri" w:hAnsi="Calibri" w:cs="Calibri" w:eastAsia="Calibri"/>
      <w:b/>
      <w:bCs/>
      <w:i w:val="0"/>
      <w:color w:val="0B23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E2A36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Calibri" w:hAnsi="Calibri" w:cs="Calibri" w:eastAsia="Calibri"/>
      <w:b w:val="0"/>
      <w:bCs/>
      <w:i w:val="0"/>
      <w:color w:val="5B6B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524" w:val="right" w:leader="dot"/>
      </w:tabs>
      <w:spacing w:before="70" w:after="10" w:line="240" w:lineRule="auto"/>
      <w:ind w:left="0"/>
    </w:pPr>
    <w:rPr>
      <w:rFonts w:ascii="Calibri" w:hAnsi="Calibri" w:cs="Calibri" w:eastAsia="Calibri"/>
      <w:b/>
      <w:color w:val="0B2341"/>
      <w:sz w:val="20"/>
    </w:rPr>
  </w:style>
  <w:style w:type="paragraph" w:customStyle="1" w:styleId="toc2">
    <w:name w:val="toc 2"/>
    <w:basedOn w:val="Normal"/>
    <w:pPr>
      <w:tabs>
        <w:tab w:pos="9524" w:val="right" w:leader="dot"/>
      </w:tabs>
      <w:spacing w:before="0" w:after="10" w:line="240" w:lineRule="auto"/>
      <w:ind w:left="340"/>
    </w:pPr>
    <w:rPr>
      <w:rFonts w:ascii="Calibri" w:hAnsi="Calibri" w:cs="Calibri" w:eastAsia="Calibri"/>
      <w:b w:val="0"/>
      <w:color w:val="1E2A36"/>
      <w:sz w:val="19"/>
    </w:rPr>
  </w:style>
  <w:style w:type="paragraph" w:customStyle="1" w:styleId="toc3">
    <w:name w:val="toc 3"/>
    <w:basedOn w:val="Normal"/>
    <w:pPr>
      <w:tabs>
        <w:tab w:pos="9524" w:val="right" w:leader="dot"/>
      </w:tabs>
      <w:spacing w:before="0" w:after="10" w:line="240" w:lineRule="auto"/>
      <w:ind w:left="680"/>
    </w:pPr>
    <w:rPr>
      <w:rFonts w:ascii="Calibri" w:hAnsi="Calibri" w:cs="Calibri" w:eastAsia="Calibri"/>
      <w:b w:val="0"/>
      <w:color w:val="1E2A3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QuadSIM-PRIMBIO — Título y Descripción de Funciones</dc:title>
  <dc:subject>PQS-TF-004</dc:subject>
  <dc:creator>Jesús Daniel Jácome</dc:creator>
  <cp:keywords>QuadSIM-PRIMBIO; PAE Quadcopter SIM; DNDA; PRIMBIO; UNAL Sede La Paz</cp:keywords>
  <dc:description/>
  <cp:lastModifiedBy>Jesús Daniel Jácome</cp:lastModifiedBy>
  <cp:revision>1</cp:revision>
  <dcterms:created xsi:type="dcterms:W3CDTF">2013-12-23T23:15:00Z</dcterms:created>
  <dcterms:modified xsi:type="dcterms:W3CDTF">2013-12-23T23:15:00Z</dcterms:modified>
  <cp:category/>
</cp:coreProperties>
</file>