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60" w:lineRule="auto"/>
        <w:jc w:val="both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2551.1811023622045" w:left="1134" w:right="1134" w:header="709" w:footer="1303.937007874015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tria"/>
  <w:font w:name="Noto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Noto Sans Light" w:cs="Noto Sans Light" w:eastAsia="Noto Sans Light" w:hAnsi="Noto Sans Ligh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Noto Sans Light" w:cs="Noto Sans Light" w:eastAsia="Noto Sans Light" w:hAnsi="Noto Sans Ligh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oto Sans Light" w:cs="Noto Sans Light" w:eastAsia="Noto Sans Light" w:hAnsi="Noto Sans Ligh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oto Sans Light" w:cs="Noto Sans Light" w:eastAsia="Noto Sans Light" w:hAnsi="Noto Sans Ligh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oto Sans Light" w:cs="Noto Sans Light" w:eastAsia="Noto Sans Light" w:hAnsi="Noto Sans Ligh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o Sans Light" w:cs="Noto Sans Light" w:eastAsia="Noto Sans Light" w:hAnsi="Noto Sans Ligh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-752469</wp:posOffset>
          </wp:positionH>
          <wp:positionV relativeFrom="paragraph">
            <wp:posOffset>-443859</wp:posOffset>
          </wp:positionV>
          <wp:extent cx="7797832" cy="10091139"/>
          <wp:effectExtent b="0" l="0" r="0" t="0"/>
          <wp:wrapNone/>
          <wp:docPr descr="Texto, Aplicación&#10;&#10;El contenido generado por IA puede ser incorrecto." id="1" name="image1.png"/>
          <a:graphic>
            <a:graphicData uri="http://schemas.openxmlformats.org/drawingml/2006/picture">
              <pic:pic>
                <pic:nvPicPr>
                  <pic:cNvPr descr="Texto, Aplicación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13" r="13" t="0"/>
                  <a:stretch>
                    <a:fillRect/>
                  </a:stretch>
                </pic:blipFill>
                <pic:spPr>
                  <a:xfrm>
                    <a:off x="0" y="0"/>
                    <a:ext cx="7797832" cy="1009113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9000"/>
      </w:tabs>
      <w:spacing w:after="0" w:before="0" w:line="240" w:lineRule="auto"/>
      <w:ind w:left="142" w:right="0" w:firstLine="0"/>
      <w:jc w:val="left"/>
      <w:rPr>
        <w:rFonts w:ascii="Patria" w:cs="Patria" w:eastAsia="Patria" w:hAnsi="Patria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hs89v3y23bnx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8789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8789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Subsecretaría de Ordenamiento Territorial, Urbano y Vivienda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Dirección General de Ordenamiento Territorial y Urbano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Light-regular.ttf"/><Relationship Id="rId6" Type="http://schemas.openxmlformats.org/officeDocument/2006/relationships/font" Target="fonts/NotoSansLight-bold.ttf"/><Relationship Id="rId7" Type="http://schemas.openxmlformats.org/officeDocument/2006/relationships/font" Target="fonts/NotoSansLight-italic.ttf"/><Relationship Id="rId8" Type="http://schemas.openxmlformats.org/officeDocument/2006/relationships/font" Target="fonts/NotoSa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7JMPoY2Yz5cdIwlyrIHXhOQkFg==">CgMxLjAyDmguaHM4OXYzeTIzYm54OAByITFmUFpyTE90R1BQb0EwNlo1TkxxR2prT1pEVGNuWGtCMA==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