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91824808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4397914" w14:textId="4565921A" w:rsidR="000C3822" w:rsidRDefault="000C3822">
          <w:pPr>
            <w:pStyle w:val="SemEspaamento"/>
            <w:rPr>
              <w:sz w:val="2"/>
            </w:rPr>
          </w:pPr>
        </w:p>
        <w:p w14:paraId="6BE6BF6B" w14:textId="77777777" w:rsidR="000C3822" w:rsidRDefault="000C382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4A4CD5" wp14:editId="53723CA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808FAEC" w14:textId="7CE75F24" w:rsidR="000C3822" w:rsidRDefault="000C3822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LGPd</w:t>
                                    </w:r>
                                  </w:p>
                                </w:sdtContent>
                              </w:sdt>
                              <w:p w14:paraId="6B8F1290" w14:textId="43FC494D" w:rsidR="000C3822" w:rsidRDefault="00A152E1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382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Lei Geral de proteção de dados</w:t>
                                    </w:r>
                                  </w:sdtContent>
                                </w:sdt>
                                <w:r w:rsidR="000C3822">
                                  <w:t xml:space="preserve"> </w:t>
                                </w:r>
                              </w:p>
                              <w:p w14:paraId="6AC80E8E" w14:textId="77777777" w:rsidR="000C3822" w:rsidRDefault="000C38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E4A4CD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808FAEC" w14:textId="7CE75F24" w:rsidR="000C3822" w:rsidRDefault="000C3822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LGPd</w:t>
                              </w:r>
                            </w:p>
                          </w:sdtContent>
                        </w:sdt>
                        <w:p w14:paraId="6B8F1290" w14:textId="43FC494D" w:rsidR="000C3822" w:rsidRDefault="00A152E1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C382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Lei Geral de proteção de dados</w:t>
                              </w:r>
                            </w:sdtContent>
                          </w:sdt>
                          <w:r w:rsidR="000C3822">
                            <w:t xml:space="preserve"> </w:t>
                          </w:r>
                        </w:p>
                        <w:p w14:paraId="6AC80E8E" w14:textId="77777777" w:rsidR="000C3822" w:rsidRDefault="000C382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08DB220" wp14:editId="36F75F3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54DEADF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DT&#10;SEvq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0BFEBE" wp14:editId="2638A95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79BA0" w14:textId="5AC450AE" w:rsidR="000C3822" w:rsidRDefault="00A152E1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382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Sorocaba 04/08/2021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C9ECA4" w14:textId="6403F5C9" w:rsidR="000C3822" w:rsidRDefault="000C382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Gabriel Jesus Porfirio Marques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0BFEBE"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03679BA0" w14:textId="5AC450AE" w:rsidR="000C3822" w:rsidRDefault="00A152E1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382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Sorocaba 04/08/2021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8C9ECA4" w14:textId="6403F5C9" w:rsidR="000C3822" w:rsidRDefault="000C3822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Gabriel Jesus Porfirio Marques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BDE44B8" w14:textId="66C58B81" w:rsidR="000C3822" w:rsidRDefault="000C3822">
          <w:r>
            <w:br w:type="page"/>
          </w:r>
        </w:p>
      </w:sdtContent>
    </w:sdt>
    <w:p w14:paraId="508627AC" w14:textId="286C6417" w:rsidR="004A60A1" w:rsidRDefault="004A60A1" w:rsidP="004A60A1">
      <w:pPr>
        <w:pStyle w:val="Ttulo1"/>
      </w:pPr>
      <w:r>
        <w:lastRenderedPageBreak/>
        <w:t>Introdução</w:t>
      </w:r>
    </w:p>
    <w:p w14:paraId="614889A4" w14:textId="46F3E288" w:rsidR="004A60A1" w:rsidRDefault="004A60A1" w:rsidP="004A60A1">
      <w:pPr>
        <w:rPr>
          <w:sz w:val="24"/>
          <w:szCs w:val="24"/>
        </w:rPr>
      </w:pPr>
      <w:r w:rsidRPr="004A60A1">
        <w:rPr>
          <w:sz w:val="24"/>
          <w:szCs w:val="24"/>
        </w:rPr>
        <w:t>A criação da internet data 1969 e tinha apenas uma função: manter os laboratórios que realizavam pesquisas conectados. Hoje em dia, sua função mudou, ganhando inesgotáveis funcionalidades, dentre elas, a busca por informações de seus usuários que, a cada dia processa inúmeros dados, se especializando e conhecendo, cada vez, mais a intimidade das pessoas</w:t>
      </w:r>
    </w:p>
    <w:p w14:paraId="57B78192" w14:textId="344C39FE" w:rsidR="00957809" w:rsidRPr="004A60A1" w:rsidRDefault="004A60A1" w:rsidP="004A60A1">
      <w:pPr>
        <w:rPr>
          <w:sz w:val="24"/>
          <w:szCs w:val="24"/>
        </w:rPr>
      </w:pPr>
      <w:r>
        <w:rPr>
          <w:sz w:val="24"/>
          <w:szCs w:val="24"/>
        </w:rPr>
        <w:t xml:space="preserve">Devido a essa evolução e constante contato </w:t>
      </w:r>
      <w:r w:rsidR="00957809">
        <w:rPr>
          <w:sz w:val="24"/>
          <w:szCs w:val="24"/>
        </w:rPr>
        <w:t>“íntimo”</w:t>
      </w:r>
      <w:r>
        <w:rPr>
          <w:sz w:val="24"/>
          <w:szCs w:val="24"/>
        </w:rPr>
        <w:t xml:space="preserve"> que sites </w:t>
      </w:r>
      <w:r w:rsidR="00957809">
        <w:rPr>
          <w:sz w:val="24"/>
          <w:szCs w:val="24"/>
        </w:rPr>
        <w:t>obtém com o acesso dos usuários emergiu a necessidade de impor barreiras no que tange a privacidade dos internautas e para tanto foi criada a LGPD.</w:t>
      </w:r>
    </w:p>
    <w:p w14:paraId="00E47E06" w14:textId="1755C57E" w:rsidR="00D555CC" w:rsidRDefault="005B0054" w:rsidP="009B3387">
      <w:pPr>
        <w:pStyle w:val="Ttulo1"/>
      </w:pPr>
      <w:r>
        <w:t>LGPD</w:t>
      </w:r>
      <w:r w:rsidR="009B3387">
        <w:t>.</w:t>
      </w:r>
    </w:p>
    <w:p w14:paraId="74BC7EC0" w14:textId="7114C81A" w:rsidR="009B3387" w:rsidRDefault="009B3387" w:rsidP="009B3387">
      <w:pPr>
        <w:rPr>
          <w:sz w:val="24"/>
          <w:szCs w:val="24"/>
        </w:rPr>
      </w:pPr>
      <w:r w:rsidRPr="009B3387">
        <w:rPr>
          <w:sz w:val="24"/>
          <w:szCs w:val="24"/>
        </w:rPr>
        <w:t>A lei ger</w:t>
      </w:r>
      <w:r>
        <w:rPr>
          <w:sz w:val="24"/>
          <w:szCs w:val="24"/>
        </w:rPr>
        <w:t xml:space="preserve">al de proteção de dados (LGPD) é usada como ferramenta do governo para regulamentar como os dados dos brasileiros são tratados, armazenados e protegidos, prevendo multas </w:t>
      </w:r>
      <w:r w:rsidR="00097709">
        <w:rPr>
          <w:sz w:val="24"/>
          <w:szCs w:val="24"/>
        </w:rPr>
        <w:t>para empresas caso ocorra vazamento de informações.</w:t>
      </w:r>
    </w:p>
    <w:p w14:paraId="0C063463" w14:textId="5DB422D5" w:rsidR="004A60A1" w:rsidRDefault="00097709" w:rsidP="009B3387">
      <w:pPr>
        <w:rPr>
          <w:sz w:val="24"/>
          <w:szCs w:val="24"/>
        </w:rPr>
      </w:pPr>
      <w:r w:rsidRPr="00097709">
        <w:rPr>
          <w:sz w:val="24"/>
          <w:szCs w:val="24"/>
        </w:rPr>
        <w:t xml:space="preserve">A LGPD, definida na Lei Nº 13.709 de agosto de 2018, </w:t>
      </w:r>
      <w:r w:rsidR="00486203">
        <w:rPr>
          <w:sz w:val="24"/>
          <w:szCs w:val="24"/>
        </w:rPr>
        <w:t>dispõe</w:t>
      </w:r>
      <w:r>
        <w:rPr>
          <w:sz w:val="24"/>
          <w:szCs w:val="24"/>
        </w:rPr>
        <w:t xml:space="preserve"> </w:t>
      </w:r>
      <w:r w:rsidRPr="00097709">
        <w:rPr>
          <w:sz w:val="24"/>
          <w:szCs w:val="24"/>
        </w:rPr>
        <w:t>como os dados dos brasileiros devem ser coletados, armazenados e protegidos, prevendo punições para</w:t>
      </w:r>
      <w:r>
        <w:rPr>
          <w:sz w:val="24"/>
          <w:szCs w:val="24"/>
        </w:rPr>
        <w:t xml:space="preserve"> </w:t>
      </w:r>
      <w:r w:rsidRPr="00097709">
        <w:rPr>
          <w:sz w:val="24"/>
          <w:szCs w:val="24"/>
        </w:rPr>
        <w:t>casos de vazamentos, ou outras irregularidades. As normas são baseadas na GDPR, um conjunto de regras específico da União Europeia.</w:t>
      </w:r>
    </w:p>
    <w:p w14:paraId="74E0A491" w14:textId="69164B5B" w:rsidR="004A60A1" w:rsidRDefault="004A60A1" w:rsidP="009B3387">
      <w:pPr>
        <w:rPr>
          <w:sz w:val="24"/>
          <w:szCs w:val="24"/>
        </w:rPr>
      </w:pPr>
      <w:r>
        <w:rPr>
          <w:sz w:val="24"/>
          <w:szCs w:val="24"/>
        </w:rPr>
        <w:t>A LGPD trabalha em conjunto com a ANPD, o órgão responsável por garantir o cumprimento da lei.</w:t>
      </w:r>
    </w:p>
    <w:p w14:paraId="7A5F102F" w14:textId="746BBD91" w:rsidR="00486203" w:rsidRDefault="004A5298" w:rsidP="00486203">
      <w:pPr>
        <w:pStyle w:val="Ttulo1"/>
      </w:pPr>
      <w:r>
        <w:t>Fundamentos</w:t>
      </w:r>
      <w:r w:rsidR="005B0054">
        <w:t xml:space="preserve"> da LGPD</w:t>
      </w:r>
    </w:p>
    <w:p w14:paraId="4283DFEC" w14:textId="104DFAF8" w:rsidR="00486203" w:rsidRPr="004A5298" w:rsidRDefault="00486203" w:rsidP="00486203">
      <w:pPr>
        <w:rPr>
          <w:rFonts w:cstheme="minorHAnsi"/>
          <w:sz w:val="24"/>
          <w:szCs w:val="24"/>
        </w:rPr>
      </w:pPr>
      <w:r w:rsidRPr="004A5298">
        <w:rPr>
          <w:rFonts w:cstheme="minorHAnsi"/>
          <w:sz w:val="24"/>
          <w:szCs w:val="24"/>
        </w:rPr>
        <w:t>Segundo o Art. 2° do capítulo 1; Disposições preliminares</w:t>
      </w:r>
      <w:r w:rsidR="004A5298" w:rsidRPr="004A5298">
        <w:rPr>
          <w:rFonts w:cstheme="minorHAnsi"/>
          <w:sz w:val="24"/>
          <w:szCs w:val="24"/>
        </w:rPr>
        <w:t xml:space="preserve"> </w:t>
      </w:r>
      <w:r w:rsidR="004A5298" w:rsidRPr="004A5298">
        <w:rPr>
          <w:rFonts w:cstheme="minorHAnsi"/>
          <w:color w:val="000000"/>
          <w:sz w:val="24"/>
          <w:szCs w:val="24"/>
          <w:shd w:val="clear" w:color="auto" w:fill="FFFFFF"/>
        </w:rPr>
        <w:t>L13709... (2018)</w:t>
      </w:r>
      <w:r w:rsidRPr="004A5298">
        <w:rPr>
          <w:rFonts w:cstheme="minorHAnsi"/>
          <w:sz w:val="24"/>
          <w:szCs w:val="24"/>
        </w:rPr>
        <w:t>, a lei tem como fundamentos:</w:t>
      </w:r>
    </w:p>
    <w:p w14:paraId="0BC9B303" w14:textId="0B0AE95A" w:rsidR="00486203" w:rsidRPr="004A5298" w:rsidRDefault="00486203" w:rsidP="00486203">
      <w:pPr>
        <w:rPr>
          <w:rFonts w:cstheme="minorHAnsi"/>
          <w:sz w:val="24"/>
          <w:szCs w:val="24"/>
        </w:rPr>
      </w:pPr>
      <w:r w:rsidRPr="004A5298">
        <w:rPr>
          <w:rFonts w:cstheme="minorHAnsi"/>
          <w:sz w:val="24"/>
          <w:szCs w:val="24"/>
        </w:rPr>
        <w:t>I - O respeito à privacidade;</w:t>
      </w:r>
    </w:p>
    <w:p w14:paraId="1C454C01" w14:textId="6A914505" w:rsidR="00486203" w:rsidRPr="004A5298" w:rsidRDefault="00486203" w:rsidP="00486203">
      <w:pPr>
        <w:rPr>
          <w:rFonts w:cstheme="minorHAnsi"/>
          <w:sz w:val="24"/>
          <w:szCs w:val="24"/>
        </w:rPr>
      </w:pPr>
      <w:r w:rsidRPr="004A5298">
        <w:rPr>
          <w:rFonts w:cstheme="minorHAnsi"/>
          <w:sz w:val="24"/>
          <w:szCs w:val="24"/>
        </w:rPr>
        <w:t>II - A autodeterminação informativa;</w:t>
      </w:r>
    </w:p>
    <w:p w14:paraId="6630CF2C" w14:textId="5EFCF077" w:rsidR="00486203" w:rsidRPr="004A5298" w:rsidRDefault="00486203" w:rsidP="00486203">
      <w:pPr>
        <w:rPr>
          <w:rFonts w:cstheme="minorHAnsi"/>
          <w:sz w:val="24"/>
          <w:szCs w:val="24"/>
        </w:rPr>
      </w:pPr>
      <w:r w:rsidRPr="004A5298">
        <w:rPr>
          <w:rFonts w:cstheme="minorHAnsi"/>
          <w:sz w:val="24"/>
          <w:szCs w:val="24"/>
        </w:rPr>
        <w:t>III - A liberdade de expressão, de informação, de comunicação e de opinião;</w:t>
      </w:r>
    </w:p>
    <w:p w14:paraId="0DD6D9E9" w14:textId="6481AC83" w:rsidR="00486203" w:rsidRPr="004A5298" w:rsidRDefault="00486203" w:rsidP="00486203">
      <w:pPr>
        <w:rPr>
          <w:rFonts w:cstheme="minorHAnsi"/>
          <w:sz w:val="24"/>
          <w:szCs w:val="24"/>
        </w:rPr>
      </w:pPr>
      <w:r w:rsidRPr="004A5298">
        <w:rPr>
          <w:rFonts w:cstheme="minorHAnsi"/>
          <w:sz w:val="24"/>
          <w:szCs w:val="24"/>
        </w:rPr>
        <w:t>IV - A inviolabilidade da intimidade, da honra e da imagem;</w:t>
      </w:r>
    </w:p>
    <w:p w14:paraId="6E52CDF8" w14:textId="4439CEA3" w:rsidR="00486203" w:rsidRPr="004A5298" w:rsidRDefault="00486203" w:rsidP="00486203">
      <w:pPr>
        <w:rPr>
          <w:rFonts w:cstheme="minorHAnsi"/>
          <w:sz w:val="24"/>
          <w:szCs w:val="24"/>
        </w:rPr>
      </w:pPr>
      <w:r w:rsidRPr="004A5298">
        <w:rPr>
          <w:rFonts w:cstheme="minorHAnsi"/>
          <w:sz w:val="24"/>
          <w:szCs w:val="24"/>
        </w:rPr>
        <w:t>V - O desenvolvimento econômico e tecnológico e a inovação;</w:t>
      </w:r>
    </w:p>
    <w:p w14:paraId="1DEFDA24" w14:textId="72E3F980" w:rsidR="00486203" w:rsidRPr="004A5298" w:rsidRDefault="00486203" w:rsidP="00486203">
      <w:pPr>
        <w:rPr>
          <w:rFonts w:cstheme="minorHAnsi"/>
          <w:sz w:val="24"/>
          <w:szCs w:val="24"/>
        </w:rPr>
      </w:pPr>
      <w:r w:rsidRPr="004A5298">
        <w:rPr>
          <w:rFonts w:cstheme="minorHAnsi"/>
          <w:sz w:val="24"/>
          <w:szCs w:val="24"/>
        </w:rPr>
        <w:t>VI - A livre iniciativa, a livre concorrência e a defesa do consumidor; e</w:t>
      </w:r>
    </w:p>
    <w:p w14:paraId="5F62F0F8" w14:textId="34EAF94C" w:rsidR="004A5298" w:rsidRPr="004A5298" w:rsidRDefault="00486203" w:rsidP="00486203">
      <w:pPr>
        <w:rPr>
          <w:rFonts w:cstheme="minorHAnsi"/>
          <w:sz w:val="24"/>
          <w:szCs w:val="24"/>
        </w:rPr>
      </w:pPr>
      <w:r w:rsidRPr="004A5298">
        <w:rPr>
          <w:rFonts w:cstheme="minorHAnsi"/>
          <w:sz w:val="24"/>
          <w:szCs w:val="24"/>
        </w:rPr>
        <w:t>VII - Os direitos humanos, o livre desenvolvimento da personalidade, a dignidade e o exercício da cidadania pelas pessoas naturais.</w:t>
      </w:r>
    </w:p>
    <w:p w14:paraId="2D5D2259" w14:textId="3F640B35" w:rsidR="005B0054" w:rsidRPr="004A5298" w:rsidRDefault="004A5298" w:rsidP="005B00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Assim a lei estabelece </w:t>
      </w:r>
      <w:r w:rsidRPr="004A5298">
        <w:rPr>
          <w:rFonts w:cstheme="minorHAnsi"/>
          <w:sz w:val="24"/>
          <w:szCs w:val="24"/>
        </w:rPr>
        <w:t>regras sobre coleta e manutenção das informações tanto de cidadãos brasileiros quanto de pessoas que estejam no território nacional, que deve ser feita sempre com o consentimento dos usuários salvo em casos de mandados judiciais ou para garantir a segurança pública e/ou do Estado, no caso de investigações criminais. Vale tanto para dados digitais conseguidos pela internet como através de outros meios.</w:t>
      </w:r>
    </w:p>
    <w:p w14:paraId="20E68DD1" w14:textId="4F51AEEF" w:rsidR="00097709" w:rsidRDefault="004A5298" w:rsidP="009B338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Dados como </w:t>
      </w:r>
      <w:r w:rsidRPr="004A5298">
        <w:rPr>
          <w:sz w:val="24"/>
          <w:szCs w:val="24"/>
        </w:rPr>
        <w:t>religião, alinhamento político, estado de saúde, preferências sexuais ou características físicas, entre outros, foram classificados como restritos: eles não podem ser utilizados para fins que possam levar a situações discriminatórias e deverão ser protegidos. Dados médicos, especificamente, não podem ser utilizados para fins comerciais, a menos que se deixe autorizado de forma expressa.</w:t>
      </w:r>
    </w:p>
    <w:p w14:paraId="0BB0E563" w14:textId="1E4452C1" w:rsidR="004A5298" w:rsidRDefault="004A5298" w:rsidP="009B3387">
      <w:pPr>
        <w:rPr>
          <w:sz w:val="24"/>
          <w:szCs w:val="24"/>
        </w:rPr>
      </w:pPr>
      <w:r w:rsidRPr="004A5298">
        <w:rPr>
          <w:sz w:val="24"/>
          <w:szCs w:val="24"/>
        </w:rPr>
        <w:t>Da parte das empresas e órgãos públicos, os mesmos terão que informar os direitos do usuário sobre recusar o tratamento de seus dados, bem como as consequências dessa decisão, onde ele deve autorizar o uso dos mesmos em caso de compartilhamento com terceiros. Igualmente, as empresas e órgãos deverão oferecer ferramentas que permitam ao usuário acessar seus dados, fazer correções, salvar, deletar ou transferi-los para outros serviços, seguindo o princípio de portabilidade.</w:t>
      </w:r>
    </w:p>
    <w:p w14:paraId="3E278AA2" w14:textId="22ED674F" w:rsidR="004A5298" w:rsidRDefault="004A5298" w:rsidP="009B3387">
      <w:pPr>
        <w:rPr>
          <w:sz w:val="24"/>
          <w:szCs w:val="24"/>
        </w:rPr>
      </w:pPr>
      <w:r>
        <w:rPr>
          <w:sz w:val="24"/>
          <w:szCs w:val="24"/>
        </w:rPr>
        <w:t xml:space="preserve">Para físicas que tratam dados com objetivos pessoais, acadêmicos, jornalísticos ou artísticos não serão afetados, devendo ser tratados de modo anônimo, </w:t>
      </w:r>
      <w:r w:rsidRPr="004A5298">
        <w:rPr>
          <w:sz w:val="24"/>
          <w:szCs w:val="24"/>
        </w:rPr>
        <w:t>bem como em casos de segurança pública ou do Estado, de defesa nacional ou de investigação criminal.</w:t>
      </w:r>
    </w:p>
    <w:p w14:paraId="31A2081A" w14:textId="77777777" w:rsidR="004A5298" w:rsidRDefault="004A5298" w:rsidP="009B3387">
      <w:pPr>
        <w:rPr>
          <w:sz w:val="24"/>
          <w:szCs w:val="24"/>
        </w:rPr>
      </w:pPr>
    </w:p>
    <w:p w14:paraId="4F616B07" w14:textId="77777777" w:rsidR="00097709" w:rsidRDefault="00097709" w:rsidP="009B3387">
      <w:pPr>
        <w:rPr>
          <w:sz w:val="24"/>
          <w:szCs w:val="24"/>
        </w:rPr>
      </w:pPr>
    </w:p>
    <w:p w14:paraId="25D077C3" w14:textId="5B8CD43A" w:rsidR="009B3387" w:rsidRDefault="009B3387" w:rsidP="009B3387">
      <w:pPr>
        <w:pStyle w:val="Ttulo1"/>
      </w:pPr>
      <w:r>
        <w:t>Conclusão.</w:t>
      </w:r>
    </w:p>
    <w:p w14:paraId="44B6A5D6" w14:textId="21845E7E" w:rsidR="004A60A1" w:rsidRPr="004A60A1" w:rsidRDefault="004A60A1" w:rsidP="004A60A1">
      <w:pPr>
        <w:rPr>
          <w:sz w:val="24"/>
          <w:szCs w:val="24"/>
        </w:rPr>
      </w:pPr>
      <w:r w:rsidRPr="004A60A1">
        <w:rPr>
          <w:sz w:val="24"/>
          <w:szCs w:val="24"/>
        </w:rPr>
        <w:t>Basicamente a LGPD, tendo como base a GDPR, concerne em uma ferramenta governamental para proteção de dados dos brasileiros e para que essa lei seja cumprida existe a ANPD.</w:t>
      </w:r>
    </w:p>
    <w:p w14:paraId="1DC38AEE" w14:textId="058B3C7F" w:rsidR="004A60A1" w:rsidRPr="004A60A1" w:rsidRDefault="004A60A1" w:rsidP="004A60A1">
      <w:pPr>
        <w:rPr>
          <w:sz w:val="24"/>
          <w:szCs w:val="24"/>
        </w:rPr>
      </w:pPr>
      <w:r w:rsidRPr="004A60A1">
        <w:rPr>
          <w:sz w:val="24"/>
          <w:szCs w:val="24"/>
        </w:rPr>
        <w:t>Com ela cria-se um cenário de transparência e segurança jurídica para todo o país, tem como base legal o consentimento para tratamento de dados estabelecendo de maneira clara o que são dados pessoais.</w:t>
      </w:r>
    </w:p>
    <w:p w14:paraId="3DF527CA" w14:textId="32BB78B1" w:rsidR="009B3387" w:rsidRDefault="009B3387" w:rsidP="009B3387">
      <w:pPr>
        <w:pStyle w:val="Ttulo1"/>
      </w:pPr>
      <w:r>
        <w:t>Referências</w:t>
      </w:r>
    </w:p>
    <w:p w14:paraId="5D11E28F" w14:textId="2C824D2E" w:rsidR="009B3387" w:rsidRPr="004A60A1" w:rsidRDefault="004A5298" w:rsidP="009B3387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4A60A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L13709. Presidencia da republica, 14 ago. 2018. Disponível em: http://www.planalto.gov.br/ccivil_03/_Ato2015-2018/2018/Lei/L13709.htm. Acesso em: 4 ago. 2021.</w:t>
      </w:r>
    </w:p>
    <w:p w14:paraId="1DD7B53B" w14:textId="77777777" w:rsidR="004A5298" w:rsidRPr="009B3387" w:rsidRDefault="004A5298" w:rsidP="009B3387"/>
    <w:p w14:paraId="01B020D5" w14:textId="0E4EBBF1" w:rsidR="000C3822" w:rsidRPr="000C3822" w:rsidRDefault="000C3822" w:rsidP="000C3822"/>
    <w:p w14:paraId="7D8CC2F2" w14:textId="1C1FB92C" w:rsidR="000C3822" w:rsidRPr="000C3822" w:rsidRDefault="000C3822" w:rsidP="000C3822"/>
    <w:p w14:paraId="080F9F2F" w14:textId="5A5A8B84" w:rsidR="000C3822" w:rsidRPr="000C3822" w:rsidRDefault="000C3822" w:rsidP="000C3822"/>
    <w:p w14:paraId="5EA71EB1" w14:textId="4C51610A" w:rsidR="000C3822" w:rsidRPr="000C3822" w:rsidRDefault="000C3822" w:rsidP="000C3822"/>
    <w:p w14:paraId="69049652" w14:textId="7007B1E3" w:rsidR="000C3822" w:rsidRPr="000C3822" w:rsidRDefault="000C3822" w:rsidP="000C3822"/>
    <w:p w14:paraId="72403318" w14:textId="23F513A3" w:rsidR="000C3822" w:rsidRPr="000C3822" w:rsidRDefault="000C3822" w:rsidP="000C3822"/>
    <w:p w14:paraId="0BFF07B2" w14:textId="51D6E2F9" w:rsidR="000C3822" w:rsidRPr="000C3822" w:rsidRDefault="000C3822" w:rsidP="000C3822"/>
    <w:p w14:paraId="3BCE43D9" w14:textId="730DAA0E" w:rsidR="000C3822" w:rsidRPr="000C3822" w:rsidRDefault="000C3822" w:rsidP="000C3822"/>
    <w:p w14:paraId="6E41CD33" w14:textId="6D6A0FF1" w:rsidR="000C3822" w:rsidRPr="000C3822" w:rsidRDefault="000C3822" w:rsidP="000C3822">
      <w:pPr>
        <w:tabs>
          <w:tab w:val="left" w:pos="5412"/>
        </w:tabs>
      </w:pPr>
      <w:r>
        <w:tab/>
      </w:r>
    </w:p>
    <w:sectPr w:rsidR="000C3822" w:rsidRPr="000C3822" w:rsidSect="000C382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22"/>
    <w:rsid w:val="00097709"/>
    <w:rsid w:val="000C3822"/>
    <w:rsid w:val="00486203"/>
    <w:rsid w:val="004A5298"/>
    <w:rsid w:val="004A60A1"/>
    <w:rsid w:val="005B0054"/>
    <w:rsid w:val="005C576C"/>
    <w:rsid w:val="00957809"/>
    <w:rsid w:val="009B3387"/>
    <w:rsid w:val="00A152E1"/>
    <w:rsid w:val="00A64621"/>
    <w:rsid w:val="00A83DB1"/>
    <w:rsid w:val="00C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6602"/>
  <w15:chartTrackingRefBased/>
  <w15:docId w15:val="{22F92B89-D37C-4744-B0D8-ADCB3CC9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3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0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2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CA21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0C382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C3822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B3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B00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331FCE72D19F40801346E69E623184" ma:contentTypeVersion="12" ma:contentTypeDescription="Create a new document." ma:contentTypeScope="" ma:versionID="257daba0312e2849e68b2a1a965ded61">
  <xsd:schema xmlns:xsd="http://www.w3.org/2001/XMLSchema" xmlns:xs="http://www.w3.org/2001/XMLSchema" xmlns:p="http://schemas.microsoft.com/office/2006/metadata/properties" xmlns:ns3="99a7f308-de09-45ec-8d36-68c4f8814917" xmlns:ns4="6f809d39-85d1-4ad9-b70e-635ce188965e" targetNamespace="http://schemas.microsoft.com/office/2006/metadata/properties" ma:root="true" ma:fieldsID="67006e693175ff68c438c01d9c0e7ae8" ns3:_="" ns4:_="">
    <xsd:import namespace="99a7f308-de09-45ec-8d36-68c4f8814917"/>
    <xsd:import namespace="6f809d39-85d1-4ad9-b70e-635ce18896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7f308-de09-45ec-8d36-68c4f8814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09d39-85d1-4ad9-b70e-635ce18896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CA1E62-7E01-4FF0-804D-86E27E0A8765}">
  <ds:schemaRefs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6f809d39-85d1-4ad9-b70e-635ce188965e"/>
    <ds:schemaRef ds:uri="http://schemas.openxmlformats.org/package/2006/metadata/core-properties"/>
    <ds:schemaRef ds:uri="99a7f308-de09-45ec-8d36-68c4f881491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EBE427A-A181-4FC4-9AD2-52C578DF26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6CAA45-5ECD-4223-B118-5D8E8C3097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7f308-de09-45ec-8d36-68c4f8814917"/>
    <ds:schemaRef ds:uri="6f809d39-85d1-4ad9-b70e-635ce18896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Sorocaba 04/08/2021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LGPd</dc:title>
  <dc:subject>Lei Geral de proteção de dados</dc:subject>
  <dc:creator>GABRIEL JESUS PORFIRIO MARQUES</dc:creator>
  <cp:keywords/>
  <dc:description/>
  <cp:lastModifiedBy>GABRIEL MARQUES</cp:lastModifiedBy>
  <cp:revision>2</cp:revision>
  <dcterms:created xsi:type="dcterms:W3CDTF">2021-08-05T00:58:00Z</dcterms:created>
  <dcterms:modified xsi:type="dcterms:W3CDTF">2021-08-05T00:58:00Z</dcterms:modified>
  <cp:category>Gabriel Jesus Porfirio Marques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0x0101006D331FCE72D19F40801346E69E623184</vt:lpwstr>
  </property>
</Properties>
</file>