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Roles y niveles de acceso</w:t>
      </w:r>
    </w:p>
    <w:p>
      <w:r>
        <w:rPr>
          <w:i/>
          <w:color w:val="595959"/>
          <w:sz w:val="22"/>
        </w:rPr>
        <w:t>Sistema de Censo de Pacientes — Medicamentos de Alto Costo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Responsable de Unidad</w:t>
            </w:r>
          </w:p>
        </w:tc>
        <w:tc>
          <w:tcPr>
            <w:tcW w:type="dxa" w:w="47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Administrador Estatal</w:t>
            </w:r>
          </w:p>
        </w:tc>
        <w:tc>
          <w:tcPr>
            <w:tcW w:type="dxa" w:w="47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Administrador General</w:t>
            </w:r>
          </w:p>
        </w:tc>
      </w:tr>
      <w:tr>
        <w:tc>
          <w:tcPr>
            <w:tcW w:type="dxa" w:w="4704"/>
            <w:vAlign w:val="center"/>
          </w:tcPr>
          <w:p>
            <w:r>
              <w:rPr>
                <w:i/>
                <w:sz w:val="21"/>
              </w:rPr>
              <w:t>Registra y administra pacientes y prescripciones, pero únicamente de su propia unidad médica. Es el nivel de uso diario en campo.</w:t>
            </w:r>
          </w:p>
          <w:p>
            <w:r>
              <w:rPr>
                <w:b/>
                <w:color w:val="1F4E79"/>
                <w:sz w:val="21"/>
              </w:rPr>
              <w:t>¿Qué puede hacer?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Dar de alta pacientes nuevos junto con su primera prescripción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Agregar nuevas prescripciones a pacientes ya registrados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Buscar pacientes por identificación oficial o por nombre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Consultar el historial de prescripciones de sus pacientes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Trasladar un paciente a otra unidad médica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Dar de baja a un paciente, registrando el motivo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Registrar al personal médico de su unidad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Consultar y exportar reportes de su propia unidad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Recibir notificaciones de prescripciones próximas a vencer y de traslados</w:t>
            </w:r>
          </w:p>
        </w:tc>
        <w:tc>
          <w:tcPr>
            <w:tcW w:type="dxa" w:w="4704"/>
            <w:vAlign w:val="center"/>
          </w:tcPr>
          <w:p>
            <w:r>
              <w:rPr>
                <w:i/>
                <w:sz w:val="21"/>
              </w:rPr>
              <w:t>Consulta información y reportes de todas las unidades médicas de su estado. No puede registrar ni modificar pacientes — su función es de supervisión y análisis a nivel estatal.</w:t>
            </w:r>
          </w:p>
          <w:p>
            <w:r>
              <w:rPr>
                <w:b/>
                <w:color w:val="1F4E79"/>
                <w:sz w:val="21"/>
              </w:rPr>
              <w:t>¿Qué puede hacer?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Consultar el padrón de pacientes de todas las unidades de su estado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Consultar el reporte detallado de prescripciones (exportable a Excel)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Consultar el reporte agregado por unidad médica de su estado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Dar seguimiento al panorama general de tratamientos en su estado</w:t>
            </w:r>
          </w:p>
        </w:tc>
        <w:tc>
          <w:tcPr>
            <w:tcW w:type="dxa" w:w="4704"/>
            <w:vAlign w:val="center"/>
          </w:tcPr>
          <w:p>
            <w:r>
              <w:rPr>
                <w:i/>
                <w:sz w:val="21"/>
              </w:rPr>
              <w:t>Acceso completo al sistema: todas las unidades médicas y todos los estados. Administra los catálogos centrales (medicamentos, unidades médicas) y las cuentas de acceso de los demás usuarios.</w:t>
            </w:r>
          </w:p>
          <w:p>
            <w:r>
              <w:rPr>
                <w:b/>
                <w:color w:val="1F4E79"/>
                <w:sz w:val="21"/>
              </w:rPr>
              <w:t>¿Qué puede hacer?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Registrar y administrar pacientes y prescripciones de cualquier unidad médica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Administrar el catálogo oficial de medicamentos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Administrar el catálogo de unidades médicas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Dar de alta, editar y dar de baja cuentas de acceso de usuarios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Consultar todos los reportes, incluido el Requerimiento Teórico Mensual (RTM)</w:t>
            </w:r>
          </w:p>
          <w:p>
            <w:pPr>
              <w:spacing w:after="80"/>
              <w:ind w:left="216"/>
            </w:pPr>
            <w:r>
              <w:rPr>
                <w:sz w:val="20"/>
              </w:rPr>
              <w:t>• Registrar al personal médico de cualquier unidad</w:t>
            </w:r>
          </w:p>
        </w:tc>
      </w:tr>
    </w:tbl>
    <w:p/>
    <w:p>
      <w:r>
        <w:rPr>
          <w:i/>
          <w:color w:val="808080"/>
          <w:sz w:val="18"/>
        </w:rPr>
        <w:t>Documento de uso interno — IMSS Bienestar</w:t>
      </w:r>
    </w:p>
    <w:sectPr w:rsidR="00FC693F" w:rsidRPr="0006063C" w:rsidSect="00034616">
      <w:pgSz w:w="15840" w:h="12240" w:orient="landscape"/>
      <w:pgMar w:top="864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