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03C2" w14:textId="40631FDA" w:rsidR="00B641DD" w:rsidRPr="005E7F4A" w:rsidRDefault="00B641DD" w:rsidP="00981C6D">
      <w:pPr>
        <w:pStyle w:val="Subtitle"/>
        <w:rPr>
          <w:lang w:val="en-US"/>
        </w:rPr>
      </w:pPr>
      <w:r w:rsidRPr="005E7F4A">
        <w:rPr>
          <w:lang w:val="en-US"/>
        </w:rPr>
        <w:t xml:space="preserve">Methodology </w:t>
      </w:r>
    </w:p>
    <w:p w14:paraId="1A0856B6" w14:textId="3EB3FD17" w:rsidR="00B641DD" w:rsidRDefault="005E7F4A">
      <w:pPr>
        <w:rPr>
          <w:lang w:val="en-US"/>
        </w:rPr>
      </w:pPr>
      <w:r w:rsidRPr="005E7F4A">
        <w:rPr>
          <w:lang w:val="en-US"/>
        </w:rPr>
        <w:t>The estimation of fiscal incidence follow</w:t>
      </w:r>
      <w:r>
        <w:rPr>
          <w:lang w:val="en-US"/>
        </w:rPr>
        <w:t xml:space="preserve">s the standard CEQ framework to construct the income concepts: Market Income, Net Market Income, </w:t>
      </w:r>
      <w:r w:rsidR="00FF06B5">
        <w:rPr>
          <w:lang w:val="en-US"/>
        </w:rPr>
        <w:t>Dispensable</w:t>
      </w:r>
      <w:r>
        <w:rPr>
          <w:lang w:val="en-US"/>
        </w:rPr>
        <w:t xml:space="preserve"> Income, Post-fiscal Income, and Final Income. The following sections describe the computational procedures implemented to estimate the components. </w:t>
      </w:r>
    </w:p>
    <w:p w14:paraId="2D4B8713" w14:textId="2FB7F4AF" w:rsidR="005E7F4A" w:rsidRPr="005E7F4A" w:rsidRDefault="005E7F4A" w:rsidP="005E7F4A">
      <w:pPr>
        <w:pStyle w:val="ListParagraph"/>
        <w:numPr>
          <w:ilvl w:val="0"/>
          <w:numId w:val="1"/>
        </w:numPr>
        <w:rPr>
          <w:b/>
          <w:bCs/>
          <w:lang w:val="en-US"/>
        </w:rPr>
      </w:pPr>
      <w:r w:rsidRPr="005E7F4A">
        <w:rPr>
          <w:b/>
          <w:bCs/>
          <w:lang w:val="en-US"/>
        </w:rPr>
        <w:t>Market Income and the Estimation of Personal Income Tax (ISR)</w:t>
      </w:r>
    </w:p>
    <w:p w14:paraId="3E301BD7" w14:textId="75EFCB85" w:rsidR="005E7F4A" w:rsidRDefault="005E7F4A" w:rsidP="005E7F4A">
      <w:pPr>
        <w:rPr>
          <w:lang w:val="en-US"/>
        </w:rPr>
      </w:pPr>
      <w:r w:rsidRPr="005E7F4A">
        <w:rPr>
          <w:lang w:val="en-US"/>
        </w:rPr>
        <w:t xml:space="preserve">Market Income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e>
        </m:d>
      </m:oMath>
      <w:r w:rsidRPr="005E7F4A">
        <w:rPr>
          <w:lang w:val="en-US"/>
        </w:rPr>
        <w:t xml:space="preserve"> represents the total income before any government intervention. </w:t>
      </w:r>
      <w:r>
        <w:rPr>
          <w:lang w:val="en-US"/>
        </w:rPr>
        <w:t xml:space="preserve">Since the National Survey of Househols Income Expenditures (ENIGH) reports income net of taxes, a “gross-up” procedure is required to estimate the pre-tax income for formal workers (category P001: Wages and Salaries) </w:t>
      </w:r>
    </w:p>
    <w:p w14:paraId="274EDB26" w14:textId="56A30074" w:rsidR="005E7F4A" w:rsidRDefault="005E7F4A" w:rsidP="005E7F4A">
      <w:pPr>
        <w:rPr>
          <w:lang w:val="en-US"/>
        </w:rPr>
      </w:pPr>
      <w:r>
        <w:rPr>
          <w:lang w:val="en-US"/>
        </w:rPr>
        <w:t xml:space="preserve">Gross income is recovered form observed net income using progressive tax schedule established by the Servicio de Administración Tributaria for fiscal year 2024. </w:t>
      </w:r>
      <w:r w:rsidR="00864303">
        <w:rPr>
          <w:lang w:val="en-US"/>
        </w:rPr>
        <w:t xml:space="preserve">Let </w:t>
      </w:r>
      <m:oMath>
        <m:r>
          <w:rPr>
            <w:rFonts w:ascii="Cambria Math" w:hAnsi="Cambria Math"/>
            <w:lang w:val="en-US"/>
          </w:rPr>
          <m:t>B</m:t>
        </m:r>
      </m:oMath>
      <w:r w:rsidR="00864303">
        <w:rPr>
          <w:lang w:val="en-US"/>
        </w:rPr>
        <w:t xml:space="preserve"> denote gross income and </w:t>
      </w:r>
      <m:oMath>
        <m:r>
          <w:rPr>
            <w:rFonts w:ascii="Cambria Math" w:hAnsi="Cambria Math"/>
            <w:lang w:val="en-US"/>
          </w:rPr>
          <m:t>N(B)</m:t>
        </m:r>
      </m:oMath>
      <w:r w:rsidR="00864303">
        <w:rPr>
          <w:lang w:val="en-US"/>
        </w:rPr>
        <w:t xml:space="preserve"> net income after income tax. The tax system is defined by </w:t>
      </w:r>
      <m:oMath>
        <m:r>
          <w:rPr>
            <w:rFonts w:ascii="Cambria Math" w:hAnsi="Cambria Math"/>
            <w:lang w:val="en-US"/>
          </w:rPr>
          <m:t>n</m:t>
        </m:r>
      </m:oMath>
      <w:r w:rsidR="00864303">
        <w:rPr>
          <w:lang w:val="en-US"/>
        </w:rPr>
        <w:t xml:space="preserve"> brackets indexed by </w:t>
      </w:r>
      <m:oMath>
        <m:r>
          <w:rPr>
            <w:rFonts w:ascii="Cambria Math" w:hAnsi="Cambria Math"/>
            <w:lang w:val="en-US"/>
          </w:rPr>
          <m:t>i=1,2,…, n,</m:t>
        </m:r>
      </m:oMath>
      <w:r w:rsidR="00864303">
        <w:rPr>
          <w:lang w:val="en-US"/>
        </w:rPr>
        <w:t xml:space="preserve"> each characterized by a lower bound </w:t>
      </w:r>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oMath>
      <w:r w:rsidR="00864303">
        <w:rPr>
          <w:lang w:val="en-US"/>
        </w:rPr>
        <w:t xml:space="preserve"> an upper bound </w:t>
      </w:r>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oMath>
      <w:r w:rsidR="00864303">
        <w:rPr>
          <w:lang w:val="en-US"/>
        </w:rPr>
        <w:t xml:space="preserve"> a fixed quota </w:t>
      </w:r>
      <m:oMath>
        <m:r>
          <w:rPr>
            <w:rFonts w:ascii="Cambria Math" w:hAnsi="Cambria Math"/>
            <w:lang w:val="en-US"/>
          </w:rPr>
          <m:t>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oMath>
      <w:r w:rsidR="00864303">
        <w:rPr>
          <w:lang w:val="en-US"/>
        </w:rPr>
        <w:t xml:space="preserve"> and a marginal tax rate </w:t>
      </w:r>
      <m:oMath>
        <m:r>
          <w:rPr>
            <w:rFonts w:ascii="Cambria Math" w:hAnsi="Cambria Math"/>
            <w:lang w:val="en-US"/>
          </w:rPr>
          <m:t>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∈(0,1)</m:t>
        </m:r>
      </m:oMath>
      <w:r w:rsidR="008056E3">
        <w:rPr>
          <w:lang w:val="en-US"/>
        </w:rPr>
        <w:t xml:space="preserve">, as shown in table 1 </w:t>
      </w:r>
    </w:p>
    <w:p w14:paraId="48EF64A2" w14:textId="7EBB2FA7" w:rsidR="00FF06B5" w:rsidRPr="00FF06B5" w:rsidRDefault="00FF06B5" w:rsidP="00FF06B5">
      <w:pPr>
        <w:jc w:val="center"/>
        <w:rPr>
          <w:b/>
          <w:bCs/>
          <w:lang w:val="en-US"/>
        </w:rPr>
      </w:pPr>
      <w:r w:rsidRPr="00FF06B5">
        <w:rPr>
          <w:b/>
          <w:bCs/>
          <w:lang w:val="en-US"/>
        </w:rPr>
        <w:t>Table 1. ISR 2024</w:t>
      </w:r>
    </w:p>
    <w:tbl>
      <w:tblPr>
        <w:tblStyle w:val="TableGrid"/>
        <w:tblW w:w="0" w:type="auto"/>
        <w:tblLook w:val="04A0" w:firstRow="1" w:lastRow="0" w:firstColumn="1" w:lastColumn="0" w:noHBand="0" w:noVBand="1"/>
      </w:tblPr>
      <w:tblGrid>
        <w:gridCol w:w="2337"/>
        <w:gridCol w:w="2337"/>
        <w:gridCol w:w="2338"/>
        <w:gridCol w:w="2338"/>
      </w:tblGrid>
      <w:tr w:rsidR="00FF06B5" w14:paraId="74FC393C" w14:textId="77777777" w:rsidTr="00FF06B5">
        <w:tc>
          <w:tcPr>
            <w:tcW w:w="2337" w:type="dxa"/>
          </w:tcPr>
          <w:p w14:paraId="318E590D" w14:textId="6EB6C224" w:rsidR="00FF06B5" w:rsidRDefault="00FF06B5" w:rsidP="00FF06B5">
            <w:pPr>
              <w:rPr>
                <w:lang w:val="en-US"/>
              </w:rPr>
            </w:pPr>
            <w:r w:rsidRPr="00D840AB">
              <w:t>Límite inferior</w:t>
            </w:r>
          </w:p>
        </w:tc>
        <w:tc>
          <w:tcPr>
            <w:tcW w:w="2337" w:type="dxa"/>
          </w:tcPr>
          <w:p w14:paraId="3CFB11FA" w14:textId="7442C248" w:rsidR="00FF06B5" w:rsidRDefault="00FF06B5" w:rsidP="00FF06B5">
            <w:pPr>
              <w:rPr>
                <w:lang w:val="en-US"/>
              </w:rPr>
            </w:pPr>
            <w:r w:rsidRPr="00D840AB">
              <w:t>Límite superior</w:t>
            </w:r>
          </w:p>
        </w:tc>
        <w:tc>
          <w:tcPr>
            <w:tcW w:w="2338" w:type="dxa"/>
          </w:tcPr>
          <w:p w14:paraId="06ED7DE3" w14:textId="402430E1" w:rsidR="00FF06B5" w:rsidRDefault="00FF06B5" w:rsidP="00FF06B5">
            <w:pPr>
              <w:rPr>
                <w:lang w:val="en-US"/>
              </w:rPr>
            </w:pPr>
            <w:r w:rsidRPr="00D840AB">
              <w:t>Cuota fija</w:t>
            </w:r>
          </w:p>
        </w:tc>
        <w:tc>
          <w:tcPr>
            <w:tcW w:w="2338" w:type="dxa"/>
          </w:tcPr>
          <w:p w14:paraId="60032DAD" w14:textId="4773F0CB" w:rsidR="00FF06B5" w:rsidRDefault="00FF06B5" w:rsidP="00FF06B5">
            <w:pPr>
              <w:rPr>
                <w:lang w:val="en-US"/>
              </w:rPr>
            </w:pPr>
            <w:r w:rsidRPr="00D840AB">
              <w:t>% Sobre excedente</w:t>
            </w:r>
          </w:p>
        </w:tc>
      </w:tr>
      <w:tr w:rsidR="00FF06B5" w14:paraId="7F2DFA3D" w14:textId="77777777" w:rsidTr="00FF06B5">
        <w:tc>
          <w:tcPr>
            <w:tcW w:w="2337" w:type="dxa"/>
          </w:tcPr>
          <w:p w14:paraId="0B2CA883" w14:textId="66D1360C" w:rsidR="00FF06B5" w:rsidRDefault="00FF06B5" w:rsidP="00FF06B5">
            <w:pPr>
              <w:rPr>
                <w:lang w:val="en-US"/>
              </w:rPr>
            </w:pPr>
          </w:p>
        </w:tc>
        <w:tc>
          <w:tcPr>
            <w:tcW w:w="2337" w:type="dxa"/>
          </w:tcPr>
          <w:p w14:paraId="4B496ADA" w14:textId="77777777" w:rsidR="00FF06B5" w:rsidRDefault="00FF06B5" w:rsidP="00FF06B5">
            <w:pPr>
              <w:rPr>
                <w:lang w:val="en-US"/>
              </w:rPr>
            </w:pPr>
          </w:p>
        </w:tc>
        <w:tc>
          <w:tcPr>
            <w:tcW w:w="2338" w:type="dxa"/>
          </w:tcPr>
          <w:p w14:paraId="5A950F0D" w14:textId="77777777" w:rsidR="00FF06B5" w:rsidRDefault="00FF06B5" w:rsidP="00FF06B5">
            <w:pPr>
              <w:rPr>
                <w:lang w:val="en-US"/>
              </w:rPr>
            </w:pPr>
          </w:p>
        </w:tc>
        <w:tc>
          <w:tcPr>
            <w:tcW w:w="2338" w:type="dxa"/>
          </w:tcPr>
          <w:p w14:paraId="236F481B" w14:textId="77777777" w:rsidR="00FF06B5" w:rsidRDefault="00FF06B5" w:rsidP="00FF06B5">
            <w:pPr>
              <w:rPr>
                <w:lang w:val="en-US"/>
              </w:rPr>
            </w:pPr>
          </w:p>
        </w:tc>
      </w:tr>
      <w:tr w:rsidR="00FF06B5" w14:paraId="1DAF1F32" w14:textId="77777777" w:rsidTr="00FF06B5">
        <w:tc>
          <w:tcPr>
            <w:tcW w:w="2337" w:type="dxa"/>
          </w:tcPr>
          <w:p w14:paraId="21E5EC79" w14:textId="28E36692" w:rsidR="00FF06B5" w:rsidRDefault="00FF06B5" w:rsidP="00FF06B5">
            <w:pPr>
              <w:rPr>
                <w:lang w:val="en-US"/>
              </w:rPr>
            </w:pPr>
            <w:r w:rsidRPr="00D840AB">
              <w:t>0.01</w:t>
            </w:r>
          </w:p>
        </w:tc>
        <w:tc>
          <w:tcPr>
            <w:tcW w:w="2337" w:type="dxa"/>
          </w:tcPr>
          <w:p w14:paraId="0CADB09B" w14:textId="36E2B612" w:rsidR="00FF06B5" w:rsidRDefault="00FF06B5" w:rsidP="00FF06B5">
            <w:pPr>
              <w:rPr>
                <w:lang w:val="en-US"/>
              </w:rPr>
            </w:pPr>
            <w:r w:rsidRPr="00D840AB">
              <w:t>8,952.49</w:t>
            </w:r>
          </w:p>
        </w:tc>
        <w:tc>
          <w:tcPr>
            <w:tcW w:w="2338" w:type="dxa"/>
          </w:tcPr>
          <w:p w14:paraId="7E5CEB31" w14:textId="326FB1DF" w:rsidR="00FF06B5" w:rsidRDefault="00FF06B5" w:rsidP="00FF06B5">
            <w:pPr>
              <w:rPr>
                <w:lang w:val="en-US"/>
              </w:rPr>
            </w:pPr>
            <w:r w:rsidRPr="00D840AB">
              <w:t>0.00</w:t>
            </w:r>
          </w:p>
        </w:tc>
        <w:tc>
          <w:tcPr>
            <w:tcW w:w="2338" w:type="dxa"/>
          </w:tcPr>
          <w:p w14:paraId="4DB7C28B" w14:textId="02078FFB" w:rsidR="00FF06B5" w:rsidRDefault="00FF06B5" w:rsidP="00FF06B5">
            <w:pPr>
              <w:rPr>
                <w:lang w:val="en-US"/>
              </w:rPr>
            </w:pPr>
            <w:r w:rsidRPr="00D840AB">
              <w:t>1.92</w:t>
            </w:r>
          </w:p>
        </w:tc>
      </w:tr>
      <w:tr w:rsidR="00FF06B5" w14:paraId="39DB921D" w14:textId="77777777" w:rsidTr="00FF06B5">
        <w:tc>
          <w:tcPr>
            <w:tcW w:w="2337" w:type="dxa"/>
          </w:tcPr>
          <w:p w14:paraId="624C8CB1" w14:textId="772B4D19" w:rsidR="00FF06B5" w:rsidRDefault="00FF06B5" w:rsidP="00FF06B5">
            <w:pPr>
              <w:rPr>
                <w:lang w:val="en-US"/>
              </w:rPr>
            </w:pPr>
            <w:r w:rsidRPr="00D840AB">
              <w:t>8,952.50</w:t>
            </w:r>
          </w:p>
        </w:tc>
        <w:tc>
          <w:tcPr>
            <w:tcW w:w="2337" w:type="dxa"/>
          </w:tcPr>
          <w:p w14:paraId="2DBE3FBD" w14:textId="5339ABC6" w:rsidR="00FF06B5" w:rsidRDefault="00FF06B5" w:rsidP="00FF06B5">
            <w:pPr>
              <w:rPr>
                <w:lang w:val="en-US"/>
              </w:rPr>
            </w:pPr>
            <w:r w:rsidRPr="00D840AB">
              <w:t>75,984.55</w:t>
            </w:r>
          </w:p>
        </w:tc>
        <w:tc>
          <w:tcPr>
            <w:tcW w:w="2338" w:type="dxa"/>
          </w:tcPr>
          <w:p w14:paraId="769FFC8A" w14:textId="667FA6B7" w:rsidR="00FF06B5" w:rsidRDefault="00FF06B5" w:rsidP="00FF06B5">
            <w:pPr>
              <w:rPr>
                <w:lang w:val="en-US"/>
              </w:rPr>
            </w:pPr>
            <w:r w:rsidRPr="00D840AB">
              <w:t>171.88</w:t>
            </w:r>
          </w:p>
        </w:tc>
        <w:tc>
          <w:tcPr>
            <w:tcW w:w="2338" w:type="dxa"/>
          </w:tcPr>
          <w:p w14:paraId="72A833E3" w14:textId="4A2BA7E0" w:rsidR="00FF06B5" w:rsidRDefault="00FF06B5" w:rsidP="00FF06B5">
            <w:pPr>
              <w:rPr>
                <w:lang w:val="en-US"/>
              </w:rPr>
            </w:pPr>
            <w:r w:rsidRPr="00D840AB">
              <w:t>6.40</w:t>
            </w:r>
          </w:p>
        </w:tc>
      </w:tr>
      <w:tr w:rsidR="00FF06B5" w14:paraId="5A660781" w14:textId="77777777" w:rsidTr="00FF06B5">
        <w:tc>
          <w:tcPr>
            <w:tcW w:w="2337" w:type="dxa"/>
          </w:tcPr>
          <w:p w14:paraId="378125BF" w14:textId="07D41DB6" w:rsidR="00FF06B5" w:rsidRDefault="00FF06B5" w:rsidP="00FF06B5">
            <w:pPr>
              <w:rPr>
                <w:lang w:val="en-US"/>
              </w:rPr>
            </w:pPr>
            <w:r w:rsidRPr="00D840AB">
              <w:t>75,984.56</w:t>
            </w:r>
          </w:p>
        </w:tc>
        <w:tc>
          <w:tcPr>
            <w:tcW w:w="2337" w:type="dxa"/>
          </w:tcPr>
          <w:p w14:paraId="7091E79A" w14:textId="6F8480B8" w:rsidR="00FF06B5" w:rsidRDefault="00FF06B5" w:rsidP="00FF06B5">
            <w:pPr>
              <w:rPr>
                <w:lang w:val="en-US"/>
              </w:rPr>
            </w:pPr>
            <w:r w:rsidRPr="00D840AB">
              <w:t>133,536.07</w:t>
            </w:r>
          </w:p>
        </w:tc>
        <w:tc>
          <w:tcPr>
            <w:tcW w:w="2338" w:type="dxa"/>
          </w:tcPr>
          <w:p w14:paraId="286EE945" w14:textId="494AF620" w:rsidR="00FF06B5" w:rsidRDefault="00FF06B5" w:rsidP="00FF06B5">
            <w:pPr>
              <w:rPr>
                <w:lang w:val="en-US"/>
              </w:rPr>
            </w:pPr>
            <w:r w:rsidRPr="00D840AB">
              <w:t>4,461.94</w:t>
            </w:r>
          </w:p>
        </w:tc>
        <w:tc>
          <w:tcPr>
            <w:tcW w:w="2338" w:type="dxa"/>
          </w:tcPr>
          <w:p w14:paraId="41F7CC51" w14:textId="5BD0F706" w:rsidR="00FF06B5" w:rsidRDefault="00FF06B5" w:rsidP="00FF06B5">
            <w:pPr>
              <w:rPr>
                <w:lang w:val="en-US"/>
              </w:rPr>
            </w:pPr>
            <w:r w:rsidRPr="00D840AB">
              <w:t>10.88</w:t>
            </w:r>
          </w:p>
        </w:tc>
      </w:tr>
      <w:tr w:rsidR="00FF06B5" w14:paraId="71FB5821" w14:textId="77777777" w:rsidTr="00FF06B5">
        <w:tc>
          <w:tcPr>
            <w:tcW w:w="2337" w:type="dxa"/>
          </w:tcPr>
          <w:p w14:paraId="173AD607" w14:textId="7AA1935E" w:rsidR="00FF06B5" w:rsidRDefault="00FF06B5" w:rsidP="00FF06B5">
            <w:pPr>
              <w:rPr>
                <w:lang w:val="en-US"/>
              </w:rPr>
            </w:pPr>
            <w:r w:rsidRPr="00D840AB">
              <w:t>133,536.08</w:t>
            </w:r>
          </w:p>
        </w:tc>
        <w:tc>
          <w:tcPr>
            <w:tcW w:w="2337" w:type="dxa"/>
          </w:tcPr>
          <w:p w14:paraId="47318F2D" w14:textId="239F7676" w:rsidR="00FF06B5" w:rsidRDefault="00FF06B5" w:rsidP="00FF06B5">
            <w:pPr>
              <w:rPr>
                <w:lang w:val="en-US"/>
              </w:rPr>
            </w:pPr>
            <w:r w:rsidRPr="00D840AB">
              <w:t>155,229.80</w:t>
            </w:r>
          </w:p>
        </w:tc>
        <w:tc>
          <w:tcPr>
            <w:tcW w:w="2338" w:type="dxa"/>
          </w:tcPr>
          <w:p w14:paraId="534E99DF" w14:textId="37904357" w:rsidR="00FF06B5" w:rsidRDefault="00FF06B5" w:rsidP="00FF06B5">
            <w:pPr>
              <w:rPr>
                <w:lang w:val="en-US"/>
              </w:rPr>
            </w:pPr>
            <w:r w:rsidRPr="00D840AB">
              <w:t>10,723.55</w:t>
            </w:r>
          </w:p>
        </w:tc>
        <w:tc>
          <w:tcPr>
            <w:tcW w:w="2338" w:type="dxa"/>
          </w:tcPr>
          <w:p w14:paraId="0971E8C4" w14:textId="34743C78" w:rsidR="00FF06B5" w:rsidRDefault="00FF06B5" w:rsidP="00FF06B5">
            <w:pPr>
              <w:rPr>
                <w:lang w:val="en-US"/>
              </w:rPr>
            </w:pPr>
            <w:r w:rsidRPr="00D840AB">
              <w:t>16.00</w:t>
            </w:r>
          </w:p>
        </w:tc>
      </w:tr>
      <w:tr w:rsidR="00FF06B5" w14:paraId="2C55CD46" w14:textId="77777777" w:rsidTr="00FF06B5">
        <w:tc>
          <w:tcPr>
            <w:tcW w:w="2337" w:type="dxa"/>
          </w:tcPr>
          <w:p w14:paraId="5270DB47" w14:textId="6A409598" w:rsidR="00FF06B5" w:rsidRDefault="00FF06B5" w:rsidP="00FF06B5">
            <w:pPr>
              <w:rPr>
                <w:lang w:val="en-US"/>
              </w:rPr>
            </w:pPr>
            <w:r w:rsidRPr="00D840AB">
              <w:t>155,229.81</w:t>
            </w:r>
          </w:p>
        </w:tc>
        <w:tc>
          <w:tcPr>
            <w:tcW w:w="2337" w:type="dxa"/>
          </w:tcPr>
          <w:p w14:paraId="4E992535" w14:textId="4AB7C56E" w:rsidR="00FF06B5" w:rsidRDefault="00FF06B5" w:rsidP="00FF06B5">
            <w:pPr>
              <w:rPr>
                <w:lang w:val="en-US"/>
              </w:rPr>
            </w:pPr>
            <w:r w:rsidRPr="00D840AB">
              <w:t>185,852.57</w:t>
            </w:r>
          </w:p>
        </w:tc>
        <w:tc>
          <w:tcPr>
            <w:tcW w:w="2338" w:type="dxa"/>
          </w:tcPr>
          <w:p w14:paraId="64354A1A" w14:textId="071DE54E" w:rsidR="00FF06B5" w:rsidRDefault="00FF06B5" w:rsidP="00FF06B5">
            <w:pPr>
              <w:rPr>
                <w:lang w:val="en-US"/>
              </w:rPr>
            </w:pPr>
            <w:r w:rsidRPr="00D840AB">
              <w:t>14,194.54</w:t>
            </w:r>
          </w:p>
        </w:tc>
        <w:tc>
          <w:tcPr>
            <w:tcW w:w="2338" w:type="dxa"/>
          </w:tcPr>
          <w:p w14:paraId="6B68BE34" w14:textId="20F29ABC" w:rsidR="00FF06B5" w:rsidRDefault="00FF06B5" w:rsidP="00FF06B5">
            <w:pPr>
              <w:rPr>
                <w:lang w:val="en-US"/>
              </w:rPr>
            </w:pPr>
            <w:r w:rsidRPr="00D840AB">
              <w:t>17.92</w:t>
            </w:r>
          </w:p>
        </w:tc>
      </w:tr>
      <w:tr w:rsidR="00FF06B5" w14:paraId="384CDF7F" w14:textId="77777777" w:rsidTr="00FF06B5">
        <w:tc>
          <w:tcPr>
            <w:tcW w:w="2337" w:type="dxa"/>
          </w:tcPr>
          <w:p w14:paraId="72B0BDFC" w14:textId="1626D705" w:rsidR="00FF06B5" w:rsidRDefault="00FF06B5" w:rsidP="00FF06B5">
            <w:pPr>
              <w:rPr>
                <w:lang w:val="en-US"/>
              </w:rPr>
            </w:pPr>
            <w:r w:rsidRPr="00D840AB">
              <w:t>185,852.58</w:t>
            </w:r>
          </w:p>
        </w:tc>
        <w:tc>
          <w:tcPr>
            <w:tcW w:w="2337" w:type="dxa"/>
          </w:tcPr>
          <w:p w14:paraId="0175584C" w14:textId="6B13A18C" w:rsidR="00FF06B5" w:rsidRDefault="00FF06B5" w:rsidP="00FF06B5">
            <w:pPr>
              <w:rPr>
                <w:lang w:val="en-US"/>
              </w:rPr>
            </w:pPr>
            <w:r w:rsidRPr="00D840AB">
              <w:t>374,837.88</w:t>
            </w:r>
          </w:p>
        </w:tc>
        <w:tc>
          <w:tcPr>
            <w:tcW w:w="2338" w:type="dxa"/>
          </w:tcPr>
          <w:p w14:paraId="0DC916BB" w14:textId="6B2963AE" w:rsidR="00FF06B5" w:rsidRDefault="00FF06B5" w:rsidP="00FF06B5">
            <w:pPr>
              <w:rPr>
                <w:lang w:val="en-US"/>
              </w:rPr>
            </w:pPr>
            <w:r w:rsidRPr="00D840AB">
              <w:t>19,682.13</w:t>
            </w:r>
          </w:p>
        </w:tc>
        <w:tc>
          <w:tcPr>
            <w:tcW w:w="2338" w:type="dxa"/>
          </w:tcPr>
          <w:p w14:paraId="7679C379" w14:textId="2DE1F2BD" w:rsidR="00FF06B5" w:rsidRDefault="00FF06B5" w:rsidP="00FF06B5">
            <w:pPr>
              <w:rPr>
                <w:lang w:val="en-US"/>
              </w:rPr>
            </w:pPr>
            <w:r w:rsidRPr="00D840AB">
              <w:t>21.36</w:t>
            </w:r>
          </w:p>
        </w:tc>
      </w:tr>
      <w:tr w:rsidR="00FF06B5" w14:paraId="6655CCD2" w14:textId="77777777" w:rsidTr="00FF06B5">
        <w:tc>
          <w:tcPr>
            <w:tcW w:w="2337" w:type="dxa"/>
          </w:tcPr>
          <w:p w14:paraId="7826E7D2" w14:textId="5029FF1F" w:rsidR="00FF06B5" w:rsidRDefault="00FF06B5" w:rsidP="00FF06B5">
            <w:pPr>
              <w:rPr>
                <w:lang w:val="en-US"/>
              </w:rPr>
            </w:pPr>
            <w:r w:rsidRPr="00D840AB">
              <w:t>374,837.89</w:t>
            </w:r>
          </w:p>
        </w:tc>
        <w:tc>
          <w:tcPr>
            <w:tcW w:w="2337" w:type="dxa"/>
          </w:tcPr>
          <w:p w14:paraId="07985795" w14:textId="762D2685" w:rsidR="00FF06B5" w:rsidRDefault="00FF06B5" w:rsidP="00FF06B5">
            <w:pPr>
              <w:rPr>
                <w:lang w:val="en-US"/>
              </w:rPr>
            </w:pPr>
            <w:r w:rsidRPr="00D840AB">
              <w:t>590,795.99</w:t>
            </w:r>
          </w:p>
        </w:tc>
        <w:tc>
          <w:tcPr>
            <w:tcW w:w="2338" w:type="dxa"/>
          </w:tcPr>
          <w:p w14:paraId="7A649F01" w14:textId="3D2BA97D" w:rsidR="00FF06B5" w:rsidRDefault="00FF06B5" w:rsidP="00FF06B5">
            <w:pPr>
              <w:rPr>
                <w:lang w:val="en-US"/>
              </w:rPr>
            </w:pPr>
            <w:r w:rsidRPr="00D840AB">
              <w:t>60,049.40</w:t>
            </w:r>
          </w:p>
        </w:tc>
        <w:tc>
          <w:tcPr>
            <w:tcW w:w="2338" w:type="dxa"/>
          </w:tcPr>
          <w:p w14:paraId="0134EC31" w14:textId="4F11ECE9" w:rsidR="00FF06B5" w:rsidRDefault="00FF06B5" w:rsidP="00FF06B5">
            <w:pPr>
              <w:rPr>
                <w:lang w:val="en-US"/>
              </w:rPr>
            </w:pPr>
            <w:r w:rsidRPr="00D840AB">
              <w:t>23.52</w:t>
            </w:r>
          </w:p>
        </w:tc>
      </w:tr>
      <w:tr w:rsidR="00FF06B5" w14:paraId="788DBBB4" w14:textId="77777777" w:rsidTr="00FF06B5">
        <w:tc>
          <w:tcPr>
            <w:tcW w:w="2337" w:type="dxa"/>
          </w:tcPr>
          <w:p w14:paraId="049F76E6" w14:textId="7DBA91F0" w:rsidR="00FF06B5" w:rsidRDefault="00FF06B5" w:rsidP="00FF06B5">
            <w:pPr>
              <w:rPr>
                <w:lang w:val="en-US"/>
              </w:rPr>
            </w:pPr>
            <w:r w:rsidRPr="00D840AB">
              <w:t>590,796.00</w:t>
            </w:r>
          </w:p>
        </w:tc>
        <w:tc>
          <w:tcPr>
            <w:tcW w:w="2337" w:type="dxa"/>
          </w:tcPr>
          <w:p w14:paraId="74A115FD" w14:textId="797DA895" w:rsidR="00FF06B5" w:rsidRDefault="00FF06B5" w:rsidP="00FF06B5">
            <w:pPr>
              <w:rPr>
                <w:lang w:val="en-US"/>
              </w:rPr>
            </w:pPr>
            <w:r w:rsidRPr="00D840AB">
              <w:t>1,127,926.84</w:t>
            </w:r>
          </w:p>
        </w:tc>
        <w:tc>
          <w:tcPr>
            <w:tcW w:w="2338" w:type="dxa"/>
          </w:tcPr>
          <w:p w14:paraId="62D59334" w14:textId="64B95AD5" w:rsidR="00FF06B5" w:rsidRDefault="00FF06B5" w:rsidP="00FF06B5">
            <w:pPr>
              <w:rPr>
                <w:lang w:val="en-US"/>
              </w:rPr>
            </w:pPr>
            <w:r w:rsidRPr="00D840AB">
              <w:t>110,842.74</w:t>
            </w:r>
          </w:p>
        </w:tc>
        <w:tc>
          <w:tcPr>
            <w:tcW w:w="2338" w:type="dxa"/>
          </w:tcPr>
          <w:p w14:paraId="367D1B51" w14:textId="35DE7D37" w:rsidR="00FF06B5" w:rsidRDefault="00FF06B5" w:rsidP="00FF06B5">
            <w:pPr>
              <w:rPr>
                <w:lang w:val="en-US"/>
              </w:rPr>
            </w:pPr>
            <w:r w:rsidRPr="00D840AB">
              <w:t>30.00</w:t>
            </w:r>
          </w:p>
        </w:tc>
      </w:tr>
      <w:tr w:rsidR="00FF06B5" w14:paraId="2626F7BB" w14:textId="77777777" w:rsidTr="00FF06B5">
        <w:tc>
          <w:tcPr>
            <w:tcW w:w="2337" w:type="dxa"/>
          </w:tcPr>
          <w:p w14:paraId="7066DAF4" w14:textId="337666AC" w:rsidR="00FF06B5" w:rsidRDefault="00FF06B5" w:rsidP="00FF06B5">
            <w:pPr>
              <w:rPr>
                <w:lang w:val="en-US"/>
              </w:rPr>
            </w:pPr>
            <w:r w:rsidRPr="00D840AB">
              <w:t>1,127,926.85</w:t>
            </w:r>
          </w:p>
        </w:tc>
        <w:tc>
          <w:tcPr>
            <w:tcW w:w="2337" w:type="dxa"/>
          </w:tcPr>
          <w:p w14:paraId="34EAB881" w14:textId="604D9718" w:rsidR="00FF06B5" w:rsidRDefault="00FF06B5" w:rsidP="00FF06B5">
            <w:pPr>
              <w:rPr>
                <w:lang w:val="en-US"/>
              </w:rPr>
            </w:pPr>
            <w:r w:rsidRPr="00D840AB">
              <w:t>1,503,902.46</w:t>
            </w:r>
          </w:p>
        </w:tc>
        <w:tc>
          <w:tcPr>
            <w:tcW w:w="2338" w:type="dxa"/>
          </w:tcPr>
          <w:p w14:paraId="2BB4FC10" w14:textId="1BAA5FEB" w:rsidR="00FF06B5" w:rsidRDefault="00FF06B5" w:rsidP="00FF06B5">
            <w:pPr>
              <w:rPr>
                <w:lang w:val="en-US"/>
              </w:rPr>
            </w:pPr>
            <w:r w:rsidRPr="00D840AB">
              <w:t>271,981.99</w:t>
            </w:r>
          </w:p>
        </w:tc>
        <w:tc>
          <w:tcPr>
            <w:tcW w:w="2338" w:type="dxa"/>
          </w:tcPr>
          <w:p w14:paraId="5936CB6D" w14:textId="722E78EF" w:rsidR="00FF06B5" w:rsidRDefault="00FF06B5" w:rsidP="00FF06B5">
            <w:pPr>
              <w:rPr>
                <w:lang w:val="en-US"/>
              </w:rPr>
            </w:pPr>
            <w:r w:rsidRPr="00D840AB">
              <w:t>32.00</w:t>
            </w:r>
          </w:p>
        </w:tc>
      </w:tr>
      <w:tr w:rsidR="00FF06B5" w14:paraId="58295B17" w14:textId="77777777" w:rsidTr="00FF06B5">
        <w:tc>
          <w:tcPr>
            <w:tcW w:w="2337" w:type="dxa"/>
          </w:tcPr>
          <w:p w14:paraId="3FFA8053" w14:textId="7BE25C5C" w:rsidR="00FF06B5" w:rsidRDefault="00FF06B5" w:rsidP="00FF06B5">
            <w:pPr>
              <w:rPr>
                <w:lang w:val="en-US"/>
              </w:rPr>
            </w:pPr>
            <w:r w:rsidRPr="00D840AB">
              <w:t>1,503,902.47</w:t>
            </w:r>
          </w:p>
        </w:tc>
        <w:tc>
          <w:tcPr>
            <w:tcW w:w="2337" w:type="dxa"/>
          </w:tcPr>
          <w:p w14:paraId="0819BD42" w14:textId="35FE3912" w:rsidR="00FF06B5" w:rsidRDefault="00FF06B5" w:rsidP="00FF06B5">
            <w:pPr>
              <w:rPr>
                <w:lang w:val="en-US"/>
              </w:rPr>
            </w:pPr>
            <w:r w:rsidRPr="00D840AB">
              <w:t>4,511,707.37</w:t>
            </w:r>
          </w:p>
        </w:tc>
        <w:tc>
          <w:tcPr>
            <w:tcW w:w="2338" w:type="dxa"/>
          </w:tcPr>
          <w:p w14:paraId="5E7E3CEE" w14:textId="74E046EB" w:rsidR="00FF06B5" w:rsidRDefault="00FF06B5" w:rsidP="00FF06B5">
            <w:pPr>
              <w:rPr>
                <w:lang w:val="en-US"/>
              </w:rPr>
            </w:pPr>
            <w:r w:rsidRPr="00D840AB">
              <w:t>392,294.17</w:t>
            </w:r>
          </w:p>
        </w:tc>
        <w:tc>
          <w:tcPr>
            <w:tcW w:w="2338" w:type="dxa"/>
          </w:tcPr>
          <w:p w14:paraId="2BF459E4" w14:textId="5B0DAE57" w:rsidR="00FF06B5" w:rsidRDefault="00FF06B5" w:rsidP="00FF06B5">
            <w:pPr>
              <w:rPr>
                <w:lang w:val="en-US"/>
              </w:rPr>
            </w:pPr>
            <w:r w:rsidRPr="00D840AB">
              <w:t>34.00</w:t>
            </w:r>
          </w:p>
        </w:tc>
      </w:tr>
    </w:tbl>
    <w:p w14:paraId="1C223DDC" w14:textId="1FC22C26" w:rsidR="00FF06B5" w:rsidRDefault="00FF06B5" w:rsidP="005E7F4A">
      <w:pPr>
        <w:rPr>
          <w:lang w:val="en-US"/>
        </w:rPr>
      </w:pPr>
      <w:r>
        <w:rPr>
          <w:lang w:val="en-US"/>
        </w:rPr>
        <w:t xml:space="preserve">Source: Own elaboration with Servicios de Administracion Tributaria data. </w:t>
      </w:r>
    </w:p>
    <w:p w14:paraId="49D1BC84" w14:textId="48D0D813" w:rsidR="00864303" w:rsidRDefault="00864303" w:rsidP="005E7F4A">
      <w:pPr>
        <w:rPr>
          <w:lang w:val="en-US"/>
        </w:rPr>
      </w:pPr>
      <w:r>
        <w:rPr>
          <w:lang w:val="en-US"/>
        </w:rPr>
        <w:t xml:space="preserve">Within each bracket </w:t>
      </w:r>
      <m:oMath>
        <m:r>
          <w:rPr>
            <w:rFonts w:ascii="Cambria Math" w:hAnsi="Cambria Math"/>
            <w:lang w:val="en-US"/>
          </w:rPr>
          <m:t>i</m:t>
        </m:r>
      </m:oMath>
      <w:r>
        <w:rPr>
          <w:lang w:val="en-US"/>
        </w:rPr>
        <w:t xml:space="preserve">, net income is defined as a linear function of gross income: </w:t>
      </w:r>
    </w:p>
    <w:p w14:paraId="47FF8997" w14:textId="3D9ACB66" w:rsidR="00864303" w:rsidRPr="005E7F4A" w:rsidRDefault="00864303" w:rsidP="005E7F4A">
      <w:pPr>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B</m:t>
              </m:r>
            </m:e>
          </m:d>
          <m:r>
            <w:rPr>
              <w:rFonts w:ascii="Cambria Math" w:hAnsi="Cambria Math"/>
              <w:lang w:val="en-US"/>
            </w:rPr>
            <m:t>=B-C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B-L</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e>
          </m:d>
        </m:oMath>
      </m:oMathPara>
    </w:p>
    <w:p w14:paraId="15503CDF" w14:textId="0B21C1D9" w:rsidR="00B641DD" w:rsidRDefault="00864303">
      <w:pPr>
        <w:rPr>
          <w:lang w:val="en-US"/>
        </w:rPr>
      </w:pPr>
      <w:r>
        <w:rPr>
          <w:lang w:val="en-US"/>
        </w:rPr>
        <w:t xml:space="preserve">Which can be rewritten as: </w:t>
      </w:r>
    </w:p>
    <w:p w14:paraId="599140D6" w14:textId="650BE837" w:rsidR="00864303" w:rsidRPr="008056E3" w:rsidRDefault="00864303">
      <w:pPr>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B</m:t>
              </m:r>
            </m:e>
          </m:d>
          <m:r>
            <w:rPr>
              <w:rFonts w:ascii="Cambria Math" w:hAnsi="Cambria Math"/>
              <w:lang w:val="en-US"/>
            </w:rPr>
            <m:t>=</m:t>
          </m:r>
          <m:d>
            <m:dPr>
              <m:ctrlPr>
                <w:rPr>
                  <w:rFonts w:ascii="Cambria Math" w:hAnsi="Cambria Math"/>
                  <w:i/>
                  <w:lang w:val="en-US"/>
                </w:rPr>
              </m:ctrlPr>
            </m:dPr>
            <m:e>
              <m:r>
                <w:rPr>
                  <w:rFonts w:ascii="Cambria Math" w:hAnsi="Cambria Math"/>
                  <w:lang w:val="en-US"/>
                </w:rPr>
                <m:t>1-T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e>
          </m:d>
          <m:r>
            <w:rPr>
              <w:rFonts w:ascii="Cambria Math" w:hAnsi="Cambria Math"/>
              <w:lang w:val="en-US"/>
            </w:rPr>
            <m:t>B-C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L</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m:oMathPara>
    </w:p>
    <w:p w14:paraId="773D923D" w14:textId="6634A887" w:rsidR="008056E3" w:rsidRDefault="008056E3">
      <w:pPr>
        <w:rPr>
          <w:lang w:val="en-US"/>
        </w:rPr>
      </w:pPr>
      <w:r>
        <w:rPr>
          <w:lang w:val="en-US"/>
        </w:rPr>
        <w:t xml:space="preserve">Because </w:t>
      </w:r>
      <m:oMath>
        <m:r>
          <w:rPr>
            <w:rFonts w:ascii="Cambria Math" w:hAnsi="Cambria Math"/>
            <w:lang w:val="en-US"/>
          </w:rPr>
          <m:t>0&lt;T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&lt;1</m:t>
        </m:r>
      </m:oMath>
      <w:r>
        <w:rPr>
          <w:lang w:val="en-US"/>
        </w:rPr>
        <w:t xml:space="preserve">, it follows that </w:t>
      </w:r>
      <m:oMath>
        <m:r>
          <w:rPr>
            <w:rFonts w:ascii="Cambria Math" w:hAnsi="Cambria Math"/>
            <w:lang w:val="en-US"/>
          </w:rPr>
          <m:t>1-T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&gt;0</m:t>
        </m:r>
      </m:oMath>
      <w:r>
        <w:rPr>
          <w:lang w:val="en-US"/>
        </w:rPr>
        <w:t xml:space="preserve">, implying that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(B)</m:t>
        </m:r>
      </m:oMath>
      <w:r>
        <w:rPr>
          <w:lang w:val="en-US"/>
        </w:rPr>
        <w:t xml:space="preserve"> is strictly increasing in </w:t>
      </w:r>
      <m:oMath>
        <m:r>
          <w:rPr>
            <w:rFonts w:ascii="Cambria Math" w:hAnsi="Cambria Math"/>
            <w:lang w:val="en-US"/>
          </w:rPr>
          <m:t xml:space="preserve">B </m:t>
        </m:r>
      </m:oMath>
      <w:r>
        <w:rPr>
          <w:lang w:val="en-US"/>
        </w:rPr>
        <w:t xml:space="preserve">within its interval of definition. Furthermore, the fixed quota parameters constructed such that the accumulated tax liability at the upper bound of brackets </w:t>
      </w:r>
      <m:oMath>
        <m:r>
          <w:rPr>
            <w:rFonts w:ascii="Cambria Math" w:hAnsi="Cambria Math"/>
            <w:lang w:val="en-US"/>
          </w:rPr>
          <m:t xml:space="preserve">i </m:t>
        </m:r>
      </m:oMath>
      <w:r>
        <w:rPr>
          <w:lang w:val="en-US"/>
        </w:rPr>
        <w:t xml:space="preserve">equals that at the lower bound of </w:t>
      </w:r>
      <w:r>
        <w:rPr>
          <w:lang w:val="en-US"/>
        </w:rPr>
        <w:lastRenderedPageBreak/>
        <w:t xml:space="preserve">bracket </w:t>
      </w:r>
      <m:oMath>
        <m:r>
          <w:rPr>
            <w:rFonts w:ascii="Cambria Math" w:hAnsi="Cambria Math"/>
            <w:lang w:val="en-US"/>
          </w:rPr>
          <m:t>i+1</m:t>
        </m:r>
      </m:oMath>
      <w:r>
        <w:rPr>
          <w:lang w:val="en-US"/>
        </w:rPr>
        <w:t xml:space="preserve">. This property ensures continuity of the piecewise function </w:t>
      </w:r>
      <m:oMath>
        <m:r>
          <w:rPr>
            <w:rFonts w:ascii="Cambria Math" w:hAnsi="Cambria Math"/>
            <w:lang w:val="en-US"/>
          </w:rPr>
          <m:t>N(B)</m:t>
        </m:r>
      </m:oMath>
      <w:r>
        <w:rPr>
          <w:lang w:val="en-US"/>
        </w:rPr>
        <w:t xml:space="preserve"> at all bracket thresholds. Consequently, the overall function </w:t>
      </w:r>
      <m:oMath>
        <m:r>
          <w:rPr>
            <w:rFonts w:ascii="Cambria Math" w:hAnsi="Cambria Math"/>
            <w:lang w:val="en-US"/>
          </w:rPr>
          <m:t>N(B)</m:t>
        </m:r>
      </m:oMath>
      <w:r>
        <w:rPr>
          <w:lang w:val="en-US"/>
        </w:rPr>
        <w:t xml:space="preserve"> is continuous and strictly monotonic over its domain, implying injectivity. Therefore, for every observed net income level, there exists a unique compatible gross income level. </w:t>
      </w:r>
    </w:p>
    <w:p w14:paraId="56582B26" w14:textId="66CB4B05" w:rsidR="008056E3" w:rsidRDefault="008056E3">
      <w:pPr>
        <w:rPr>
          <w:lang w:val="en-US"/>
        </w:rPr>
      </w:pPr>
      <w:r>
        <w:rPr>
          <w:lang w:val="en-US"/>
        </w:rPr>
        <w:t xml:space="preserve">To operationalize the invesion, gross income is computed analytically within each bracket by solving the linear expression for </w:t>
      </w:r>
      <m:oMath>
        <m:r>
          <w:rPr>
            <w:rFonts w:ascii="Cambria Math" w:hAnsi="Cambria Math"/>
            <w:lang w:val="en-US"/>
          </w:rPr>
          <m:t>B</m:t>
        </m:r>
      </m:oMath>
      <w:r>
        <w:rPr>
          <w:lang w:val="en-US"/>
        </w:rPr>
        <w:t xml:space="preserve">. Specifically, given an observed net income </w:t>
      </w:r>
      <m:oMath>
        <m:r>
          <w:rPr>
            <w:rFonts w:ascii="Cambria Math" w:hAnsi="Cambria Math"/>
            <w:lang w:val="en-US"/>
          </w:rPr>
          <m:t>N</m:t>
        </m:r>
      </m:oMath>
      <w:r>
        <w:rPr>
          <w:lang w:val="en-US"/>
        </w:rPr>
        <w:t xml:space="preserve">, the candidate gross income for bracket </w:t>
      </w:r>
      <m:oMath>
        <m:r>
          <w:rPr>
            <w:rFonts w:ascii="Cambria Math" w:hAnsi="Cambria Math"/>
            <w:lang w:val="en-US"/>
          </w:rPr>
          <m:t>i</m:t>
        </m:r>
      </m:oMath>
      <w:r>
        <w:rPr>
          <w:lang w:val="en-US"/>
        </w:rPr>
        <w:t xml:space="preserve"> is obtained as: </w:t>
      </w:r>
    </w:p>
    <w:p w14:paraId="4FDF32DD" w14:textId="57FB3429" w:rsidR="008056E3" w:rsidRPr="008056E3" w:rsidRDefault="008056E3">
      <w:pPr>
        <w:rPr>
          <w:lang w:val="en-US"/>
        </w:rPr>
      </w:pPr>
      <m:oMathPara>
        <m:oMath>
          <m:sSup>
            <m:sSupPr>
              <m:ctrlPr>
                <w:rPr>
                  <w:rFonts w:ascii="Cambria Math" w:hAnsi="Cambria Math"/>
                  <w:i/>
                  <w:kern w:val="2"/>
                  <w:sz w:val="24"/>
                  <w:szCs w:val="24"/>
                  <w:lang w:val="en-US"/>
                  <w14:ligatures w14:val="standardContextual"/>
                </w:rPr>
              </m:ctrlPr>
            </m:sSup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N+C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L</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num>
            <m:den>
              <m:r>
                <w:rPr>
                  <w:rFonts w:ascii="Cambria Math" w:hAnsi="Cambria Math"/>
                  <w:lang w:val="en-US"/>
                </w:rPr>
                <m:t>1-T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den>
          </m:f>
        </m:oMath>
      </m:oMathPara>
    </w:p>
    <w:p w14:paraId="4B8613EF" w14:textId="72289FE7" w:rsidR="008056E3" w:rsidRDefault="008056E3">
      <w:pPr>
        <w:rPr>
          <w:lang w:val="en-US"/>
        </w:rPr>
      </w:pPr>
      <w:r>
        <w:rPr>
          <w:lang w:val="en-US"/>
        </w:rPr>
        <w:t xml:space="preserve">The algorithm proceeds as follows: </w:t>
      </w:r>
    </w:p>
    <w:p w14:paraId="4ACC6E72" w14:textId="51D4E9C8" w:rsidR="008056E3" w:rsidRDefault="008056E3" w:rsidP="008056E3">
      <w:pPr>
        <w:pStyle w:val="ListParagraph"/>
        <w:numPr>
          <w:ilvl w:val="0"/>
          <w:numId w:val="3"/>
        </w:numPr>
        <w:rPr>
          <w:lang w:val="en-US"/>
        </w:rPr>
      </w:pPr>
      <w:r>
        <w:rPr>
          <w:lang w:val="en-US"/>
        </w:rPr>
        <w:t xml:space="preserve">Initialize the gross income variable as missing </w:t>
      </w:r>
    </w:p>
    <w:p w14:paraId="1BFE9554" w14:textId="37E44985" w:rsidR="008056E3" w:rsidRDefault="008056E3" w:rsidP="008056E3">
      <w:pPr>
        <w:pStyle w:val="ListParagraph"/>
        <w:numPr>
          <w:ilvl w:val="0"/>
          <w:numId w:val="3"/>
        </w:numPr>
        <w:rPr>
          <w:lang w:val="en-US"/>
        </w:rPr>
      </w:pPr>
      <w:r>
        <w:rPr>
          <w:lang w:val="en-US"/>
        </w:rPr>
        <w:t xml:space="preserve">Define the total number of tax brackets </w:t>
      </w:r>
      <m:oMath>
        <m:r>
          <w:rPr>
            <w:rFonts w:ascii="Cambria Math" w:hAnsi="Cambria Math"/>
            <w:lang w:val="en-US"/>
          </w:rPr>
          <m:t>n.</m:t>
        </m:r>
      </m:oMath>
    </w:p>
    <w:p w14:paraId="363E0FAC" w14:textId="4CB9C7BA" w:rsidR="008056E3" w:rsidRPr="008056E3" w:rsidRDefault="008056E3" w:rsidP="008056E3">
      <w:pPr>
        <w:pStyle w:val="ListParagraph"/>
        <w:numPr>
          <w:ilvl w:val="0"/>
          <w:numId w:val="3"/>
        </w:numPr>
        <w:rPr>
          <w:lang w:val="en-US"/>
        </w:rPr>
      </w:pPr>
      <w:r>
        <w:rPr>
          <w:lang w:val="en-US"/>
        </w:rPr>
        <w:t xml:space="preserve">Store the vectors of </w:t>
      </w:r>
      <w:r w:rsidR="00E52310">
        <w:rPr>
          <w:lang w:val="en-US"/>
        </w:rPr>
        <w:t>parameters</w:t>
      </w:r>
      <w:r>
        <w:rPr>
          <w:lang w:val="en-US"/>
        </w:rPr>
        <w:t xml:space="preserve"> </w:t>
      </w:r>
      <m:oMath>
        <m:sSubSup>
          <m:sSubSupPr>
            <m:ctrlPr>
              <w:rPr>
                <w:rFonts w:ascii="Cambria Math" w:hAnsi="Cambria Math"/>
                <w:i/>
                <w:kern w:val="2"/>
                <w:sz w:val="24"/>
                <w:szCs w:val="24"/>
                <w:lang w:val="en-US"/>
                <w14:ligatures w14:val="standardContextual"/>
              </w:rPr>
            </m:ctrlPr>
          </m:sSubSupPr>
          <m:e>
            <m:r>
              <w:rPr>
                <w:rFonts w:ascii="Cambria Math" w:hAnsi="Cambria Math"/>
                <w:lang w:val="en-US"/>
              </w:rPr>
              <m:t>{L</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 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 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p>
    <w:p w14:paraId="459D6F8D" w14:textId="6EF466E3" w:rsidR="008056E3" w:rsidRPr="008056E3" w:rsidRDefault="008056E3" w:rsidP="008056E3">
      <w:pPr>
        <w:pStyle w:val="ListParagraph"/>
        <w:numPr>
          <w:ilvl w:val="0"/>
          <w:numId w:val="3"/>
        </w:numPr>
        <w:rPr>
          <w:lang w:val="en-US"/>
        </w:rPr>
      </w:pPr>
      <w:r>
        <w:rPr>
          <w:lang w:val="en-US"/>
        </w:rPr>
        <w:t xml:space="preserve">For each bracket </w:t>
      </w:r>
      <m:oMath>
        <m:r>
          <w:rPr>
            <w:rFonts w:ascii="Cambria Math" w:hAnsi="Cambria Math"/>
            <w:lang w:val="en-US"/>
          </w:rPr>
          <m:t>i=1, …, n:</m:t>
        </m:r>
      </m:oMath>
    </w:p>
    <w:p w14:paraId="6247C4C0" w14:textId="2F76AF05" w:rsidR="008056E3" w:rsidRPr="008056E3" w:rsidRDefault="008056E3" w:rsidP="008056E3">
      <w:pPr>
        <w:pStyle w:val="ListParagraph"/>
        <w:numPr>
          <w:ilvl w:val="1"/>
          <w:numId w:val="3"/>
        </w:numPr>
        <w:rPr>
          <w:lang w:val="en-US"/>
        </w:rPr>
      </w:pPr>
      <w:r>
        <w:rPr>
          <w:lang w:val="en-US"/>
        </w:rPr>
        <w:t xml:space="preserve">Compute the candidate value </w:t>
      </w:r>
    </w:p>
    <w:p w14:paraId="1495B2DF" w14:textId="77777777" w:rsidR="008056E3" w:rsidRPr="008056E3" w:rsidRDefault="008056E3" w:rsidP="008056E3">
      <w:pPr>
        <w:pStyle w:val="ListParagraph"/>
        <w:rPr>
          <w:lang w:val="en-US"/>
        </w:rPr>
      </w:pPr>
      <m:oMathPara>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sup>
              <m:r>
                <w:rPr>
                  <w:rFonts w:ascii="Cambria Math" w:hAnsi="Cambria Math"/>
                  <w:lang w:val="en-US"/>
                </w:rPr>
                <m:t>*</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N+C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L</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num>
            <m:den>
              <m:r>
                <w:rPr>
                  <w:rFonts w:ascii="Cambria Math" w:hAnsi="Cambria Math"/>
                  <w:lang w:val="en-US"/>
                </w:rPr>
                <m:t>1-T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den>
          </m:f>
        </m:oMath>
      </m:oMathPara>
    </w:p>
    <w:p w14:paraId="1AC565CF" w14:textId="41B8649C" w:rsidR="008056E3" w:rsidRDefault="008056E3" w:rsidP="008056E3">
      <w:pPr>
        <w:pStyle w:val="ListParagraph"/>
        <w:numPr>
          <w:ilvl w:val="1"/>
          <w:numId w:val="3"/>
        </w:numPr>
        <w:rPr>
          <w:lang w:val="en-US"/>
        </w:rPr>
      </w:pPr>
      <w:r>
        <w:rPr>
          <w:lang w:val="en-US"/>
        </w:rPr>
        <w:t xml:space="preserve">Assign this value as gross income if: </w:t>
      </w:r>
    </w:p>
    <w:p w14:paraId="2D412321" w14:textId="37832A8B" w:rsidR="008056E3" w:rsidRPr="008056E3" w:rsidRDefault="008056E3" w:rsidP="008056E3">
      <w:pPr>
        <w:pStyle w:val="ListParagraph"/>
        <w:ind w:left="1440"/>
        <w:rPr>
          <w:lang w:val="en-US"/>
        </w:rPr>
      </w:pPr>
      <m:oMathPara>
        <m:oMath>
          <m:sSubSup>
            <m:sSubSupPr>
              <m:ctrlPr>
                <w:rPr>
                  <w:rFonts w:ascii="Cambria Math" w:hAnsi="Cambria Math"/>
                  <w:i/>
                  <w:kern w:val="2"/>
                  <w:sz w:val="24"/>
                  <w:szCs w:val="24"/>
                  <w:lang w:val="en-US"/>
                  <w14:ligatures w14:val="standardContextual"/>
                </w:rPr>
              </m:ctrlPr>
            </m:sSubSupPr>
            <m:e>
              <m:r>
                <w:rPr>
                  <w:rFonts w:ascii="Cambria Math" w:hAnsi="Cambria Math"/>
                  <w:lang w:val="en-US"/>
                </w:rPr>
                <m:t>B</m:t>
              </m:r>
            </m:e>
            <m:sub>
              <m:r>
                <w:rPr>
                  <w:rFonts w:ascii="Cambria Math" w:hAnsi="Cambria Math"/>
                  <w:lang w:val="en-US"/>
                </w:rPr>
                <m:t>i</m:t>
              </m:r>
            </m:sub>
            <m:sup>
              <m:r>
                <w:rPr>
                  <w:rFonts w:ascii="Cambria Math" w:hAnsi="Cambria Math"/>
                  <w:lang w:val="en-US"/>
                </w:rPr>
                <m:t>*</m:t>
              </m:r>
            </m:sup>
          </m:sSubSup>
          <m:r>
            <w:rPr>
              <w:rFonts w:ascii="Cambria Math" w:hAnsi="Cambria Math"/>
              <w:lang w:val="en-US"/>
            </w:rPr>
            <m:t>≥L</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 xml:space="preserve">  and  (</m:t>
          </m:r>
          <m:sSubSup>
            <m:sSubSupPr>
              <m:ctrlPr>
                <w:rPr>
                  <w:rFonts w:ascii="Cambria Math" w:hAnsi="Cambria Math"/>
                  <w:i/>
                  <w:kern w:val="2"/>
                  <w:sz w:val="24"/>
                  <w:szCs w:val="24"/>
                  <w:lang w:val="en-US"/>
                  <w14:ligatures w14:val="standardContextual"/>
                </w:rPr>
              </m:ctrlPr>
            </m:sSubSupPr>
            <m:e>
              <m:r>
                <w:rPr>
                  <w:rFonts w:ascii="Cambria Math" w:hAnsi="Cambria Math"/>
                  <w:lang w:val="en-US"/>
                </w:rPr>
                <m:t>B</m:t>
              </m:r>
            </m:e>
            <m:sub>
              <m:r>
                <w:rPr>
                  <w:rFonts w:ascii="Cambria Math" w:hAnsi="Cambria Math"/>
                  <w:lang w:val="en-US"/>
                </w:rPr>
                <m:t>i</m:t>
              </m:r>
            </m:sub>
            <m:sup>
              <m:r>
                <w:rPr>
                  <w:rFonts w:ascii="Cambria Math" w:hAnsi="Cambria Math"/>
                  <w:lang w:val="en-US"/>
                </w:rPr>
                <m:t>*</m:t>
              </m:r>
            </m:sup>
          </m:sSubSup>
          <m:r>
            <w:rPr>
              <w:rFonts w:ascii="Cambria Math" w:hAnsi="Cambria Math"/>
              <w:lang w:val="en-US"/>
            </w:rPr>
            <m:t>≤L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or L</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is undefined)</m:t>
          </m:r>
        </m:oMath>
      </m:oMathPara>
    </w:p>
    <w:p w14:paraId="34F32B65" w14:textId="62EEE4F4" w:rsidR="008056E3" w:rsidRDefault="008056E3" w:rsidP="00E52310">
      <w:pPr>
        <w:pStyle w:val="ListParagraph"/>
        <w:numPr>
          <w:ilvl w:val="1"/>
          <w:numId w:val="3"/>
        </w:numPr>
        <w:rPr>
          <w:lang w:val="en-US"/>
        </w:rPr>
      </w:pPr>
      <w:r>
        <w:rPr>
          <w:lang w:val="en-US"/>
        </w:rPr>
        <w:t>Stop once a valid bracket is identified</w:t>
      </w:r>
    </w:p>
    <w:p w14:paraId="7B0CB6D5" w14:textId="5200D5E8" w:rsidR="00E52310" w:rsidRDefault="00E52310" w:rsidP="00E52310">
      <w:pPr>
        <w:pStyle w:val="ListParagraph"/>
        <w:numPr>
          <w:ilvl w:val="0"/>
          <w:numId w:val="3"/>
        </w:numPr>
        <w:rPr>
          <w:lang w:val="en-US"/>
        </w:rPr>
      </w:pPr>
      <w:r>
        <w:rPr>
          <w:lang w:val="en-US"/>
        </w:rPr>
        <w:t xml:space="preserve">The resulting value constitutes the unique gross income consistent with the observed net income under the progressive tax structure, </w:t>
      </w:r>
    </w:p>
    <w:p w14:paraId="3D35B84F" w14:textId="785A3373" w:rsidR="00E52310" w:rsidRPr="00E52310" w:rsidRDefault="00E52310" w:rsidP="00E52310">
      <w:pPr>
        <w:rPr>
          <w:lang w:val="en-US"/>
        </w:rPr>
      </w:pPr>
      <w:r>
        <w:rPr>
          <w:lang w:val="en-US"/>
        </w:rPr>
        <w:t xml:space="preserve">This deterministic inversion procedure guarantees internal consistency with statutory tax schedule ensuring </w:t>
      </w:r>
      <w:r w:rsidR="000148CA">
        <w:rPr>
          <w:lang w:val="en-US"/>
        </w:rPr>
        <w:t xml:space="preserve">an </w:t>
      </w:r>
      <w:r>
        <w:rPr>
          <w:lang w:val="en-US"/>
        </w:rPr>
        <w:t xml:space="preserve">exact analytical recovery of gross income. </w:t>
      </w:r>
    </w:p>
    <w:p w14:paraId="19DAEB47" w14:textId="77777777" w:rsidR="00B44B79" w:rsidRDefault="00B44B79">
      <w:pPr>
        <w:rPr>
          <w:b/>
          <w:bCs/>
          <w:lang w:val="en-US"/>
        </w:rPr>
      </w:pPr>
      <w:r>
        <w:rPr>
          <w:b/>
          <w:bCs/>
          <w:lang w:val="en-US"/>
        </w:rPr>
        <w:br w:type="page"/>
      </w:r>
    </w:p>
    <w:p w14:paraId="2B3E0ED6" w14:textId="23128DE9" w:rsidR="00FF06B5" w:rsidRPr="00874FE2" w:rsidRDefault="00874FE2" w:rsidP="00874FE2">
      <w:pPr>
        <w:pStyle w:val="ListParagraph"/>
        <w:numPr>
          <w:ilvl w:val="0"/>
          <w:numId w:val="1"/>
        </w:numPr>
        <w:rPr>
          <w:b/>
          <w:bCs/>
          <w:lang w:val="en-US"/>
        </w:rPr>
      </w:pPr>
      <w:r w:rsidRPr="00874FE2">
        <w:rPr>
          <w:b/>
          <w:bCs/>
          <w:lang w:val="en-US"/>
        </w:rPr>
        <w:lastRenderedPageBreak/>
        <w:t xml:space="preserve">Indirect Tax (IVA) Estimation </w:t>
      </w:r>
    </w:p>
    <w:p w14:paraId="5BC17EA9" w14:textId="66E1A117" w:rsidR="00FF06B5" w:rsidRDefault="00874FE2">
      <w:pPr>
        <w:rPr>
          <w:lang w:val="en-US"/>
        </w:rPr>
      </w:pPr>
      <w:r>
        <w:rPr>
          <w:lang w:val="en-US"/>
        </w:rPr>
        <w:t>Following the CEQ framework, indirect taxes are incorporated at the post-fiscal income stage. In Mexico, the indirect tax is the Value Added Tax (IVA) with a rate of 16%. Certain goods and services are exempt or subject to a 0% rate (e.g., food, medicines). The estimation proceeds in four steps: i) identification of taxable expenditure items, ii) distinction between formal and informal purchases, iii) calculation of IVA paid per household, and i</w:t>
      </w:r>
      <w:r w:rsidR="00130CAF">
        <w:rPr>
          <w:lang w:val="en-US"/>
        </w:rPr>
        <w:t>v</w:t>
      </w:r>
      <w:r>
        <w:rPr>
          <w:lang w:val="en-US"/>
        </w:rPr>
        <w:t xml:space="preserve">) allocation of IVA burden to disposable income to obtain a household-specific effective tax. </w:t>
      </w:r>
    </w:p>
    <w:p w14:paraId="47B03409" w14:textId="2FA2355A" w:rsidR="00874FE2" w:rsidRPr="00874FE2" w:rsidRDefault="00874FE2" w:rsidP="00874FE2">
      <w:pPr>
        <w:pStyle w:val="ListParagraph"/>
        <w:numPr>
          <w:ilvl w:val="1"/>
          <w:numId w:val="3"/>
        </w:numPr>
        <w:rPr>
          <w:b/>
          <w:bCs/>
          <w:lang w:val="en-US"/>
        </w:rPr>
      </w:pPr>
      <w:r w:rsidRPr="00874FE2">
        <w:rPr>
          <w:b/>
          <w:bCs/>
          <w:lang w:val="en-US"/>
        </w:rPr>
        <w:t xml:space="preserve">Classification of Expenditure Items </w:t>
      </w:r>
    </w:p>
    <w:p w14:paraId="74096A6D" w14:textId="4A6A24B6" w:rsidR="00874FE2" w:rsidRDefault="00874FE2" w:rsidP="00874FE2">
      <w:pPr>
        <w:rPr>
          <w:lang w:val="en-US"/>
        </w:rPr>
      </w:pPr>
      <w:r>
        <w:rPr>
          <w:lang w:val="en-US"/>
        </w:rPr>
        <w:t xml:space="preserve">The ENIGH provides detailed quarterly expenditure records at the item level, each identified by a hierarchical product code (clave). The classification of items as taxable or non-taxable follows the IVA legislation in force for each survey year. </w:t>
      </w:r>
    </w:p>
    <w:p w14:paraId="12C4D5A1" w14:textId="69765633" w:rsidR="00874FE2" w:rsidRDefault="00874FE2" w:rsidP="00874FE2">
      <w:pPr>
        <w:rPr>
          <w:lang w:val="en-US"/>
        </w:rPr>
      </w:pPr>
      <w:r>
        <w:rPr>
          <w:lang w:val="en-US"/>
        </w:rPr>
        <w:t xml:space="preserve">Two distinct sets of prefixes are used: </w:t>
      </w:r>
    </w:p>
    <w:p w14:paraId="52D8E61C" w14:textId="6D29A93D" w:rsidR="00874FE2" w:rsidRPr="00050EC6" w:rsidRDefault="00874FE2" w:rsidP="00874FE2">
      <w:pPr>
        <w:pStyle w:val="ListParagraph"/>
        <w:numPr>
          <w:ilvl w:val="0"/>
          <w:numId w:val="5"/>
        </w:numPr>
        <w:rPr>
          <w:highlight w:val="yellow"/>
          <w:lang w:val="en-US"/>
        </w:rPr>
      </w:pPr>
      <w:r w:rsidRPr="00050EC6">
        <w:rPr>
          <w:highlight w:val="yellow"/>
          <w:lang w:val="en-US"/>
        </w:rPr>
        <w:t xml:space="preserve">2018: Based on the four-digit </w:t>
      </w:r>
      <w:r w:rsidR="00130CAF" w:rsidRPr="00050EC6">
        <w:rPr>
          <w:highlight w:val="yellow"/>
          <w:lang w:val="en-US"/>
        </w:rPr>
        <w:t>Classification of Individual Consumption According to Purpose (</w:t>
      </w:r>
      <w:r w:rsidRPr="00050EC6">
        <w:rPr>
          <w:highlight w:val="yellow"/>
          <w:lang w:val="en-US"/>
        </w:rPr>
        <w:t>COICOP</w:t>
      </w:r>
      <w:r w:rsidR="00130CAF" w:rsidRPr="00050EC6">
        <w:rPr>
          <w:highlight w:val="yellow"/>
          <w:lang w:val="en-US"/>
        </w:rPr>
        <w:t>)</w:t>
      </w:r>
      <w:r w:rsidR="009A320A" w:rsidRPr="00050EC6">
        <w:rPr>
          <w:highlight w:val="yellow"/>
          <w:lang w:val="en-US"/>
        </w:rPr>
        <w:t xml:space="preserve"> </w:t>
      </w:r>
      <w:r w:rsidRPr="00050EC6">
        <w:rPr>
          <w:highlight w:val="yellow"/>
          <w:lang w:val="en-US"/>
        </w:rPr>
        <w:t xml:space="preserve">classification used by INEGI at that time. Taxable categories include cleaning products (C), personal care (D), communications and fuels (F and G), clothing (H), furniture (I), household appliances (K), recreation (L), transport (M), and other non-basic goods (N). </w:t>
      </w:r>
    </w:p>
    <w:p w14:paraId="6AC2C758" w14:textId="724E6B2A" w:rsidR="00874FE2" w:rsidRDefault="00874FE2" w:rsidP="00874FE2">
      <w:pPr>
        <w:pStyle w:val="ListParagraph"/>
        <w:numPr>
          <w:ilvl w:val="0"/>
          <w:numId w:val="5"/>
        </w:numPr>
        <w:rPr>
          <w:lang w:val="en-US"/>
        </w:rPr>
      </w:pPr>
      <w:r>
        <w:rPr>
          <w:lang w:val="en-US"/>
        </w:rPr>
        <w:t>2024: The survey adopts a six-digit COICOP</w:t>
      </w:r>
      <w:r w:rsidR="009A320A">
        <w:rPr>
          <w:rStyle w:val="FootnoteReference"/>
          <w:lang w:val="en-US"/>
        </w:rPr>
        <w:footnoteReference w:id="1"/>
      </w:r>
      <w:r>
        <w:rPr>
          <w:lang w:val="en-US"/>
        </w:rPr>
        <w:t xml:space="preserve"> classification. Taxable items are identified by the following prefixes: 012 (alcoholic beverages), 02 (tobacco and narcotics, 03 (clothing and footwear), 08 (communication), 09 (recreation and culture), 11 (restaurants and hotels), and </w:t>
      </w:r>
      <w:r w:rsidRPr="009A320A">
        <w:rPr>
          <w:lang w:val="en-US"/>
        </w:rPr>
        <w:t>12 (</w:t>
      </w:r>
      <w:r w:rsidR="009A320A" w:rsidRPr="009A320A">
        <w:rPr>
          <w:lang w:val="en-US"/>
        </w:rPr>
        <w:t xml:space="preserve">insurance and financial </w:t>
      </w:r>
      <w:r w:rsidRPr="009A320A">
        <w:rPr>
          <w:lang w:val="en-US"/>
        </w:rPr>
        <w:t>services)</w:t>
      </w:r>
      <w:r>
        <w:rPr>
          <w:lang w:val="en-US"/>
        </w:rPr>
        <w:t xml:space="preserve"> </w:t>
      </w:r>
    </w:p>
    <w:p w14:paraId="1B3D2D5D" w14:textId="2D629410" w:rsidR="00874FE2" w:rsidRDefault="00874FE2" w:rsidP="00874FE2">
      <w:pPr>
        <w:rPr>
          <w:lang w:val="en-US"/>
        </w:rPr>
      </w:pPr>
      <w:r>
        <w:rPr>
          <w:lang w:val="en-US"/>
        </w:rPr>
        <w:t xml:space="preserve">For each expenditure record, a binary indicator “lleva_iva” is set to 1 if the “clave” starts with any of the year-specific taxable prefixes, and 0 otherwise. </w:t>
      </w:r>
    </w:p>
    <w:p w14:paraId="093B0944" w14:textId="0A2C12BE" w:rsidR="00874FE2" w:rsidRPr="00874FE2" w:rsidRDefault="00874FE2" w:rsidP="00874FE2">
      <w:pPr>
        <w:pStyle w:val="ListParagraph"/>
        <w:numPr>
          <w:ilvl w:val="1"/>
          <w:numId w:val="3"/>
        </w:numPr>
        <w:rPr>
          <w:b/>
          <w:bCs/>
          <w:lang w:val="en-US"/>
        </w:rPr>
      </w:pPr>
      <w:r w:rsidRPr="00874FE2">
        <w:rPr>
          <w:b/>
          <w:bCs/>
          <w:lang w:val="en-US"/>
        </w:rPr>
        <w:t>Formal vs Informal Purchases</w:t>
      </w:r>
    </w:p>
    <w:p w14:paraId="6E7134F3" w14:textId="78EDEC8F" w:rsidR="00FF06B5" w:rsidRDefault="00B44B79">
      <w:pPr>
        <w:rPr>
          <w:lang w:val="en-US"/>
        </w:rPr>
      </w:pPr>
      <w:r>
        <w:rPr>
          <w:lang w:val="en-US"/>
        </w:rPr>
        <w:t xml:space="preserve">IVA is legally due only on transactions carried out in the formal sector. The ENIGH records the place of purchase (lugar_comp), which includes codes for informal markets, street vendors, and other non-registered establishments. Purchases made at location with codes 1,2,3, or 17 are classified as informal. </w:t>
      </w:r>
    </w:p>
    <w:p w14:paraId="7BE50FCF" w14:textId="7DA4692B" w:rsidR="00B44B79" w:rsidRDefault="00B44B79" w:rsidP="00B44B79">
      <w:pPr>
        <w:pStyle w:val="ListParagraph"/>
        <w:numPr>
          <w:ilvl w:val="0"/>
          <w:numId w:val="5"/>
        </w:numPr>
        <w:rPr>
          <w:lang w:val="en-US"/>
        </w:rPr>
      </w:pPr>
      <w:r>
        <w:rPr>
          <w:lang w:val="en-US"/>
        </w:rPr>
        <w:t xml:space="preserve">1- </w:t>
      </w:r>
      <w:r w:rsidR="00050EC6">
        <w:rPr>
          <w:lang w:val="en-US"/>
        </w:rPr>
        <w:t>Mercado</w:t>
      </w:r>
    </w:p>
    <w:p w14:paraId="5896325D" w14:textId="45A69243" w:rsidR="00B44B79" w:rsidRDefault="00B44B79" w:rsidP="00B44B79">
      <w:pPr>
        <w:pStyle w:val="ListParagraph"/>
        <w:numPr>
          <w:ilvl w:val="0"/>
          <w:numId w:val="5"/>
        </w:numPr>
        <w:rPr>
          <w:lang w:val="en-US"/>
        </w:rPr>
      </w:pPr>
      <w:r>
        <w:rPr>
          <w:lang w:val="en-US"/>
        </w:rPr>
        <w:t xml:space="preserve">2- </w:t>
      </w:r>
      <w:r w:rsidR="00050EC6">
        <w:rPr>
          <w:lang w:val="en-US"/>
        </w:rPr>
        <w:t>Street</w:t>
      </w:r>
      <w:r>
        <w:rPr>
          <w:lang w:val="en-US"/>
        </w:rPr>
        <w:t xml:space="preserve"> market </w:t>
      </w:r>
      <w:r w:rsidR="00050EC6">
        <w:rPr>
          <w:lang w:val="en-US"/>
        </w:rPr>
        <w:t>(tianguis)</w:t>
      </w:r>
    </w:p>
    <w:p w14:paraId="441D7FF6" w14:textId="6A34B60F" w:rsidR="00B44B79" w:rsidRDefault="00B44B79" w:rsidP="00B44B79">
      <w:pPr>
        <w:pStyle w:val="ListParagraph"/>
        <w:numPr>
          <w:ilvl w:val="0"/>
          <w:numId w:val="5"/>
        </w:numPr>
        <w:rPr>
          <w:lang w:val="en-US"/>
        </w:rPr>
      </w:pPr>
      <w:r>
        <w:rPr>
          <w:lang w:val="en-US"/>
        </w:rPr>
        <w:t xml:space="preserve">3- Street vendor </w:t>
      </w:r>
    </w:p>
    <w:p w14:paraId="48BC9902" w14:textId="6ED9B18F" w:rsidR="00B44B79" w:rsidRDefault="00B44B79" w:rsidP="00B44B79">
      <w:pPr>
        <w:pStyle w:val="ListParagraph"/>
        <w:numPr>
          <w:ilvl w:val="0"/>
          <w:numId w:val="5"/>
        </w:numPr>
        <w:rPr>
          <w:lang w:val="en-US"/>
        </w:rPr>
      </w:pPr>
      <w:r>
        <w:rPr>
          <w:lang w:val="en-US"/>
        </w:rPr>
        <w:t xml:space="preserve">17- </w:t>
      </w:r>
      <w:r w:rsidR="00050EC6">
        <w:rPr>
          <w:lang w:val="en-US"/>
        </w:rPr>
        <w:t xml:space="preserve">Person </w:t>
      </w:r>
      <w:r>
        <w:rPr>
          <w:lang w:val="en-US"/>
        </w:rPr>
        <w:t xml:space="preserve"> </w:t>
      </w:r>
    </w:p>
    <w:p w14:paraId="264AEFB8" w14:textId="64165A10" w:rsidR="00B44B79" w:rsidRDefault="00B44B79" w:rsidP="00B44B79">
      <w:pPr>
        <w:rPr>
          <w:lang w:val="en-US"/>
        </w:rPr>
      </w:pPr>
      <w:r>
        <w:rPr>
          <w:lang w:val="en-US"/>
        </w:rPr>
        <w:lastRenderedPageBreak/>
        <w:t xml:space="preserve">For all other location codes (formal establishments, supermarkets, department stores, etc.), the purchase is considered formal. A binary variable “es_formal” equals 1 if the purchase is formal, and 0 otherwise. </w:t>
      </w:r>
    </w:p>
    <w:p w14:paraId="70B791F0" w14:textId="04D1A8B6" w:rsidR="00B44B79" w:rsidRPr="00E71B46" w:rsidRDefault="00B44B79" w:rsidP="00E71B46">
      <w:pPr>
        <w:pStyle w:val="ListParagraph"/>
        <w:numPr>
          <w:ilvl w:val="1"/>
          <w:numId w:val="3"/>
        </w:numPr>
        <w:rPr>
          <w:b/>
          <w:bCs/>
          <w:lang w:val="en-US"/>
        </w:rPr>
      </w:pPr>
      <w:r w:rsidRPr="00E71B46">
        <w:rPr>
          <w:b/>
          <w:bCs/>
          <w:lang w:val="en-US"/>
        </w:rPr>
        <w:t xml:space="preserve">Calculation of IVA Paid per Transaction </w:t>
      </w:r>
    </w:p>
    <w:p w14:paraId="658D77C6" w14:textId="21530639" w:rsidR="00B44B79" w:rsidRDefault="00B44B79" w:rsidP="00B44B79">
      <w:pPr>
        <w:rPr>
          <w:lang w:val="en-US"/>
        </w:rPr>
      </w:pPr>
      <w:r>
        <w:rPr>
          <w:lang w:val="en-US"/>
        </w:rPr>
        <w:t>For a formal purchase of a taxable good, the IVA paid is embedded in the reported expenditure. The relationship between the total amount paid (gasto_tri) and the pre-tax price P is:</w:t>
      </w:r>
    </w:p>
    <w:p w14:paraId="0C320F7F" w14:textId="105DFF5C" w:rsidR="00B44B79" w:rsidRPr="00B44B79" w:rsidRDefault="00B44B79" w:rsidP="00B44B79">
      <w:pPr>
        <w:rPr>
          <w:lang w:val="en-US"/>
        </w:rPr>
      </w:pPr>
      <m:oMathPara>
        <m:oMath>
          <m:r>
            <w:rPr>
              <w:rFonts w:ascii="Cambria Math" w:hAnsi="Cambria Math"/>
              <w:lang w:val="en-US"/>
            </w:rPr>
            <m:t>gasto tri=P*</m:t>
          </m:r>
          <m:d>
            <m:dPr>
              <m:ctrlPr>
                <w:rPr>
                  <w:rFonts w:ascii="Cambria Math" w:hAnsi="Cambria Math"/>
                  <w:i/>
                  <w:lang w:val="en-US"/>
                </w:rPr>
              </m:ctrlPr>
            </m:dPr>
            <m:e>
              <m:r>
                <w:rPr>
                  <w:rFonts w:ascii="Cambria Math" w:hAnsi="Cambria Math"/>
                  <w:lang w:val="en-US"/>
                </w:rPr>
                <m:t>1+0.16</m:t>
              </m:r>
            </m:e>
          </m:d>
          <m:r>
            <w:rPr>
              <w:rFonts w:ascii="Cambria Math" w:hAnsi="Cambria Math"/>
              <w:lang w:val="en-US"/>
            </w:rPr>
            <m:t>=P*1.16</m:t>
          </m:r>
        </m:oMath>
      </m:oMathPara>
    </w:p>
    <w:p w14:paraId="1997B845" w14:textId="7DD4E45B" w:rsidR="00B44B79" w:rsidRDefault="00B44B79" w:rsidP="00B44B79">
      <w:pPr>
        <w:rPr>
          <w:lang w:val="en-US"/>
        </w:rPr>
      </w:pPr>
      <w:r>
        <w:rPr>
          <w:lang w:val="en-US"/>
        </w:rPr>
        <w:t xml:space="preserve">Thus, the IVA component is: </w:t>
      </w:r>
    </w:p>
    <w:p w14:paraId="7DC7279E" w14:textId="770D1CB9" w:rsidR="00B44B79" w:rsidRPr="00B44B79" w:rsidRDefault="00B44B79" w:rsidP="00B44B79">
      <w:pPr>
        <w:rPr>
          <w:lang w:val="en-US"/>
        </w:rPr>
      </w:pPr>
      <m:oMathPara>
        <m:oMath>
          <m:r>
            <w:rPr>
              <w:rFonts w:ascii="Cambria Math" w:hAnsi="Cambria Math"/>
              <w:lang w:val="en-US"/>
            </w:rPr>
            <m:t>IVA=gasto tri*</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0.16</m:t>
                  </m:r>
                </m:num>
                <m:den>
                  <m:r>
                    <w:rPr>
                      <w:rFonts w:ascii="Cambria Math" w:hAnsi="Cambria Math"/>
                      <w:lang w:val="en-US"/>
                    </w:rPr>
                    <m:t>1.16</m:t>
                  </m:r>
                </m:den>
              </m:f>
            </m:e>
          </m:d>
        </m:oMath>
      </m:oMathPara>
    </w:p>
    <w:p w14:paraId="131B4920" w14:textId="395FD5B2" w:rsidR="00B44B79" w:rsidRDefault="00B44B79" w:rsidP="00B44B79">
      <w:pPr>
        <w:rPr>
          <w:lang w:val="en-US"/>
        </w:rPr>
      </w:pPr>
      <w:r>
        <w:rPr>
          <w:lang w:val="en-US"/>
        </w:rPr>
        <w:t xml:space="preserve">The factor </w:t>
      </w:r>
      <m:oMath>
        <m:f>
          <m:fPr>
            <m:ctrlPr>
              <w:rPr>
                <w:rFonts w:ascii="Cambria Math" w:hAnsi="Cambria Math"/>
                <w:i/>
                <w:lang w:val="en-US"/>
              </w:rPr>
            </m:ctrlPr>
          </m:fPr>
          <m:num>
            <m:r>
              <w:rPr>
                <w:rFonts w:ascii="Cambria Math" w:hAnsi="Cambria Math"/>
                <w:lang w:val="en-US"/>
              </w:rPr>
              <m:t>0.16</m:t>
            </m:r>
          </m:num>
          <m:den>
            <m:r>
              <w:rPr>
                <w:rFonts w:ascii="Cambria Math" w:hAnsi="Cambria Math"/>
                <w:lang w:val="en-US"/>
              </w:rPr>
              <m:t>1.16</m:t>
            </m:r>
          </m:den>
        </m:f>
        <m:r>
          <w:rPr>
            <w:rFonts w:ascii="Cambria Math" w:hAnsi="Cambria Math"/>
            <w:lang w:val="en-US"/>
          </w:rPr>
          <m:t>≈0.137931034</m:t>
        </m:r>
      </m:oMath>
      <w:r w:rsidR="00E71B46">
        <w:rPr>
          <w:lang w:val="en-US"/>
        </w:rPr>
        <w:t xml:space="preserve"> is applied only when both conditions hold: the item is taxable (lleva_iva = 1) and the purchase is formal (es_formal = 1). </w:t>
      </w:r>
    </w:p>
    <w:p w14:paraId="13718D2B" w14:textId="1E7B6820" w:rsidR="00E71B46" w:rsidRDefault="00E71B46" w:rsidP="00B44B79">
      <w:pPr>
        <w:rPr>
          <w:lang w:val="en-US"/>
        </w:rPr>
      </w:pPr>
      <w:r>
        <w:rPr>
          <w:lang w:val="en-US"/>
        </w:rPr>
        <w:t xml:space="preserve">Otherwise, IVA is set to zero. </w:t>
      </w:r>
    </w:p>
    <w:p w14:paraId="2E87A460" w14:textId="1DF0E391" w:rsidR="00E71B46" w:rsidRDefault="00E71B46" w:rsidP="00B44B79">
      <w:pPr>
        <w:rPr>
          <w:lang w:val="en-US"/>
        </w:rPr>
      </w:pPr>
      <w:r>
        <w:rPr>
          <w:lang w:val="en-US"/>
        </w:rPr>
        <w:t xml:space="preserve">Formally: </w:t>
      </w:r>
    </w:p>
    <w:p w14:paraId="4A56F2B1" w14:textId="1354752B" w:rsidR="00E71B46" w:rsidRPr="00E71B46" w:rsidRDefault="00E71B46" w:rsidP="00B44B79">
      <w:pPr>
        <w:rPr>
          <w:lang w:val="en-US"/>
        </w:rPr>
      </w:pPr>
      <m:oMathPara>
        <m:oMath>
          <m:r>
            <w:rPr>
              <w:rFonts w:ascii="Cambria Math" w:hAnsi="Cambria Math"/>
              <w:lang w:val="en-US"/>
            </w:rPr>
            <m:t xml:space="preserve">iva partida= </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gasto tri*0.137931034  if lleva iva=1 and es formal=1</m:t>
                  </m:r>
                </m:e>
                <m:e>
                  <m:r>
                    <w:rPr>
                      <w:rFonts w:ascii="Cambria Math" w:hAnsi="Cambria Math"/>
                      <w:lang w:val="en-US"/>
                    </w:rPr>
                    <m:t xml:space="preserve">0 otherwise </m:t>
                  </m:r>
                </m:e>
              </m:eqArr>
            </m:e>
          </m:d>
        </m:oMath>
      </m:oMathPara>
    </w:p>
    <w:p w14:paraId="6E4B7ED6" w14:textId="77777777" w:rsidR="00E71B46" w:rsidRPr="00B44B79" w:rsidRDefault="00E71B46" w:rsidP="00B44B79">
      <w:pPr>
        <w:rPr>
          <w:lang w:val="en-US"/>
        </w:rPr>
      </w:pPr>
    </w:p>
    <w:p w14:paraId="669EE73E" w14:textId="08F5A3D6" w:rsidR="00FF06B5" w:rsidRPr="00E71B46" w:rsidRDefault="00E71B46" w:rsidP="00E71B46">
      <w:pPr>
        <w:pStyle w:val="ListParagraph"/>
        <w:numPr>
          <w:ilvl w:val="1"/>
          <w:numId w:val="3"/>
        </w:numPr>
        <w:rPr>
          <w:b/>
          <w:bCs/>
          <w:lang w:val="en-US"/>
        </w:rPr>
      </w:pPr>
      <w:r w:rsidRPr="00E71B46">
        <w:rPr>
          <w:b/>
          <w:bCs/>
          <w:lang w:val="en-US"/>
        </w:rPr>
        <w:t xml:space="preserve">Aggregation to the Household Level </w:t>
      </w:r>
    </w:p>
    <w:p w14:paraId="1E240985" w14:textId="504FD70F" w:rsidR="00E71B46" w:rsidRDefault="00E71B46" w:rsidP="00E71B46">
      <w:pPr>
        <w:rPr>
          <w:lang w:val="en-US"/>
        </w:rPr>
      </w:pPr>
      <w:r>
        <w:rPr>
          <w:lang w:val="en-US"/>
        </w:rPr>
        <w:t>The total IVA paid by a househols in a quarter is the sum of iva_partida over all its expenditure records:</w:t>
      </w:r>
    </w:p>
    <w:p w14:paraId="1513FF4F" w14:textId="3386C8D2" w:rsidR="00E71B46" w:rsidRPr="00E71B46" w:rsidRDefault="00E71B46" w:rsidP="00E71B46">
      <w:pPr>
        <w:rPr>
          <w:lang w:val="en-US"/>
        </w:rPr>
      </w:pPr>
      <m:oMathPara>
        <m:oMath>
          <m:r>
            <w:rPr>
              <w:rFonts w:ascii="Cambria Math" w:hAnsi="Cambria Math"/>
              <w:lang w:val="en-US"/>
            </w:rPr>
            <m:t>IV</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HH</m:t>
              </m:r>
            </m:sub>
          </m:sSub>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household</m:t>
              </m:r>
            </m:sub>
            <m:sup/>
            <m:e>
              <m:r>
                <w:rPr>
                  <w:rFonts w:ascii="Cambria Math" w:hAnsi="Cambria Math"/>
                  <w:lang w:val="en-US"/>
                </w:rPr>
                <m:t>iva partida</m:t>
              </m:r>
            </m:e>
          </m:nary>
        </m:oMath>
      </m:oMathPara>
    </w:p>
    <w:p w14:paraId="11BBF6C6" w14:textId="31AC9AA5" w:rsidR="00B641DD" w:rsidRPr="00050EC6" w:rsidRDefault="00E71B46" w:rsidP="00E71B46">
      <w:pPr>
        <w:pStyle w:val="ListParagraph"/>
        <w:numPr>
          <w:ilvl w:val="1"/>
          <w:numId w:val="3"/>
        </w:numPr>
        <w:rPr>
          <w:b/>
          <w:bCs/>
          <w:highlight w:val="yellow"/>
          <w:lang w:val="en-US"/>
        </w:rPr>
      </w:pPr>
      <w:r w:rsidRPr="00050EC6">
        <w:rPr>
          <w:b/>
          <w:bCs/>
          <w:highlight w:val="yellow"/>
          <w:lang w:val="en-US"/>
        </w:rPr>
        <w:t xml:space="preserve">Attributing IVA to Disposable Income </w:t>
      </w:r>
    </w:p>
    <w:p w14:paraId="52A3FE8F" w14:textId="0E7B77B9" w:rsidR="00E71B46" w:rsidRPr="00050EC6" w:rsidRDefault="003F7703" w:rsidP="00E71B46">
      <w:pPr>
        <w:rPr>
          <w:highlight w:val="yellow"/>
          <w:lang w:val="en-US"/>
        </w:rPr>
      </w:pPr>
      <w:r w:rsidRPr="00050EC6">
        <w:rPr>
          <w:highlight w:val="yellow"/>
          <w:lang w:val="en-US"/>
        </w:rPr>
        <w:t xml:space="preserve">The CEQ incidence analysis requires that the tax burden be expressed as a proportion of household disposable income. However, IVA is paid out of total consumption, not directly out of income. To allocate the household’s total IVA to its disposable income in a consistent manner, we follow a proportional attribution method. </w:t>
      </w:r>
    </w:p>
    <w:p w14:paraId="60E56F4D" w14:textId="18DF9223" w:rsidR="003F7703" w:rsidRPr="00050EC6" w:rsidRDefault="003F7703" w:rsidP="00E71B46">
      <w:pPr>
        <w:rPr>
          <w:highlight w:val="yellow"/>
          <w:lang w:val="en-US"/>
        </w:rPr>
      </w:pPr>
      <w:r w:rsidRPr="00050EC6">
        <w:rPr>
          <w:highlight w:val="yellow"/>
          <w:lang w:val="en-US"/>
        </w:rPr>
        <w:t xml:space="preserve">First, we define a “taxable expenditure base” for the household, denoted Gasto_HH_tri. This base excludes expenditure on goods that are zere-rated or exempt (food, cleaning, personal care), because those items do not generate IVA even if purchased formally. Usually the ENIGH concentradohogar file: </w:t>
      </w:r>
    </w:p>
    <w:p w14:paraId="1E31FCFA" w14:textId="2DAEE8B0" w:rsidR="003F7703" w:rsidRPr="00050EC6" w:rsidRDefault="003F7703" w:rsidP="00E71B46">
      <w:pPr>
        <w:rPr>
          <w:highlight w:val="yellow"/>
          <w:lang w:val="en-US"/>
        </w:rPr>
      </w:pPr>
      <m:oMathPara>
        <m:oMath>
          <m:r>
            <w:rPr>
              <w:rFonts w:ascii="Cambria Math" w:hAnsi="Cambria Math"/>
              <w:highlight w:val="yellow"/>
              <w:lang w:val="en-US"/>
            </w:rPr>
            <w:lastRenderedPageBreak/>
            <m:t>Gasto HH tri=gasto mon-</m:t>
          </m:r>
          <m:d>
            <m:dPr>
              <m:ctrlPr>
                <w:rPr>
                  <w:rFonts w:ascii="Cambria Math" w:hAnsi="Cambria Math"/>
                  <w:i/>
                  <w:highlight w:val="yellow"/>
                  <w:lang w:val="en-US"/>
                </w:rPr>
              </m:ctrlPr>
            </m:dPr>
            <m:e>
              <m:r>
                <w:rPr>
                  <w:rFonts w:ascii="Cambria Math" w:hAnsi="Cambria Math"/>
                  <w:highlight w:val="yellow"/>
                  <w:lang w:val="en-US"/>
                </w:rPr>
                <m:t>alimentos+limpieza+cuidados</m:t>
              </m:r>
            </m:e>
          </m:d>
        </m:oMath>
      </m:oMathPara>
    </w:p>
    <w:p w14:paraId="7CF2A41A" w14:textId="3B96CEBA" w:rsidR="003F7703" w:rsidRPr="00050EC6" w:rsidRDefault="003F7703" w:rsidP="00E71B46">
      <w:pPr>
        <w:rPr>
          <w:highlight w:val="yellow"/>
          <w:lang w:val="en-US"/>
        </w:rPr>
      </w:pPr>
      <w:r w:rsidRPr="00050EC6">
        <w:rPr>
          <w:highlight w:val="yellow"/>
          <w:lang w:val="en-US"/>
        </w:rPr>
        <w:t xml:space="preserve">Where: </w:t>
      </w:r>
    </w:p>
    <w:p w14:paraId="56FAF3E2" w14:textId="279C62C6" w:rsidR="003F7703" w:rsidRPr="00050EC6" w:rsidRDefault="003F7703" w:rsidP="003F7703">
      <w:pPr>
        <w:pStyle w:val="ListParagraph"/>
        <w:numPr>
          <w:ilvl w:val="0"/>
          <w:numId w:val="5"/>
        </w:numPr>
        <w:rPr>
          <w:highlight w:val="yellow"/>
          <w:lang w:val="en-US"/>
        </w:rPr>
      </w:pPr>
      <w:r w:rsidRPr="00050EC6">
        <w:rPr>
          <w:highlight w:val="yellow"/>
          <w:lang w:val="en-US"/>
        </w:rPr>
        <w:t xml:space="preserve">Gasto mon = total quartly monetary expenditure, </w:t>
      </w:r>
    </w:p>
    <w:p w14:paraId="702B1789" w14:textId="30AB7419" w:rsidR="003F7703" w:rsidRPr="00050EC6" w:rsidRDefault="003F7703" w:rsidP="003F7703">
      <w:pPr>
        <w:pStyle w:val="ListParagraph"/>
        <w:numPr>
          <w:ilvl w:val="0"/>
          <w:numId w:val="5"/>
        </w:numPr>
        <w:rPr>
          <w:highlight w:val="yellow"/>
          <w:lang w:val="en-US"/>
        </w:rPr>
      </w:pPr>
      <w:r w:rsidRPr="00050EC6">
        <w:rPr>
          <w:highlight w:val="yellow"/>
          <w:lang w:val="en-US"/>
        </w:rPr>
        <w:t xml:space="preserve">Alimentos = expenditure on food, </w:t>
      </w:r>
    </w:p>
    <w:p w14:paraId="7EB1345A" w14:textId="3DBF893A" w:rsidR="003F7703" w:rsidRPr="00050EC6" w:rsidRDefault="003F7703" w:rsidP="003F7703">
      <w:pPr>
        <w:pStyle w:val="ListParagraph"/>
        <w:numPr>
          <w:ilvl w:val="0"/>
          <w:numId w:val="5"/>
        </w:numPr>
        <w:rPr>
          <w:highlight w:val="yellow"/>
          <w:lang w:val="en-US"/>
        </w:rPr>
      </w:pPr>
      <w:r w:rsidRPr="00050EC6">
        <w:rPr>
          <w:highlight w:val="yellow"/>
          <w:lang w:val="en-US"/>
        </w:rPr>
        <w:t xml:space="preserve">Limpieza = expenditure on cleaning products, </w:t>
      </w:r>
    </w:p>
    <w:p w14:paraId="404860D5" w14:textId="5573626D" w:rsidR="003F7703" w:rsidRPr="00050EC6" w:rsidRDefault="003F7703" w:rsidP="003F7703">
      <w:pPr>
        <w:pStyle w:val="ListParagraph"/>
        <w:numPr>
          <w:ilvl w:val="0"/>
          <w:numId w:val="5"/>
        </w:numPr>
        <w:rPr>
          <w:highlight w:val="yellow"/>
          <w:lang w:val="en-US"/>
        </w:rPr>
      </w:pPr>
      <w:r w:rsidRPr="00050EC6">
        <w:rPr>
          <w:highlight w:val="yellow"/>
          <w:lang w:val="en-US"/>
        </w:rPr>
        <w:t xml:space="preserve">Cuidados = expenditure on personal care. </w:t>
      </w:r>
    </w:p>
    <w:p w14:paraId="2F95147F" w14:textId="2CC181BB" w:rsidR="003F7703" w:rsidRPr="00050EC6" w:rsidRDefault="003F7703" w:rsidP="003F7703">
      <w:pPr>
        <w:rPr>
          <w:highlight w:val="yellow"/>
          <w:lang w:val="en-US"/>
        </w:rPr>
      </w:pPr>
      <w:r w:rsidRPr="00050EC6">
        <w:rPr>
          <w:highlight w:val="yellow"/>
          <w:lang w:val="en-US"/>
        </w:rPr>
        <w:t xml:space="preserve">The IVA attributable to the household’s disponsable income is then computed as: </w:t>
      </w:r>
    </w:p>
    <w:p w14:paraId="46774A10" w14:textId="3082B568" w:rsidR="003F7703" w:rsidRPr="00050EC6" w:rsidRDefault="003F7703" w:rsidP="003F7703">
      <w:pPr>
        <w:rPr>
          <w:highlight w:val="yellow"/>
          <w:lang w:val="en-US"/>
        </w:rPr>
      </w:pPr>
      <m:oMathPara>
        <m:oMath>
          <m:r>
            <w:rPr>
              <w:rFonts w:ascii="Cambria Math" w:hAnsi="Cambria Math"/>
              <w:highlight w:val="yellow"/>
              <w:lang w:val="en-US"/>
            </w:rPr>
            <m:t xml:space="preserve">IVA HH A= </m:t>
          </m:r>
          <m:d>
            <m:dPr>
              <m:begChr m:val="{"/>
              <m:endChr m:val=""/>
              <m:ctrlPr>
                <w:rPr>
                  <w:rFonts w:ascii="Cambria Math" w:hAnsi="Cambria Math"/>
                  <w:i/>
                  <w:highlight w:val="yellow"/>
                  <w:lang w:val="en-US"/>
                </w:rPr>
              </m:ctrlPr>
            </m:dPr>
            <m:e>
              <m:eqArr>
                <m:eqArrPr>
                  <m:ctrlPr>
                    <w:rPr>
                      <w:rFonts w:ascii="Cambria Math" w:hAnsi="Cambria Math"/>
                      <w:i/>
                      <w:highlight w:val="yellow"/>
                      <w:lang w:val="en-US"/>
                    </w:rPr>
                  </m:ctrlPr>
                </m:eqArrPr>
                <m:e>
                  <m:f>
                    <m:fPr>
                      <m:ctrlPr>
                        <w:rPr>
                          <w:rFonts w:ascii="Cambria Math" w:hAnsi="Cambria Math"/>
                          <w:i/>
                          <w:highlight w:val="yellow"/>
                          <w:lang w:val="en-US"/>
                        </w:rPr>
                      </m:ctrlPr>
                    </m:fPr>
                    <m:num>
                      <m:r>
                        <w:rPr>
                          <w:rFonts w:ascii="Cambria Math" w:hAnsi="Cambria Math"/>
                          <w:highlight w:val="yellow"/>
                          <w:lang w:val="en-US"/>
                        </w:rPr>
                        <m:t>IVA HH</m:t>
                      </m:r>
                    </m:num>
                    <m:den>
                      <m:r>
                        <w:rPr>
                          <w:rFonts w:ascii="Cambria Math" w:hAnsi="Cambria Math"/>
                          <w:highlight w:val="yellow"/>
                          <w:lang w:val="en-US"/>
                        </w:rPr>
                        <m:t>GASTO HH tri</m:t>
                      </m:r>
                    </m:den>
                  </m:f>
                  <m:r>
                    <w:rPr>
                      <w:rFonts w:ascii="Cambria Math" w:hAnsi="Cambria Math"/>
                      <w:highlight w:val="yellow"/>
                      <w:lang w:val="en-US"/>
                    </w:rPr>
                    <m:t>*ing corr  if Gasto HH tri&gt;0</m:t>
                  </m:r>
                </m:e>
                <m:e>
                  <m:r>
                    <w:rPr>
                      <w:rFonts w:ascii="Cambria Math" w:hAnsi="Cambria Math"/>
                      <w:highlight w:val="yellow"/>
                      <w:lang w:val="en-US"/>
                    </w:rPr>
                    <m:t xml:space="preserve">0 otherwise </m:t>
                  </m:r>
                </m:e>
              </m:eqArr>
            </m:e>
          </m:d>
        </m:oMath>
      </m:oMathPara>
    </w:p>
    <w:p w14:paraId="19D5B0AE" w14:textId="59ECF444" w:rsidR="00157708" w:rsidRDefault="003F7703" w:rsidP="003F7703">
      <w:pPr>
        <w:rPr>
          <w:lang w:val="en-US"/>
        </w:rPr>
      </w:pPr>
      <w:r w:rsidRPr="00050EC6">
        <w:rPr>
          <w:highlight w:val="yellow"/>
          <w:lang w:val="en-US"/>
        </w:rPr>
        <w:t>Where ing cor is the household’s current disponsable income (the sum of all monetary income after direct taxes and transfers, as defined in the CEQ framework). This imputation assumes that the effective Iva rate on taxable expenditure is constant across households and that the tax burden scales proportionally with disponsable income within the taxable consumption base.</w:t>
      </w:r>
      <w:r>
        <w:rPr>
          <w:lang w:val="en-US"/>
        </w:rPr>
        <w:t xml:space="preserve"> </w:t>
      </w:r>
    </w:p>
    <w:p w14:paraId="2BEC51AC" w14:textId="77777777" w:rsidR="006E2271" w:rsidRDefault="006E2271" w:rsidP="003F7703">
      <w:pPr>
        <w:rPr>
          <w:lang w:val="en-US"/>
        </w:rPr>
      </w:pPr>
    </w:p>
    <w:p w14:paraId="1506942D" w14:textId="1DAFEE7B" w:rsidR="006E2271" w:rsidRDefault="006E2271" w:rsidP="003F7703">
      <w:pPr>
        <w:rPr>
          <w:lang w:val="en-US"/>
        </w:rPr>
      </w:pPr>
      <w:r>
        <w:rPr>
          <w:noProof/>
          <w:lang w:val="en-US"/>
        </w:rPr>
        <w:lastRenderedPageBreak/>
        <w:drawing>
          <wp:inline distT="0" distB="0" distL="0" distR="0" wp14:anchorId="015CB024" wp14:editId="290B88C0">
            <wp:extent cx="5943600" cy="7429500"/>
            <wp:effectExtent l="0" t="0" r="0" b="0"/>
            <wp:docPr id="1719972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72972" name="Picture 1719972972"/>
                    <pic:cNvPicPr/>
                  </pic:nvPicPr>
                  <pic:blipFill>
                    <a:blip r:embed="rId8"/>
                    <a:stretch>
                      <a:fillRect/>
                    </a:stretch>
                  </pic:blipFill>
                  <pic:spPr>
                    <a:xfrm>
                      <a:off x="0" y="0"/>
                      <a:ext cx="5943600" cy="7429500"/>
                    </a:xfrm>
                    <a:prstGeom prst="rect">
                      <a:avLst/>
                    </a:prstGeom>
                  </pic:spPr>
                </pic:pic>
              </a:graphicData>
            </a:graphic>
          </wp:inline>
        </w:drawing>
      </w:r>
    </w:p>
    <w:p w14:paraId="7263BA3A" w14:textId="77777777" w:rsidR="00157708" w:rsidRDefault="00157708">
      <w:pPr>
        <w:rPr>
          <w:lang w:val="en-US"/>
        </w:rPr>
      </w:pPr>
      <w:r>
        <w:rPr>
          <w:lang w:val="en-US"/>
        </w:rPr>
        <w:br w:type="page"/>
      </w:r>
    </w:p>
    <w:p w14:paraId="1A80CAB3" w14:textId="073ACBBC" w:rsidR="003F7703" w:rsidRDefault="00157708" w:rsidP="00157708">
      <w:pPr>
        <w:pStyle w:val="Subtitle"/>
        <w:rPr>
          <w:lang w:val="en-US"/>
        </w:rPr>
      </w:pPr>
      <w:r>
        <w:rPr>
          <w:lang w:val="en-US"/>
        </w:rPr>
        <w:lastRenderedPageBreak/>
        <w:t xml:space="preserve">Analyzing Results </w:t>
      </w:r>
    </w:p>
    <w:p w14:paraId="734E6F3A" w14:textId="2F1B7890" w:rsidR="003F7703" w:rsidRPr="00E71B46" w:rsidRDefault="003F7703" w:rsidP="00E71B46">
      <w:pPr>
        <w:rPr>
          <w:lang w:val="en-US"/>
        </w:rPr>
      </w:pPr>
    </w:p>
    <w:sectPr w:rsidR="003F7703" w:rsidRPr="00E71B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85B07" w14:textId="77777777" w:rsidR="003061B1" w:rsidRDefault="003061B1" w:rsidP="00130CAF">
      <w:pPr>
        <w:spacing w:after="0" w:line="240" w:lineRule="auto"/>
      </w:pPr>
      <w:r>
        <w:separator/>
      </w:r>
    </w:p>
  </w:endnote>
  <w:endnote w:type="continuationSeparator" w:id="0">
    <w:p w14:paraId="361393DD" w14:textId="77777777" w:rsidR="003061B1" w:rsidRDefault="003061B1" w:rsidP="00130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442B" w14:textId="77777777" w:rsidR="003061B1" w:rsidRDefault="003061B1" w:rsidP="00130CAF">
      <w:pPr>
        <w:spacing w:after="0" w:line="240" w:lineRule="auto"/>
      </w:pPr>
      <w:r>
        <w:separator/>
      </w:r>
    </w:p>
  </w:footnote>
  <w:footnote w:type="continuationSeparator" w:id="0">
    <w:p w14:paraId="020F3F6C" w14:textId="77777777" w:rsidR="003061B1" w:rsidRDefault="003061B1" w:rsidP="00130CAF">
      <w:pPr>
        <w:spacing w:after="0" w:line="240" w:lineRule="auto"/>
      </w:pPr>
      <w:r>
        <w:continuationSeparator/>
      </w:r>
    </w:p>
  </w:footnote>
  <w:footnote w:id="1">
    <w:p w14:paraId="45721A93" w14:textId="77777777" w:rsidR="009A320A" w:rsidRPr="00130CAF" w:rsidRDefault="009A320A" w:rsidP="009A320A">
      <w:pPr>
        <w:pStyle w:val="FootnoteText"/>
        <w:rPr>
          <w:lang w:val="es-ES_tradnl"/>
        </w:rPr>
      </w:pPr>
      <w:r>
        <w:rPr>
          <w:rStyle w:val="FootnoteReference"/>
        </w:rPr>
        <w:footnoteRef/>
      </w:r>
      <w:r>
        <w:t xml:space="preserve"> </w:t>
      </w:r>
      <w:hyperlink r:id="rId1" w:history="1">
        <w:r w:rsidRPr="00C2250A">
          <w:rPr>
            <w:rStyle w:val="Hyperlink"/>
          </w:rPr>
          <w:t>https://www.inegi.org.mx/contenidos/app/scian/ccif.pdf</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0F5"/>
    <w:multiLevelType w:val="hybridMultilevel"/>
    <w:tmpl w:val="FF2A95C6"/>
    <w:lvl w:ilvl="0" w:tplc="C2E436B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F2C40"/>
    <w:multiLevelType w:val="hybridMultilevel"/>
    <w:tmpl w:val="BC300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CD40E2"/>
    <w:multiLevelType w:val="hybridMultilevel"/>
    <w:tmpl w:val="6BCAC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86949"/>
    <w:multiLevelType w:val="hybridMultilevel"/>
    <w:tmpl w:val="A1EA02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77182">
    <w:abstractNumId w:val="1"/>
  </w:num>
  <w:num w:numId="2" w16cid:durableId="408432350">
    <w:abstractNumId w:val="2"/>
  </w:num>
  <w:num w:numId="3" w16cid:durableId="1723170602">
    <w:abstractNumId w:val="3"/>
  </w:num>
  <w:num w:numId="4" w16cid:durableId="173036324">
    <w:abstractNumId w:val="4"/>
  </w:num>
  <w:num w:numId="5" w16cid:durableId="8862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1DD"/>
    <w:rsid w:val="000148CA"/>
    <w:rsid w:val="00050EC6"/>
    <w:rsid w:val="00130CAF"/>
    <w:rsid w:val="00157708"/>
    <w:rsid w:val="002A52AB"/>
    <w:rsid w:val="003061B1"/>
    <w:rsid w:val="003F7703"/>
    <w:rsid w:val="005E7F4A"/>
    <w:rsid w:val="006E2271"/>
    <w:rsid w:val="008056E3"/>
    <w:rsid w:val="00864303"/>
    <w:rsid w:val="00874FE2"/>
    <w:rsid w:val="00981C6D"/>
    <w:rsid w:val="009A320A"/>
    <w:rsid w:val="00B44B79"/>
    <w:rsid w:val="00B641DD"/>
    <w:rsid w:val="00E52310"/>
    <w:rsid w:val="00E71B46"/>
    <w:rsid w:val="00EA63CD"/>
    <w:rsid w:val="00FF06B5"/>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2698"/>
  <w15:chartTrackingRefBased/>
  <w15:docId w15:val="{DBFF334A-597D-EF4E-8326-1AB8E7A8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C6D"/>
  </w:style>
  <w:style w:type="paragraph" w:styleId="Heading1">
    <w:name w:val="heading 1"/>
    <w:basedOn w:val="Normal"/>
    <w:next w:val="Normal"/>
    <w:link w:val="Heading1Char"/>
    <w:uiPriority w:val="9"/>
    <w:qFormat/>
    <w:rsid w:val="00981C6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981C6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981C6D"/>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981C6D"/>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981C6D"/>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981C6D"/>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981C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1C6D"/>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981C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C6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981C6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981C6D"/>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981C6D"/>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981C6D"/>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981C6D"/>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981C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1C6D"/>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981C6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81C6D"/>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981C6D"/>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981C6D"/>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981C6D"/>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981C6D"/>
    <w:rPr>
      <w:i/>
      <w:iCs/>
      <w:color w:val="000000" w:themeColor="text1"/>
    </w:rPr>
  </w:style>
  <w:style w:type="character" w:customStyle="1" w:styleId="QuoteChar">
    <w:name w:val="Quote Char"/>
    <w:basedOn w:val="DefaultParagraphFont"/>
    <w:link w:val="Quote"/>
    <w:uiPriority w:val="29"/>
    <w:rsid w:val="00981C6D"/>
    <w:rPr>
      <w:i/>
      <w:iCs/>
      <w:color w:val="000000" w:themeColor="text1"/>
    </w:rPr>
  </w:style>
  <w:style w:type="paragraph" w:styleId="ListParagraph">
    <w:name w:val="List Paragraph"/>
    <w:basedOn w:val="Normal"/>
    <w:uiPriority w:val="34"/>
    <w:qFormat/>
    <w:rsid w:val="00981C6D"/>
    <w:pPr>
      <w:ind w:left="720"/>
      <w:contextualSpacing/>
    </w:pPr>
  </w:style>
  <w:style w:type="character" w:styleId="IntenseEmphasis">
    <w:name w:val="Intense Emphasis"/>
    <w:basedOn w:val="DefaultParagraphFont"/>
    <w:uiPriority w:val="21"/>
    <w:qFormat/>
    <w:rsid w:val="00981C6D"/>
    <w:rPr>
      <w:b/>
      <w:bCs/>
      <w:i/>
      <w:iCs/>
      <w:color w:val="156082" w:themeColor="accent1"/>
    </w:rPr>
  </w:style>
  <w:style w:type="paragraph" w:styleId="IntenseQuote">
    <w:name w:val="Intense Quote"/>
    <w:basedOn w:val="Normal"/>
    <w:next w:val="Normal"/>
    <w:link w:val="IntenseQuoteChar"/>
    <w:uiPriority w:val="30"/>
    <w:qFormat/>
    <w:rsid w:val="00981C6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81C6D"/>
    <w:rPr>
      <w:b/>
      <w:bCs/>
      <w:i/>
      <w:iCs/>
      <w:color w:val="156082" w:themeColor="accent1"/>
    </w:rPr>
  </w:style>
  <w:style w:type="character" w:styleId="IntenseReference">
    <w:name w:val="Intense Reference"/>
    <w:basedOn w:val="DefaultParagraphFont"/>
    <w:uiPriority w:val="32"/>
    <w:qFormat/>
    <w:rsid w:val="00981C6D"/>
    <w:rPr>
      <w:b/>
      <w:bCs/>
      <w:smallCaps/>
      <w:color w:val="E97132" w:themeColor="accent2"/>
      <w:spacing w:val="5"/>
      <w:u w:val="single"/>
    </w:rPr>
  </w:style>
  <w:style w:type="character" w:styleId="PlaceholderText">
    <w:name w:val="Placeholder Text"/>
    <w:basedOn w:val="DefaultParagraphFont"/>
    <w:uiPriority w:val="99"/>
    <w:semiHidden/>
    <w:rsid w:val="005E7F4A"/>
    <w:rPr>
      <w:color w:val="666666"/>
    </w:rPr>
  </w:style>
  <w:style w:type="paragraph" w:styleId="Caption">
    <w:name w:val="caption"/>
    <w:basedOn w:val="Normal"/>
    <w:next w:val="Normal"/>
    <w:uiPriority w:val="35"/>
    <w:semiHidden/>
    <w:unhideWhenUsed/>
    <w:qFormat/>
    <w:rsid w:val="00981C6D"/>
    <w:pPr>
      <w:spacing w:line="240" w:lineRule="auto"/>
    </w:pPr>
    <w:rPr>
      <w:b/>
      <w:bCs/>
      <w:color w:val="156082" w:themeColor="accent1"/>
      <w:sz w:val="18"/>
      <w:szCs w:val="18"/>
    </w:rPr>
  </w:style>
  <w:style w:type="character" w:styleId="Strong">
    <w:name w:val="Strong"/>
    <w:basedOn w:val="DefaultParagraphFont"/>
    <w:uiPriority w:val="22"/>
    <w:qFormat/>
    <w:rsid w:val="00981C6D"/>
    <w:rPr>
      <w:b/>
      <w:bCs/>
    </w:rPr>
  </w:style>
  <w:style w:type="character" w:styleId="Emphasis">
    <w:name w:val="Emphasis"/>
    <w:basedOn w:val="DefaultParagraphFont"/>
    <w:uiPriority w:val="20"/>
    <w:qFormat/>
    <w:rsid w:val="00981C6D"/>
    <w:rPr>
      <w:i/>
      <w:iCs/>
    </w:rPr>
  </w:style>
  <w:style w:type="paragraph" w:styleId="NoSpacing">
    <w:name w:val="No Spacing"/>
    <w:link w:val="NoSpacingChar"/>
    <w:uiPriority w:val="1"/>
    <w:qFormat/>
    <w:rsid w:val="00981C6D"/>
    <w:pPr>
      <w:spacing w:after="0" w:line="240" w:lineRule="auto"/>
    </w:pPr>
  </w:style>
  <w:style w:type="character" w:customStyle="1" w:styleId="NoSpacingChar">
    <w:name w:val="No Spacing Char"/>
    <w:basedOn w:val="DefaultParagraphFont"/>
    <w:link w:val="NoSpacing"/>
    <w:uiPriority w:val="1"/>
    <w:rsid w:val="00981C6D"/>
  </w:style>
  <w:style w:type="character" w:styleId="SubtleEmphasis">
    <w:name w:val="Subtle Emphasis"/>
    <w:basedOn w:val="DefaultParagraphFont"/>
    <w:uiPriority w:val="19"/>
    <w:qFormat/>
    <w:rsid w:val="00981C6D"/>
    <w:rPr>
      <w:i/>
      <w:iCs/>
      <w:color w:val="808080" w:themeColor="text1" w:themeTint="7F"/>
    </w:rPr>
  </w:style>
  <w:style w:type="character" w:styleId="SubtleReference">
    <w:name w:val="Subtle Reference"/>
    <w:basedOn w:val="DefaultParagraphFont"/>
    <w:uiPriority w:val="31"/>
    <w:qFormat/>
    <w:rsid w:val="00981C6D"/>
    <w:rPr>
      <w:smallCaps/>
      <w:color w:val="E97132" w:themeColor="accent2"/>
      <w:u w:val="single"/>
    </w:rPr>
  </w:style>
  <w:style w:type="character" w:styleId="BookTitle">
    <w:name w:val="Book Title"/>
    <w:basedOn w:val="DefaultParagraphFont"/>
    <w:uiPriority w:val="33"/>
    <w:qFormat/>
    <w:rsid w:val="00981C6D"/>
    <w:rPr>
      <w:b/>
      <w:bCs/>
      <w:smallCaps/>
      <w:spacing w:val="5"/>
    </w:rPr>
  </w:style>
  <w:style w:type="paragraph" w:styleId="TOCHeading">
    <w:name w:val="TOC Heading"/>
    <w:basedOn w:val="Heading1"/>
    <w:next w:val="Normal"/>
    <w:uiPriority w:val="39"/>
    <w:semiHidden/>
    <w:unhideWhenUsed/>
    <w:qFormat/>
    <w:rsid w:val="00981C6D"/>
    <w:pPr>
      <w:outlineLvl w:val="9"/>
    </w:pPr>
  </w:style>
  <w:style w:type="paragraph" w:customStyle="1" w:styleId="PersonalName">
    <w:name w:val="Personal Name"/>
    <w:basedOn w:val="Title"/>
    <w:rsid w:val="00981C6D"/>
    <w:rPr>
      <w:b/>
      <w:caps/>
      <w:color w:val="000000"/>
      <w:sz w:val="28"/>
      <w:szCs w:val="28"/>
    </w:rPr>
  </w:style>
  <w:style w:type="table" w:styleId="TableGrid">
    <w:name w:val="Table Grid"/>
    <w:basedOn w:val="TableNormal"/>
    <w:uiPriority w:val="39"/>
    <w:rsid w:val="00FF0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30C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0CAF"/>
    <w:rPr>
      <w:sz w:val="20"/>
      <w:szCs w:val="20"/>
    </w:rPr>
  </w:style>
  <w:style w:type="character" w:styleId="FootnoteReference">
    <w:name w:val="footnote reference"/>
    <w:basedOn w:val="DefaultParagraphFont"/>
    <w:uiPriority w:val="99"/>
    <w:semiHidden/>
    <w:unhideWhenUsed/>
    <w:rsid w:val="00130CAF"/>
    <w:rPr>
      <w:vertAlign w:val="superscript"/>
    </w:rPr>
  </w:style>
  <w:style w:type="character" w:styleId="Hyperlink">
    <w:name w:val="Hyperlink"/>
    <w:basedOn w:val="DefaultParagraphFont"/>
    <w:uiPriority w:val="99"/>
    <w:unhideWhenUsed/>
    <w:rsid w:val="00130CAF"/>
    <w:rPr>
      <w:color w:val="467886" w:themeColor="hyperlink"/>
      <w:u w:val="single"/>
    </w:rPr>
  </w:style>
  <w:style w:type="character" w:styleId="UnresolvedMention">
    <w:name w:val="Unresolved Mention"/>
    <w:basedOn w:val="DefaultParagraphFont"/>
    <w:uiPriority w:val="99"/>
    <w:semiHidden/>
    <w:unhideWhenUsed/>
    <w:rsid w:val="00130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negi.org.mx/contenidos/app/scian/cci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DF4F1-B9B4-264E-B13F-286600F2C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7</Pages>
  <Words>1245</Words>
  <Characters>7134</Characters>
  <Application>Microsoft Office Word</Application>
  <DocSecurity>0</DocSecurity>
  <Lines>137</Lines>
  <Paragraphs>82</Paragraphs>
  <ScaleCrop>false</ScaleCrop>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ALEXIS SANCHEZ MORENO</dc:creator>
  <cp:keywords/>
  <dc:description/>
  <cp:lastModifiedBy>JESUS ALEXIS SANCHEZ MORENO</cp:lastModifiedBy>
  <cp:revision>22</cp:revision>
  <cp:lastPrinted>2026-05-17T15:05:00Z</cp:lastPrinted>
  <dcterms:created xsi:type="dcterms:W3CDTF">2026-04-11T02:02:00Z</dcterms:created>
  <dcterms:modified xsi:type="dcterms:W3CDTF">2026-05-17T15:05:00Z</dcterms:modified>
</cp:coreProperties>
</file>