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spacing w:line="480" w:lineRule="auto" w:after="0"/>
      </w:pPr>
      <w:r>
        <w:rPr>
          <w:rFonts w:ascii="Times New Roman" w:hAnsi="Times New Roman" w:cs="Times New Roman" w:eastAsia="Times New Roman"/>
          <w:b/>
          <w:i w:val="0"/>
          <w:sz w:val="24"/>
        </w:rPr>
        <w:t>SGIP — Sistema de Gestión de Inventario de Productos</w:t>
      </w:r>
    </w:p>
    <w:p>
      <w:pPr>
        <w:jc w:val="center"/>
        <w:spacing w:line="480" w:lineRule="auto" w:after="0"/>
      </w:pPr>
      <w:r>
        <w:rPr>
          <w:rFonts w:ascii="Times New Roman" w:hAnsi="Times New Roman" w:cs="Times New Roman" w:eastAsia="Times New Roman"/>
          <w:b/>
          <w:i w:val="0"/>
          <w:sz w:val="24"/>
        </w:rPr>
        <w:t>Informe de Avance N.º 1</w:t>
      </w:r>
    </w:p>
    <w:p>
      <w:pPr>
        <w:jc w:val="center"/>
        <w:spacing w:line="480" w:lineRule="auto" w:after="0"/>
      </w:pPr>
      <w:r>
        <w:rPr>
          <w:rFonts w:ascii="Times New Roman" w:hAnsi="Times New Roman" w:cs="Times New Roman" w:eastAsia="Times New Roman"/>
          <w:b w:val="0"/>
          <w:i w:val="0"/>
          <w:sz w:val="24"/>
        </w:rPr>
        <w:t>Periodo del 18 de septiembre al 16 de octubre de 2026</w:t>
      </w:r>
    </w:p>
    <w:p>
      <w:pPr>
        <w:jc w:val="center"/>
        <w:spacing w:line="480" w:lineRule="auto" w:after="0"/>
      </w:pPr>
    </w:p>
    <w:p>
      <w:pPr>
        <w:jc w:val="center"/>
        <w:spacing w:line="480" w:lineRule="auto" w:after="0"/>
      </w:pPr>
      <w:r>
        <w:rPr>
          <w:rFonts w:ascii="Times New Roman" w:hAnsi="Times New Roman" w:cs="Times New Roman" w:eastAsia="Times New Roman"/>
          <w:b w:val="0"/>
          <w:i w:val="0"/>
          <w:sz w:val="24"/>
        </w:rPr>
        <w:t>Jesús Manuel Durán Muñoz</w:t>
      </w:r>
    </w:p>
    <w:p>
      <w:pPr>
        <w:jc w:val="center"/>
        <w:spacing w:line="480" w:lineRule="auto" w:after="0"/>
      </w:pPr>
    </w:p>
    <w:p>
      <w:pPr>
        <w:jc w:val="center"/>
        <w:spacing w:line="480" w:lineRule="auto" w:after="0"/>
      </w:pPr>
      <w:r>
        <w:rPr>
          <w:rFonts w:ascii="Times New Roman" w:hAnsi="Times New Roman" w:cs="Times New Roman" w:eastAsia="Times New Roman"/>
          <w:b w:val="0"/>
          <w:i w:val="0"/>
          <w:sz w:val="24"/>
        </w:rPr>
        <w:t>Servicio Nacional de Aprendizaje (SENA)</w:t>
      </w:r>
    </w:p>
    <w:p>
      <w:pPr>
        <w:jc w:val="center"/>
        <w:spacing w:line="480" w:lineRule="auto" w:after="0"/>
      </w:pPr>
      <w:r>
        <w:rPr>
          <w:rFonts w:ascii="Times New Roman" w:hAnsi="Times New Roman" w:cs="Times New Roman" w:eastAsia="Times New Roman"/>
          <w:b w:val="0"/>
          <w:i w:val="0"/>
          <w:sz w:val="24"/>
        </w:rPr>
        <w:t>Centro Industrial de Mantenimiento Integral (CIMI)</w:t>
      </w:r>
    </w:p>
    <w:p>
      <w:pPr>
        <w:jc w:val="center"/>
        <w:spacing w:line="480" w:lineRule="auto" w:after="0"/>
      </w:pPr>
      <w:r>
        <w:rPr>
          <w:rFonts w:ascii="Times New Roman" w:hAnsi="Times New Roman" w:cs="Times New Roman" w:eastAsia="Times New Roman"/>
          <w:b w:val="0"/>
          <w:i w:val="0"/>
          <w:sz w:val="24"/>
        </w:rPr>
        <w:t>Tecnología en Análisis y Desarrollo de Software</w:t>
      </w:r>
    </w:p>
    <w:p>
      <w:pPr>
        <w:jc w:val="center"/>
        <w:spacing w:line="480" w:lineRule="auto" w:after="0"/>
      </w:pPr>
      <w:r>
        <w:rPr>
          <w:rFonts w:ascii="Times New Roman" w:hAnsi="Times New Roman" w:cs="Times New Roman" w:eastAsia="Times New Roman"/>
          <w:b w:val="0"/>
          <w:i w:val="0"/>
          <w:sz w:val="24"/>
        </w:rPr>
        <w:t>Ficha 3234206</w:t>
      </w:r>
    </w:p>
    <w:p>
      <w:pPr>
        <w:jc w:val="center"/>
        <w:spacing w:line="480" w:lineRule="auto" w:after="0"/>
      </w:pPr>
      <w:r>
        <w:rPr>
          <w:rFonts w:ascii="Times New Roman" w:hAnsi="Times New Roman" w:cs="Times New Roman" w:eastAsia="Times New Roman"/>
          <w:b w:val="0"/>
          <w:i w:val="0"/>
          <w:sz w:val="24"/>
        </w:rPr>
        <w:t>Instructora: Yeimi Barrera</w:t>
      </w:r>
    </w:p>
    <w:p>
      <w:pPr>
        <w:jc w:val="center"/>
        <w:spacing w:line="480" w:lineRule="auto" w:after="0"/>
      </w:pPr>
    </w:p>
    <w:p>
      <w:pPr>
        <w:jc w:val="center"/>
        <w:spacing w:line="480" w:lineRule="auto" w:after="0"/>
      </w:pPr>
      <w:r>
        <w:rPr>
          <w:rFonts w:ascii="Times New Roman" w:hAnsi="Times New Roman" w:cs="Times New Roman" w:eastAsia="Times New Roman"/>
          <w:b w:val="0"/>
          <w:i w:val="0"/>
          <w:sz w:val="24"/>
        </w:rPr>
        <w:t>Bucaramanga, Santander</w:t>
      </w:r>
    </w:p>
    <w:p>
      <w:pPr>
        <w:jc w:val="center"/>
        <w:spacing w:line="480" w:lineRule="auto" w:after="0"/>
      </w:pPr>
      <w:r>
        <w:rPr>
          <w:rFonts w:ascii="Times New Roman" w:hAnsi="Times New Roman" w:cs="Times New Roman" w:eastAsia="Times New Roman"/>
          <w:b w:val="0"/>
          <w:i w:val="0"/>
          <w:sz w:val="24"/>
        </w:rPr>
        <w:t>2026</w:t>
      </w:r>
    </w:p>
    <w:p>
      <w:pPr>
        <w:jc w:val="both"/>
        <w:spacing w:line="480" w:lineRule="auto" w:after="0"/>
      </w:pPr>
      <w:r>
        <w:br w:type="page"/>
      </w:r>
    </w:p>
    <w:p>
      <w:pPr>
        <w:pStyle w:val="Heading1"/>
        <w:jc w:val="left"/>
        <w:spacing w:line="480" w:lineRule="auto" w:after="0"/>
      </w:pPr>
      <w:r>
        <w:rPr>
          <w:rFonts w:ascii="Times New Roman" w:hAnsi="Times New Roman" w:cs="Times New Roman" w:eastAsia="Times New Roman"/>
          <w:b/>
          <w:i w:val="0"/>
          <w:sz w:val="24"/>
        </w:rPr>
        <w:t>Identificación del Informe</w:t>
      </w:r>
    </w:p>
    <w:p>
      <w:pPr>
        <w:jc w:val="both"/>
        <w:keepNext/>
        <w:spacing w:line="480" w:lineRule="auto" w:after="0"/>
      </w:pPr>
      <w:r>
        <w:rPr>
          <w:rFonts w:ascii="Times New Roman" w:hAnsi="Times New Roman" w:cs="Times New Roman" w:eastAsia="Times New Roman"/>
          <w:b w:val="0"/>
          <w:i w:val="0"/>
          <w:sz w:val="20"/>
        </w:rPr>
        <w:t>Tabla 1</w:t>
      </w:r>
    </w:p>
    <w:p>
      <w:pPr>
        <w:jc w:val="both"/>
        <w:keepNext/>
        <w:spacing w:line="480" w:lineRule="auto" w:after="0"/>
      </w:pPr>
      <w:r>
        <w:rPr>
          <w:rFonts w:ascii="Times New Roman" w:hAnsi="Times New Roman" w:cs="Times New Roman" w:eastAsia="Times New Roman"/>
          <w:b w:val="0"/>
          <w:i w:val="0"/>
          <w:sz w:val="20"/>
        </w:rPr>
        <w:t>Datos de identificación del informe de avance</w:t>
      </w:r>
    </w:p>
    <w:tbl>
      <w:tblPr>
        <w:tblW w:type="dxa" w:w="9360"/>
        <w:tblLayout w:type="fixed"/>
        <w:tblLook w:firstColumn="1" w:firstRow="1" w:lastColumn="0" w:lastRow="0" w:noHBand="0" w:noVBand="1" w:val="04A0"/>
      </w:tblPr>
      <w:tblGrid>
        <w:gridCol w:w="4680"/>
        <w:gridCol w:w="4680"/>
      </w:tblGrid>
      <w:tr>
        <w:trPr>
          <w:tblHeader/>
        </w:trPr>
        <w:tc>
          <w:tcPr>
            <w:tcW w:type="dxa" w:w="2433"/>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Campo</w:t>
            </w:r>
          </w:p>
        </w:tc>
        <w:tc>
          <w:tcPr>
            <w:tcW w:type="dxa" w:w="6926"/>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Contenido</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Proyecto</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SGIP — Sistema de Gestión de Inventario de Productos</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Documento</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Informe de Avance N.º 1</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Periodo que cubre</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18 de septiembre a 16 de octubre de 2026 (cuatro semanas)</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Fecha de corte</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16 de octubre de 2026</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Autor</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Jesús Manuel Durán Muñoz</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Documento que lo antecede</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SGIP — Informe de Inicio del Proyecto, versión 4</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Repositorio</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github.com/JesusmanR/SGIP, rama develop</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Último commit del periodo</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fb3592d · 16 de octubre de 2026</w:t>
            </w:r>
          </w:p>
        </w:tc>
      </w:tr>
      <w:tr>
        <w:tc>
          <w:tcPr>
            <w:tcW w:type="dxa" w:w="2433"/>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Estado de la rama</w:t>
            </w:r>
          </w:p>
        </w:tc>
        <w:tc>
          <w:tcPr>
            <w:tcW w:type="dxa" w:w="6926"/>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trabajo pendiente de incorporar; diez solicitudes fusionadas</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El informe se redacta sobre el estado del repositorio en la fecha de corte. Toda cifra que aparece en el cuerpo es verificable en él, y los anexos indican dónde. Elaboración propia.</w:t>
      </w:r>
    </w:p>
    <w:p>
      <w:pPr>
        <w:pStyle w:val="Heading1"/>
        <w:jc w:val="left"/>
        <w:spacing w:line="480" w:lineRule="auto" w:after="0"/>
      </w:pPr>
      <w:r>
        <w:rPr>
          <w:rFonts w:ascii="Times New Roman" w:hAnsi="Times New Roman" w:cs="Times New Roman" w:eastAsia="Times New Roman"/>
          <w:b/>
          <w:i w:val="0"/>
          <w:sz w:val="24"/>
        </w:rPr>
        <w:t>Tabla de Contenido</w:t>
      </w:r>
    </w:p>
    <w:p>
      <w:pPr>
        <w:jc w:val="both"/>
        <w:spacing w:line="480" w:lineRule="auto" w:after="0"/>
      </w:pPr>
      <w:r>
        <w:rPr>
          <w:rFonts w:ascii="Times New Roman" w:hAnsi="Times New Roman" w:cs="Times New Roman" w:eastAsia="Times New Roman"/>
          <w:b w:val="0"/>
          <w:i w:val="0"/>
          <w:sz w:val="24"/>
        </w:rPr>
        <w:fldChar w:fldCharType="begin" w:dirty="true"/>
        <w:instrText xml:space="preserve">TOC \h \o "1-3"</w:instrText>
        <w:fldChar w:fldCharType="separate"/>
      </w:r>
    </w:p>
    <w:p>
      <w:pPr>
        <w:ind w:left="0"/>
        <w:jc w:val="left"/>
        <w:spacing w:line="240" w:lineRule="auto" w:after="60"/>
        <w:tabs>
          <w:tab w:val="right" w:leader="dot" w:pos="9360"/>
        </w:tabs>
      </w:pPr>
      <w:r>
        <w:rPr>
          <w:rFonts w:ascii="Times New Roman" w:hAnsi="Times New Roman" w:cs="Times New Roman" w:eastAsia="Times New Roman"/>
          <w:b w:val="0"/>
          <w:i w:val="0"/>
          <w:sz w:val="24"/>
        </w:rPr>
        <w:t>Identificación del Informe</w:t>
      </w:r>
      <w:r>
        <w:rPr>
          <w:rFonts w:ascii="Times New Roman" w:hAnsi="Times New Roman" w:cs="Times New Roman" w:eastAsia="Times New Roman"/>
          <w:b w:val="0"/>
          <w:i w:val="0"/>
          <w:sz w:val="24"/>
        </w:rPr>
        <w:tab/>
        <w:t>2</w:t>
      </w:r>
    </w:p>
    <w:p>
      <w:pPr>
        <w:ind w:left="0"/>
        <w:jc w:val="left"/>
        <w:spacing w:line="240" w:lineRule="auto" w:after="60"/>
        <w:tabs>
          <w:tab w:val="right" w:leader="dot" w:pos="9360"/>
        </w:tabs>
      </w:pPr>
      <w:r>
        <w:rPr>
          <w:rFonts w:ascii="Times New Roman" w:hAnsi="Times New Roman" w:cs="Times New Roman" w:eastAsia="Times New Roman"/>
          <w:b w:val="0"/>
          <w:i w:val="0"/>
          <w:sz w:val="24"/>
        </w:rPr>
        <w:t>Tabla de Contenido</w:t>
      </w:r>
      <w:r>
        <w:rPr>
          <w:rFonts w:ascii="Times New Roman" w:hAnsi="Times New Roman" w:cs="Times New Roman" w:eastAsia="Times New Roman"/>
          <w:b w:val="0"/>
          <w:i w:val="0"/>
          <w:sz w:val="24"/>
        </w:rPr>
        <w:tab/>
        <w:t>2</w:t>
      </w:r>
    </w:p>
    <w:p>
      <w:pPr>
        <w:ind w:left="0"/>
        <w:jc w:val="left"/>
        <w:spacing w:line="240" w:lineRule="auto" w:after="60"/>
        <w:tabs>
          <w:tab w:val="right" w:leader="dot" w:pos="9360"/>
        </w:tabs>
      </w:pPr>
      <w:r>
        <w:rPr>
          <w:rFonts w:ascii="Times New Roman" w:hAnsi="Times New Roman" w:cs="Times New Roman" w:eastAsia="Times New Roman"/>
          <w:b w:val="0"/>
          <w:i w:val="0"/>
          <w:sz w:val="24"/>
        </w:rPr>
        <w:t>Resumen</w:t>
      </w:r>
      <w:r>
        <w:rPr>
          <w:rFonts w:ascii="Times New Roman" w:hAnsi="Times New Roman" w:cs="Times New Roman" w:eastAsia="Times New Roman"/>
          <w:b w:val="0"/>
          <w:i w:val="0"/>
          <w:sz w:val="24"/>
        </w:rPr>
        <w:tab/>
        <w:t>4</w:t>
      </w:r>
    </w:p>
    <w:p>
      <w:pPr>
        <w:ind w:left="0"/>
        <w:jc w:val="left"/>
        <w:spacing w:line="240" w:lineRule="auto" w:after="60"/>
        <w:tabs>
          <w:tab w:val="right" w:leader="dot" w:pos="9360"/>
        </w:tabs>
      </w:pPr>
      <w:r>
        <w:rPr>
          <w:rFonts w:ascii="Times New Roman" w:hAnsi="Times New Roman" w:cs="Times New Roman" w:eastAsia="Times New Roman"/>
          <w:b w:val="0"/>
          <w:i w:val="0"/>
          <w:sz w:val="24"/>
        </w:rPr>
        <w:t>1. Introducción</w:t>
      </w:r>
      <w:r>
        <w:rPr>
          <w:rFonts w:ascii="Times New Roman" w:hAnsi="Times New Roman" w:cs="Times New Roman" w:eastAsia="Times New Roman"/>
          <w:b w:val="0"/>
          <w:i w:val="0"/>
          <w:sz w:val="24"/>
        </w:rPr>
        <w:tab/>
        <w:t>5</w:t>
      </w:r>
    </w:p>
    <w:p>
      <w:pPr>
        <w:ind w:left="360"/>
        <w:jc w:val="left"/>
        <w:spacing w:line="240" w:lineRule="auto" w:after="60"/>
        <w:tabs>
          <w:tab w:val="right" w:leader="dot" w:pos="9360"/>
        </w:tabs>
      </w:pPr>
      <w:r>
        <w:rPr>
          <w:rFonts w:ascii="Times New Roman" w:hAnsi="Times New Roman" w:cs="Times New Roman" w:eastAsia="Times New Roman"/>
          <w:b w:val="0"/>
          <w:i w:val="0"/>
          <w:sz w:val="24"/>
        </w:rPr>
        <w:t>1.1 Propósito y alcance</w:t>
      </w:r>
      <w:r>
        <w:rPr>
          <w:rFonts w:ascii="Times New Roman" w:hAnsi="Times New Roman" w:cs="Times New Roman" w:eastAsia="Times New Roman"/>
          <w:b w:val="0"/>
          <w:i w:val="0"/>
          <w:sz w:val="24"/>
        </w:rPr>
        <w:tab/>
        <w:t>5</w:t>
      </w:r>
    </w:p>
    <w:p>
      <w:pPr>
        <w:ind w:left="360"/>
        <w:jc w:val="left"/>
        <w:spacing w:line="240" w:lineRule="auto" w:after="60"/>
        <w:tabs>
          <w:tab w:val="right" w:leader="dot" w:pos="9360"/>
        </w:tabs>
      </w:pPr>
      <w:r>
        <w:rPr>
          <w:rFonts w:ascii="Times New Roman" w:hAnsi="Times New Roman" w:cs="Times New Roman" w:eastAsia="Times New Roman"/>
          <w:b w:val="0"/>
          <w:i w:val="0"/>
          <w:sz w:val="24"/>
        </w:rPr>
        <w:t>1.2 Documentos de referencia</w:t>
      </w:r>
      <w:r>
        <w:rPr>
          <w:rFonts w:ascii="Times New Roman" w:hAnsi="Times New Roman" w:cs="Times New Roman" w:eastAsia="Times New Roman"/>
          <w:b w:val="0"/>
          <w:i w:val="0"/>
          <w:sz w:val="24"/>
        </w:rPr>
        <w:tab/>
        <w:t>5</w:t>
      </w:r>
    </w:p>
    <w:p>
      <w:pPr>
        <w:ind w:left="0"/>
        <w:jc w:val="left"/>
        <w:spacing w:line="240" w:lineRule="auto" w:after="60"/>
        <w:tabs>
          <w:tab w:val="right" w:leader="dot" w:pos="9360"/>
        </w:tabs>
      </w:pPr>
      <w:r>
        <w:rPr>
          <w:rFonts w:ascii="Times New Roman" w:hAnsi="Times New Roman" w:cs="Times New Roman" w:eastAsia="Times New Roman"/>
          <w:b w:val="0"/>
          <w:i w:val="0"/>
          <w:sz w:val="24"/>
        </w:rPr>
        <w:t>2. Estado General del Avance</w:t>
      </w:r>
      <w:r>
        <w:rPr>
          <w:rFonts w:ascii="Times New Roman" w:hAnsi="Times New Roman" w:cs="Times New Roman" w:eastAsia="Times New Roman"/>
          <w:b w:val="0"/>
          <w:i w:val="0"/>
          <w:sz w:val="24"/>
        </w:rPr>
        <w:tab/>
        <w:t>6</w:t>
      </w:r>
    </w:p>
    <w:p>
      <w:pPr>
        <w:ind w:left="360"/>
        <w:jc w:val="left"/>
        <w:spacing w:line="240" w:lineRule="auto" w:after="60"/>
        <w:tabs>
          <w:tab w:val="right" w:leader="dot" w:pos="9360"/>
        </w:tabs>
      </w:pPr>
      <w:r>
        <w:rPr>
          <w:rFonts w:ascii="Times New Roman" w:hAnsi="Times New Roman" w:cs="Times New Roman" w:eastAsia="Times New Roman"/>
          <w:b w:val="0"/>
          <w:i w:val="0"/>
          <w:sz w:val="24"/>
        </w:rPr>
        <w:t>2.1 Síntesis cuantitativa</w:t>
      </w:r>
      <w:r>
        <w:rPr>
          <w:rFonts w:ascii="Times New Roman" w:hAnsi="Times New Roman" w:cs="Times New Roman" w:eastAsia="Times New Roman"/>
          <w:b w:val="0"/>
          <w:i w:val="0"/>
          <w:sz w:val="24"/>
        </w:rPr>
        <w:tab/>
        <w:t>6</w:t>
      </w:r>
    </w:p>
    <w:p>
      <w:pPr>
        <w:ind w:left="360"/>
        <w:jc w:val="left"/>
        <w:spacing w:line="240" w:lineRule="auto" w:after="60"/>
        <w:tabs>
          <w:tab w:val="right" w:leader="dot" w:pos="9360"/>
        </w:tabs>
      </w:pPr>
      <w:r>
        <w:rPr>
          <w:rFonts w:ascii="Times New Roman" w:hAnsi="Times New Roman" w:cs="Times New Roman" w:eastAsia="Times New Roman"/>
          <w:b w:val="0"/>
          <w:i w:val="0"/>
          <w:sz w:val="24"/>
        </w:rPr>
        <w:t>2.2 Estado de los componentes</w:t>
      </w:r>
      <w:r>
        <w:rPr>
          <w:rFonts w:ascii="Times New Roman" w:hAnsi="Times New Roman" w:cs="Times New Roman" w:eastAsia="Times New Roman"/>
          <w:b w:val="0"/>
          <w:i w:val="0"/>
          <w:sz w:val="24"/>
        </w:rPr>
        <w:tab/>
        <w:t>6</w:t>
      </w:r>
    </w:p>
    <w:p>
      <w:pPr>
        <w:ind w:left="360"/>
        <w:jc w:val="left"/>
        <w:spacing w:line="240" w:lineRule="auto" w:after="60"/>
        <w:tabs>
          <w:tab w:val="right" w:leader="dot" w:pos="9360"/>
        </w:tabs>
      </w:pPr>
      <w:r>
        <w:rPr>
          <w:rFonts w:ascii="Times New Roman" w:hAnsi="Times New Roman" w:cs="Times New Roman" w:eastAsia="Times New Roman"/>
          <w:b w:val="0"/>
          <w:i w:val="0"/>
          <w:sz w:val="24"/>
        </w:rPr>
        <w:t>2.3 Cobertura del producto mínimo viable</w:t>
      </w:r>
      <w:r>
        <w:rPr>
          <w:rFonts w:ascii="Times New Roman" w:hAnsi="Times New Roman" w:cs="Times New Roman" w:eastAsia="Times New Roman"/>
          <w:b w:val="0"/>
          <w:i w:val="0"/>
          <w:sz w:val="24"/>
        </w:rPr>
        <w:tab/>
        <w:t>7</w:t>
      </w:r>
    </w:p>
    <w:p>
      <w:pPr>
        <w:ind w:left="0"/>
        <w:jc w:val="left"/>
        <w:spacing w:line="240" w:lineRule="auto" w:after="60"/>
        <w:tabs>
          <w:tab w:val="right" w:leader="dot" w:pos="9360"/>
        </w:tabs>
      </w:pPr>
      <w:r>
        <w:rPr>
          <w:rFonts w:ascii="Times New Roman" w:hAnsi="Times New Roman" w:cs="Times New Roman" w:eastAsia="Times New Roman"/>
          <w:b w:val="0"/>
          <w:i w:val="0"/>
          <w:sz w:val="24"/>
        </w:rPr>
        <w:t>3. Desarrollo del Periodo</w:t>
      </w:r>
      <w:r>
        <w:rPr>
          <w:rFonts w:ascii="Times New Roman" w:hAnsi="Times New Roman" w:cs="Times New Roman" w:eastAsia="Times New Roman"/>
          <w:b w:val="0"/>
          <w:i w:val="0"/>
          <w:sz w:val="24"/>
        </w:rPr>
        <w:tab/>
        <w:t>8</w:t>
      </w:r>
    </w:p>
    <w:p>
      <w:pPr>
        <w:ind w:left="360"/>
        <w:jc w:val="left"/>
        <w:spacing w:line="240" w:lineRule="auto" w:after="60"/>
        <w:tabs>
          <w:tab w:val="right" w:leader="dot" w:pos="9360"/>
        </w:tabs>
      </w:pPr>
      <w:r>
        <w:rPr>
          <w:rFonts w:ascii="Times New Roman" w:hAnsi="Times New Roman" w:cs="Times New Roman" w:eastAsia="Times New Roman"/>
          <w:b w:val="0"/>
          <w:i w:val="0"/>
          <w:sz w:val="24"/>
        </w:rPr>
        <w:t>3.1 Primera iteración: seguridad y modelo de dominio</w:t>
      </w:r>
      <w:r>
        <w:rPr>
          <w:rFonts w:ascii="Times New Roman" w:hAnsi="Times New Roman" w:cs="Times New Roman" w:eastAsia="Times New Roman"/>
          <w:b w:val="0"/>
          <w:i w:val="0"/>
          <w:sz w:val="24"/>
        </w:rPr>
        <w:tab/>
        <w:t>9</w:t>
      </w:r>
    </w:p>
    <w:p>
      <w:pPr>
        <w:ind w:left="360"/>
        <w:jc w:val="left"/>
        <w:spacing w:line="240" w:lineRule="auto" w:after="60"/>
        <w:tabs>
          <w:tab w:val="right" w:leader="dot" w:pos="9360"/>
        </w:tabs>
      </w:pPr>
      <w:r>
        <w:rPr>
          <w:rFonts w:ascii="Times New Roman" w:hAnsi="Times New Roman" w:cs="Times New Roman" w:eastAsia="Times New Roman"/>
          <w:b w:val="0"/>
          <w:i w:val="0"/>
          <w:sz w:val="24"/>
        </w:rPr>
        <w:t>3.2 Interrupción: revisión de la especificación</w:t>
      </w:r>
      <w:r>
        <w:rPr>
          <w:rFonts w:ascii="Times New Roman" w:hAnsi="Times New Roman" w:cs="Times New Roman" w:eastAsia="Times New Roman"/>
          <w:b w:val="0"/>
          <w:i w:val="0"/>
          <w:sz w:val="24"/>
        </w:rPr>
        <w:tab/>
        <w:t>9</w:t>
      </w:r>
    </w:p>
    <w:p>
      <w:pPr>
        <w:ind w:left="360"/>
        <w:jc w:val="left"/>
        <w:spacing w:line="240" w:lineRule="auto" w:after="60"/>
        <w:tabs>
          <w:tab w:val="right" w:leader="dot" w:pos="9360"/>
        </w:tabs>
      </w:pPr>
      <w:r>
        <w:rPr>
          <w:rFonts w:ascii="Times New Roman" w:hAnsi="Times New Roman" w:cs="Times New Roman" w:eastAsia="Times New Roman"/>
          <w:b w:val="0"/>
          <w:i w:val="0"/>
          <w:sz w:val="24"/>
        </w:rPr>
        <w:t>3.3 Segunda iteración: sesión, autorización y contexto de empresa</w:t>
      </w:r>
      <w:r>
        <w:rPr>
          <w:rFonts w:ascii="Times New Roman" w:hAnsi="Times New Roman" w:cs="Times New Roman" w:eastAsia="Times New Roman"/>
          <w:b w:val="0"/>
          <w:i w:val="0"/>
          <w:sz w:val="24"/>
        </w:rPr>
        <w:tab/>
        <w:t>10</w:t>
      </w:r>
    </w:p>
    <w:p>
      <w:pPr>
        <w:ind w:left="360"/>
        <w:jc w:val="left"/>
        <w:spacing w:line="240" w:lineRule="auto" w:after="60"/>
        <w:tabs>
          <w:tab w:val="right" w:leader="dot" w:pos="9360"/>
        </w:tabs>
      </w:pPr>
      <w:r>
        <w:rPr>
          <w:rFonts w:ascii="Times New Roman" w:hAnsi="Times New Roman" w:cs="Times New Roman" w:eastAsia="Times New Roman"/>
          <w:b w:val="0"/>
          <w:i w:val="0"/>
          <w:sz w:val="24"/>
        </w:rPr>
        <w:t>3.4 Tercera iteración: catálogo, proveedores, front e imágenes</w:t>
      </w:r>
      <w:r>
        <w:rPr>
          <w:rFonts w:ascii="Times New Roman" w:hAnsi="Times New Roman" w:cs="Times New Roman" w:eastAsia="Times New Roman"/>
          <w:b w:val="0"/>
          <w:i w:val="0"/>
          <w:sz w:val="24"/>
        </w:rPr>
        <w:tab/>
        <w:t>11</w:t>
      </w:r>
    </w:p>
    <w:p>
      <w:pPr>
        <w:ind w:left="0"/>
        <w:jc w:val="left"/>
        <w:spacing w:line="240" w:lineRule="auto" w:after="60"/>
        <w:tabs>
          <w:tab w:val="right" w:leader="dot" w:pos="9360"/>
        </w:tabs>
      </w:pPr>
      <w:r>
        <w:rPr>
          <w:rFonts w:ascii="Times New Roman" w:hAnsi="Times New Roman" w:cs="Times New Roman" w:eastAsia="Times New Roman"/>
          <w:b w:val="0"/>
          <w:i w:val="0"/>
          <w:sz w:val="24"/>
        </w:rPr>
        <w:t>4. Lo Planificado Frente a lo Ejecutado</w:t>
      </w:r>
      <w:r>
        <w:rPr>
          <w:rFonts w:ascii="Times New Roman" w:hAnsi="Times New Roman" w:cs="Times New Roman" w:eastAsia="Times New Roman"/>
          <w:b w:val="0"/>
          <w:i w:val="0"/>
          <w:sz w:val="24"/>
        </w:rPr>
        <w:tab/>
        <w:t>11</w:t>
      </w:r>
    </w:p>
    <w:p>
      <w:pPr>
        <w:ind w:left="360"/>
        <w:jc w:val="left"/>
        <w:spacing w:line="240" w:lineRule="auto" w:after="60"/>
        <w:tabs>
          <w:tab w:val="right" w:leader="dot" w:pos="9360"/>
        </w:tabs>
      </w:pPr>
      <w:r>
        <w:rPr>
          <w:rFonts w:ascii="Times New Roman" w:hAnsi="Times New Roman" w:cs="Times New Roman" w:eastAsia="Times New Roman"/>
          <w:b w:val="0"/>
          <w:i w:val="0"/>
          <w:sz w:val="24"/>
        </w:rPr>
        <w:t>4.1 Qué se ejecutó de más y qué de menos</w:t>
      </w:r>
      <w:r>
        <w:rPr>
          <w:rFonts w:ascii="Times New Roman" w:hAnsi="Times New Roman" w:cs="Times New Roman" w:eastAsia="Times New Roman"/>
          <w:b w:val="0"/>
          <w:i w:val="0"/>
          <w:sz w:val="24"/>
        </w:rPr>
        <w:tab/>
        <w:t>12</w:t>
      </w:r>
    </w:p>
    <w:p>
      <w:pPr>
        <w:ind w:left="360"/>
        <w:jc w:val="left"/>
        <w:spacing w:line="240" w:lineRule="auto" w:after="60"/>
        <w:tabs>
          <w:tab w:val="right" w:leader="dot" w:pos="9360"/>
        </w:tabs>
      </w:pPr>
      <w:r>
        <w:rPr>
          <w:rFonts w:ascii="Times New Roman" w:hAnsi="Times New Roman" w:cs="Times New Roman" w:eastAsia="Times New Roman"/>
          <w:b w:val="0"/>
          <w:i w:val="0"/>
          <w:sz w:val="24"/>
        </w:rPr>
        <w:t>4.2 Dos requisitos que la especificación no tenía</w:t>
      </w:r>
      <w:r>
        <w:rPr>
          <w:rFonts w:ascii="Times New Roman" w:hAnsi="Times New Roman" w:cs="Times New Roman" w:eastAsia="Times New Roman"/>
          <w:b w:val="0"/>
          <w:i w:val="0"/>
          <w:sz w:val="24"/>
        </w:rPr>
        <w:tab/>
        <w:t>12</w:t>
      </w:r>
    </w:p>
    <w:p>
      <w:pPr>
        <w:ind w:left="360"/>
        <w:jc w:val="left"/>
        <w:spacing w:line="240" w:lineRule="auto" w:after="60"/>
        <w:tabs>
          <w:tab w:val="right" w:leader="dot" w:pos="9360"/>
        </w:tabs>
      </w:pPr>
      <w:r>
        <w:rPr>
          <w:rFonts w:ascii="Times New Roman" w:hAnsi="Times New Roman" w:cs="Times New Roman" w:eastAsia="Times New Roman"/>
          <w:b w:val="0"/>
          <w:i w:val="0"/>
          <w:sz w:val="24"/>
        </w:rPr>
        <w:t>4.3 Causas de la desviación</w:t>
      </w:r>
      <w:r>
        <w:rPr>
          <w:rFonts w:ascii="Times New Roman" w:hAnsi="Times New Roman" w:cs="Times New Roman" w:eastAsia="Times New Roman"/>
          <w:b w:val="0"/>
          <w:i w:val="0"/>
          <w:sz w:val="24"/>
        </w:rPr>
        <w:tab/>
        <w:t>13</w:t>
      </w:r>
    </w:p>
    <w:p>
      <w:pPr>
        <w:ind w:left="360"/>
        <w:jc w:val="left"/>
        <w:spacing w:line="240" w:lineRule="auto" w:after="60"/>
        <w:tabs>
          <w:tab w:val="right" w:leader="dot" w:pos="9360"/>
        </w:tabs>
      </w:pPr>
      <w:r>
        <w:rPr>
          <w:rFonts w:ascii="Times New Roman" w:hAnsi="Times New Roman" w:cs="Times New Roman" w:eastAsia="Times New Roman"/>
          <w:b w:val="0"/>
          <w:i w:val="0"/>
          <w:sz w:val="24"/>
        </w:rPr>
        <w:t>4.4 Replanificación</w:t>
      </w:r>
      <w:r>
        <w:rPr>
          <w:rFonts w:ascii="Times New Roman" w:hAnsi="Times New Roman" w:cs="Times New Roman" w:eastAsia="Times New Roman"/>
          <w:b w:val="0"/>
          <w:i w:val="0"/>
          <w:sz w:val="24"/>
        </w:rPr>
        <w:tab/>
        <w:t>13</w:t>
      </w:r>
    </w:p>
    <w:p>
      <w:pPr>
        <w:ind w:left="0"/>
        <w:jc w:val="left"/>
        <w:spacing w:line="240" w:lineRule="auto" w:after="60"/>
        <w:tabs>
          <w:tab w:val="right" w:leader="dot" w:pos="9360"/>
        </w:tabs>
      </w:pPr>
      <w:r>
        <w:rPr>
          <w:rFonts w:ascii="Times New Roman" w:hAnsi="Times New Roman" w:cs="Times New Roman" w:eastAsia="Times New Roman"/>
          <w:b w:val="0"/>
          <w:i w:val="0"/>
          <w:sz w:val="24"/>
        </w:rPr>
        <w:t>5. Resultados Técnicos del Periodo</w:t>
      </w:r>
      <w:r>
        <w:rPr>
          <w:rFonts w:ascii="Times New Roman" w:hAnsi="Times New Roman" w:cs="Times New Roman" w:eastAsia="Times New Roman"/>
          <w:b w:val="0"/>
          <w:i w:val="0"/>
          <w:sz w:val="24"/>
        </w:rPr>
        <w:tab/>
        <w:t>15</w:t>
      </w:r>
    </w:p>
    <w:p>
      <w:pPr>
        <w:ind w:left="360"/>
        <w:jc w:val="left"/>
        <w:spacing w:line="240" w:lineRule="auto" w:after="60"/>
        <w:tabs>
          <w:tab w:val="right" w:leader="dot" w:pos="9360"/>
        </w:tabs>
      </w:pPr>
      <w:r>
        <w:rPr>
          <w:rFonts w:ascii="Times New Roman" w:hAnsi="Times New Roman" w:cs="Times New Roman" w:eastAsia="Times New Roman"/>
          <w:b w:val="0"/>
          <w:i w:val="0"/>
          <w:sz w:val="24"/>
        </w:rPr>
        <w:t>5.1 El aislamiento entre empresas se verifica, no se promete</w:t>
      </w:r>
      <w:r>
        <w:rPr>
          <w:rFonts w:ascii="Times New Roman" w:hAnsi="Times New Roman" w:cs="Times New Roman" w:eastAsia="Times New Roman"/>
          <w:b w:val="0"/>
          <w:i w:val="0"/>
          <w:sz w:val="24"/>
        </w:rPr>
        <w:tab/>
        <w:t>15</w:t>
      </w:r>
    </w:p>
    <w:p>
      <w:pPr>
        <w:ind w:left="360"/>
        <w:jc w:val="left"/>
        <w:spacing w:line="240" w:lineRule="auto" w:after="60"/>
        <w:tabs>
          <w:tab w:val="right" w:leader="dot" w:pos="9360"/>
        </w:tabs>
      </w:pPr>
      <w:r>
        <w:rPr>
          <w:rFonts w:ascii="Times New Roman" w:hAnsi="Times New Roman" w:cs="Times New Roman" w:eastAsia="Times New Roman"/>
          <w:b w:val="0"/>
          <w:i w:val="0"/>
          <w:sz w:val="24"/>
        </w:rPr>
        <w:t>5.2 La imagen se normaliza al subirla, no al mostrarla</w:t>
      </w:r>
      <w:r>
        <w:rPr>
          <w:rFonts w:ascii="Times New Roman" w:hAnsi="Times New Roman" w:cs="Times New Roman" w:eastAsia="Times New Roman"/>
          <w:b w:val="0"/>
          <w:i w:val="0"/>
          <w:sz w:val="24"/>
        </w:rPr>
        <w:tab/>
        <w:t>15</w:t>
      </w:r>
    </w:p>
    <w:p>
      <w:pPr>
        <w:ind w:left="360"/>
        <w:jc w:val="left"/>
        <w:spacing w:line="240" w:lineRule="auto" w:after="60"/>
        <w:tabs>
          <w:tab w:val="right" w:leader="dot" w:pos="9360"/>
        </w:tabs>
      </w:pPr>
      <w:r>
        <w:rPr>
          <w:rFonts w:ascii="Times New Roman" w:hAnsi="Times New Roman" w:cs="Times New Roman" w:eastAsia="Times New Roman"/>
          <w:b w:val="0"/>
          <w:i w:val="0"/>
          <w:sz w:val="24"/>
        </w:rPr>
        <w:t>5.3 Una dirección que nombra un papel no se puede cachear por tiempo</w:t>
      </w:r>
      <w:r>
        <w:rPr>
          <w:rFonts w:ascii="Times New Roman" w:hAnsi="Times New Roman" w:cs="Times New Roman" w:eastAsia="Times New Roman"/>
          <w:b w:val="0"/>
          <w:i w:val="0"/>
          <w:sz w:val="24"/>
        </w:rPr>
        <w:tab/>
        <w:t>17</w:t>
      </w:r>
    </w:p>
    <w:p>
      <w:pPr>
        <w:ind w:left="360"/>
        <w:jc w:val="left"/>
        <w:spacing w:line="240" w:lineRule="auto" w:after="60"/>
        <w:tabs>
          <w:tab w:val="right" w:leader="dot" w:pos="9360"/>
        </w:tabs>
      </w:pPr>
      <w:r>
        <w:rPr>
          <w:rFonts w:ascii="Times New Roman" w:hAnsi="Times New Roman" w:cs="Times New Roman" w:eastAsia="Times New Roman"/>
          <w:b w:val="0"/>
          <w:i w:val="0"/>
          <w:sz w:val="24"/>
        </w:rPr>
        <w:t>5.4 Un filtro de autorización que no corría cuando algo fallaba</w:t>
      </w:r>
      <w:r>
        <w:rPr>
          <w:rFonts w:ascii="Times New Roman" w:hAnsi="Times New Roman" w:cs="Times New Roman" w:eastAsia="Times New Roman"/>
          <w:b w:val="0"/>
          <w:i w:val="0"/>
          <w:sz w:val="24"/>
        </w:rPr>
        <w:tab/>
        <w:t>18</w:t>
      </w:r>
    </w:p>
    <w:p>
      <w:pPr>
        <w:ind w:left="0"/>
        <w:jc w:val="left"/>
        <w:spacing w:line="240" w:lineRule="auto" w:after="60"/>
        <w:tabs>
          <w:tab w:val="right" w:leader="dot" w:pos="9360"/>
        </w:tabs>
      </w:pPr>
      <w:r>
        <w:rPr>
          <w:rFonts w:ascii="Times New Roman" w:hAnsi="Times New Roman" w:cs="Times New Roman" w:eastAsia="Times New Roman"/>
          <w:b w:val="0"/>
          <w:i w:val="0"/>
          <w:sz w:val="24"/>
        </w:rPr>
        <w:t>6. Calidad y Verificación</w:t>
      </w:r>
      <w:r>
        <w:rPr>
          <w:rFonts w:ascii="Times New Roman" w:hAnsi="Times New Roman" w:cs="Times New Roman" w:eastAsia="Times New Roman"/>
          <w:b w:val="0"/>
          <w:i w:val="0"/>
          <w:sz w:val="24"/>
        </w:rPr>
        <w:tab/>
        <w:t>18</w:t>
      </w:r>
    </w:p>
    <w:p>
      <w:pPr>
        <w:ind w:left="360"/>
        <w:jc w:val="left"/>
        <w:spacing w:line="240" w:lineRule="auto" w:after="60"/>
        <w:tabs>
          <w:tab w:val="right" w:leader="dot" w:pos="9360"/>
        </w:tabs>
      </w:pPr>
      <w:r>
        <w:rPr>
          <w:rFonts w:ascii="Times New Roman" w:hAnsi="Times New Roman" w:cs="Times New Roman" w:eastAsia="Times New Roman"/>
          <w:b w:val="0"/>
          <w:i w:val="0"/>
          <w:sz w:val="24"/>
        </w:rPr>
        <w:t>6.1 Pruebas automatizadas</w:t>
      </w:r>
      <w:r>
        <w:rPr>
          <w:rFonts w:ascii="Times New Roman" w:hAnsi="Times New Roman" w:cs="Times New Roman" w:eastAsia="Times New Roman"/>
          <w:b w:val="0"/>
          <w:i w:val="0"/>
          <w:sz w:val="24"/>
        </w:rPr>
        <w:tab/>
        <w:t>18</w:t>
      </w:r>
    </w:p>
    <w:p>
      <w:pPr>
        <w:ind w:left="360"/>
        <w:jc w:val="left"/>
        <w:spacing w:line="240" w:lineRule="auto" w:after="60"/>
        <w:tabs>
          <w:tab w:val="right" w:leader="dot" w:pos="9360"/>
        </w:tabs>
      </w:pPr>
      <w:r>
        <w:rPr>
          <w:rFonts w:ascii="Times New Roman" w:hAnsi="Times New Roman" w:cs="Times New Roman" w:eastAsia="Times New Roman"/>
          <w:b w:val="0"/>
          <w:i w:val="0"/>
          <w:sz w:val="24"/>
        </w:rPr>
        <w:t>6.2 Verificaciones del esquema en cada entrega</w:t>
      </w:r>
      <w:r>
        <w:rPr>
          <w:rFonts w:ascii="Times New Roman" w:hAnsi="Times New Roman" w:cs="Times New Roman" w:eastAsia="Times New Roman"/>
          <w:b w:val="0"/>
          <w:i w:val="0"/>
          <w:sz w:val="24"/>
        </w:rPr>
        <w:tab/>
        <w:t>19</w:t>
      </w:r>
    </w:p>
    <w:p>
      <w:pPr>
        <w:ind w:left="360"/>
        <w:jc w:val="left"/>
        <w:spacing w:line="240" w:lineRule="auto" w:after="60"/>
        <w:tabs>
          <w:tab w:val="right" w:leader="dot" w:pos="9360"/>
        </w:tabs>
      </w:pPr>
      <w:r>
        <w:rPr>
          <w:rFonts w:ascii="Times New Roman" w:hAnsi="Times New Roman" w:cs="Times New Roman" w:eastAsia="Times New Roman"/>
          <w:b w:val="0"/>
          <w:i w:val="0"/>
          <w:sz w:val="24"/>
        </w:rPr>
        <w:t>6.3 Defectos detectados al usar el sistema</w:t>
      </w:r>
      <w:r>
        <w:rPr>
          <w:rFonts w:ascii="Times New Roman" w:hAnsi="Times New Roman" w:cs="Times New Roman" w:eastAsia="Times New Roman"/>
          <w:b w:val="0"/>
          <w:i w:val="0"/>
          <w:sz w:val="24"/>
        </w:rPr>
        <w:tab/>
        <w:t>19</w:t>
      </w:r>
    </w:p>
    <w:p>
      <w:pPr>
        <w:ind w:left="0"/>
        <w:jc w:val="left"/>
        <w:spacing w:line="240" w:lineRule="auto" w:after="60"/>
        <w:tabs>
          <w:tab w:val="right" w:leader="dot" w:pos="9360"/>
        </w:tabs>
      </w:pPr>
      <w:r>
        <w:rPr>
          <w:rFonts w:ascii="Times New Roman" w:hAnsi="Times New Roman" w:cs="Times New Roman" w:eastAsia="Times New Roman"/>
          <w:b w:val="0"/>
          <w:i w:val="0"/>
          <w:sz w:val="24"/>
        </w:rPr>
        <w:t>7. Reevaluación de los Riesgos</w:t>
      </w:r>
      <w:r>
        <w:rPr>
          <w:rFonts w:ascii="Times New Roman" w:hAnsi="Times New Roman" w:cs="Times New Roman" w:eastAsia="Times New Roman"/>
          <w:b w:val="0"/>
          <w:i w:val="0"/>
          <w:sz w:val="24"/>
        </w:rPr>
        <w:tab/>
        <w:t>20</w:t>
      </w:r>
    </w:p>
    <w:p>
      <w:pPr>
        <w:ind w:left="0"/>
        <w:jc w:val="left"/>
        <w:spacing w:line="240" w:lineRule="auto" w:after="60"/>
        <w:tabs>
          <w:tab w:val="right" w:leader="dot" w:pos="9360"/>
        </w:tabs>
      </w:pPr>
      <w:r>
        <w:rPr>
          <w:rFonts w:ascii="Times New Roman" w:hAnsi="Times New Roman" w:cs="Times New Roman" w:eastAsia="Times New Roman"/>
          <w:b w:val="0"/>
          <w:i w:val="0"/>
          <w:sz w:val="24"/>
        </w:rPr>
        <w:t>8. Deuda Técnica e Inconsistencias Detectadas</w:t>
      </w:r>
      <w:r>
        <w:rPr>
          <w:rFonts w:ascii="Times New Roman" w:hAnsi="Times New Roman" w:cs="Times New Roman" w:eastAsia="Times New Roman"/>
          <w:b w:val="0"/>
          <w:i w:val="0"/>
          <w:sz w:val="24"/>
        </w:rPr>
        <w:tab/>
        <w:t>21</w:t>
      </w:r>
    </w:p>
    <w:p>
      <w:pPr>
        <w:ind w:left="0"/>
        <w:jc w:val="left"/>
        <w:spacing w:line="240" w:lineRule="auto" w:after="60"/>
        <w:tabs>
          <w:tab w:val="right" w:leader="dot" w:pos="9360"/>
        </w:tabs>
      </w:pPr>
      <w:r>
        <w:rPr>
          <w:rFonts w:ascii="Times New Roman" w:hAnsi="Times New Roman" w:cs="Times New Roman" w:eastAsia="Times New Roman"/>
          <w:b w:val="0"/>
          <w:i w:val="0"/>
          <w:sz w:val="24"/>
        </w:rPr>
        <w:t>9. Conclusiones del Periodo</w:t>
      </w:r>
      <w:r>
        <w:rPr>
          <w:rFonts w:ascii="Times New Roman" w:hAnsi="Times New Roman" w:cs="Times New Roman" w:eastAsia="Times New Roman"/>
          <w:b w:val="0"/>
          <w:i w:val="0"/>
          <w:sz w:val="24"/>
        </w:rPr>
        <w:tab/>
        <w:t>22</w:t>
      </w:r>
    </w:p>
    <w:p>
      <w:pPr>
        <w:ind w:left="0"/>
        <w:jc w:val="left"/>
        <w:spacing w:line="240" w:lineRule="auto" w:after="60"/>
        <w:tabs>
          <w:tab w:val="right" w:leader="dot" w:pos="9360"/>
        </w:tabs>
      </w:pPr>
      <w:r>
        <w:rPr>
          <w:rFonts w:ascii="Times New Roman" w:hAnsi="Times New Roman" w:cs="Times New Roman" w:eastAsia="Times New Roman"/>
          <w:b w:val="0"/>
          <w:i w:val="0"/>
          <w:sz w:val="24"/>
        </w:rPr>
        <w:t>10. Próximos Pasos</w:t>
      </w:r>
      <w:r>
        <w:rPr>
          <w:rFonts w:ascii="Times New Roman" w:hAnsi="Times New Roman" w:cs="Times New Roman" w:eastAsia="Times New Roman"/>
          <w:b w:val="0"/>
          <w:i w:val="0"/>
          <w:sz w:val="24"/>
        </w:rPr>
        <w:tab/>
        <w:t>24</w:t>
      </w:r>
    </w:p>
    <w:p>
      <w:pPr>
        <w:ind w:left="0"/>
        <w:jc w:val="left"/>
        <w:spacing w:line="240" w:lineRule="auto" w:after="60"/>
        <w:tabs>
          <w:tab w:val="right" w:leader="dot" w:pos="9360"/>
        </w:tabs>
      </w:pPr>
      <w:r>
        <w:rPr>
          <w:rFonts w:ascii="Times New Roman" w:hAnsi="Times New Roman" w:cs="Times New Roman" w:eastAsia="Times New Roman"/>
          <w:b w:val="0"/>
          <w:i w:val="0"/>
          <w:sz w:val="24"/>
        </w:rPr>
        <w:t>Referencias</w:t>
      </w:r>
      <w:r>
        <w:rPr>
          <w:rFonts w:ascii="Times New Roman" w:hAnsi="Times New Roman" w:cs="Times New Roman" w:eastAsia="Times New Roman"/>
          <w:b w:val="0"/>
          <w:i w:val="0"/>
          <w:sz w:val="24"/>
        </w:rPr>
        <w:tab/>
        <w:t>25</w:t>
      </w:r>
    </w:p>
    <w:p>
      <w:pPr>
        <w:ind w:left="0"/>
        <w:jc w:val="left"/>
        <w:spacing w:line="240" w:lineRule="auto" w:after="60"/>
        <w:tabs>
          <w:tab w:val="right" w:leader="dot" w:pos="9360"/>
        </w:tabs>
      </w:pPr>
      <w:r>
        <w:rPr>
          <w:rFonts w:ascii="Times New Roman" w:hAnsi="Times New Roman" w:cs="Times New Roman" w:eastAsia="Times New Roman"/>
          <w:b w:val="0"/>
          <w:i w:val="0"/>
          <w:sz w:val="24"/>
        </w:rPr>
        <w:t>Anexos</w:t>
      </w:r>
      <w:r>
        <w:rPr>
          <w:rFonts w:ascii="Times New Roman" w:hAnsi="Times New Roman" w:cs="Times New Roman" w:eastAsia="Times New Roman"/>
          <w:b w:val="0"/>
          <w:i w:val="0"/>
          <w:sz w:val="24"/>
        </w:rPr>
        <w:tab/>
        <w:t>26</w:t>
      </w:r>
    </w:p>
    <w:p>
      <w:pPr>
        <w:ind w:left="360"/>
        <w:jc w:val="left"/>
        <w:spacing w:line="240" w:lineRule="auto" w:after="60"/>
        <w:tabs>
          <w:tab w:val="right" w:leader="dot" w:pos="9360"/>
        </w:tabs>
      </w:pPr>
      <w:r>
        <w:rPr>
          <w:rFonts w:ascii="Times New Roman" w:hAnsi="Times New Roman" w:cs="Times New Roman" w:eastAsia="Times New Roman"/>
          <w:b w:val="0"/>
          <w:i w:val="0"/>
          <w:sz w:val="24"/>
        </w:rPr>
        <w:t>Anexo A. Solicitudes de incorporación del periodo</w:t>
      </w:r>
      <w:r>
        <w:rPr>
          <w:rFonts w:ascii="Times New Roman" w:hAnsi="Times New Roman" w:cs="Times New Roman" w:eastAsia="Times New Roman"/>
          <w:b w:val="0"/>
          <w:i w:val="0"/>
          <w:sz w:val="24"/>
        </w:rPr>
        <w:tab/>
        <w:t>26</w:t>
      </w:r>
    </w:p>
    <w:p>
      <w:pPr>
        <w:ind w:left="360"/>
        <w:jc w:val="left"/>
        <w:spacing w:line="240" w:lineRule="auto" w:after="60"/>
        <w:tabs>
          <w:tab w:val="right" w:leader="dot" w:pos="9360"/>
        </w:tabs>
      </w:pPr>
      <w:r>
        <w:rPr>
          <w:rFonts w:ascii="Times New Roman" w:hAnsi="Times New Roman" w:cs="Times New Roman" w:eastAsia="Times New Roman"/>
          <w:b w:val="0"/>
          <w:i w:val="0"/>
          <w:sz w:val="24"/>
        </w:rPr>
        <w:t>Anexo B. Catálogo de servicios de la API</w:t>
      </w:r>
      <w:r>
        <w:rPr>
          <w:rFonts w:ascii="Times New Roman" w:hAnsi="Times New Roman" w:cs="Times New Roman" w:eastAsia="Times New Roman"/>
          <w:b w:val="0"/>
          <w:i w:val="0"/>
          <w:sz w:val="24"/>
        </w:rPr>
        <w:tab/>
        <w:t>27</w:t>
      </w:r>
    </w:p>
    <w:p>
      <w:pPr>
        <w:ind w:left="360"/>
        <w:jc w:val="left"/>
        <w:spacing w:line="240" w:lineRule="auto" w:after="60"/>
        <w:tabs>
          <w:tab w:val="right" w:leader="dot" w:pos="9360"/>
        </w:tabs>
      </w:pPr>
      <w:r>
        <w:rPr>
          <w:rFonts w:ascii="Times New Roman" w:hAnsi="Times New Roman" w:cs="Times New Roman" w:eastAsia="Times New Roman"/>
          <w:b w:val="0"/>
          <w:i w:val="0"/>
          <w:sz w:val="24"/>
        </w:rPr>
        <w:t>Anexo C. Migraciones del esquema y verificaciones automáticas</w:t>
      </w:r>
      <w:r>
        <w:rPr>
          <w:rFonts w:ascii="Times New Roman" w:hAnsi="Times New Roman" w:cs="Times New Roman" w:eastAsia="Times New Roman"/>
          <w:b w:val="0"/>
          <w:i w:val="0"/>
          <w:sz w:val="24"/>
        </w:rPr>
        <w:tab/>
        <w:t>28</w:t>
      </w:r>
    </w:p>
    <w:p>
      <w:pPr>
        <w:ind w:left="360"/>
        <w:jc w:val="left"/>
        <w:spacing w:line="240" w:lineRule="auto" w:after="60"/>
        <w:tabs>
          <w:tab w:val="right" w:leader="dot" w:pos="9360"/>
        </w:tabs>
      </w:pPr>
      <w:r>
        <w:rPr>
          <w:rFonts w:ascii="Times New Roman" w:hAnsi="Times New Roman" w:cs="Times New Roman" w:eastAsia="Times New Roman"/>
          <w:b w:val="0"/>
          <w:i w:val="0"/>
          <w:sz w:val="24"/>
        </w:rPr>
        <w:t>Anexo D. Pruebas automatizadas por clase</w:t>
      </w:r>
      <w:r>
        <w:rPr>
          <w:rFonts w:ascii="Times New Roman" w:hAnsi="Times New Roman" w:cs="Times New Roman" w:eastAsia="Times New Roman"/>
          <w:b w:val="0"/>
          <w:i w:val="0"/>
          <w:sz w:val="24"/>
        </w:rPr>
        <w:tab/>
        <w:t>30</w:t>
      </w:r>
    </w:p>
    <w:p>
      <w:pPr>
        <w:ind w:left="360"/>
        <w:jc w:val="left"/>
        <w:spacing w:line="240" w:lineRule="auto" w:after="60"/>
        <w:tabs>
          <w:tab w:val="right" w:leader="dot" w:pos="9360"/>
        </w:tabs>
      </w:pPr>
      <w:r>
        <w:rPr>
          <w:rFonts w:ascii="Times New Roman" w:hAnsi="Times New Roman" w:cs="Times New Roman" w:eastAsia="Times New Roman"/>
          <w:b w:val="0"/>
          <w:i w:val="0"/>
          <w:sz w:val="24"/>
        </w:rPr>
        <w:t>Anexo E. Registro de decisiones de arquitectura</w:t>
      </w:r>
      <w:r>
        <w:rPr>
          <w:rFonts w:ascii="Times New Roman" w:hAnsi="Times New Roman" w:cs="Times New Roman" w:eastAsia="Times New Roman"/>
          <w:b w:val="0"/>
          <w:i w:val="0"/>
          <w:sz w:val="24"/>
        </w:rPr>
        <w:tab/>
        <w:t>30</w:t>
      </w:r>
    </w:p>
    <w:p>
      <w:pPr>
        <w:ind w:left="360"/>
        <w:jc w:val="left"/>
        <w:spacing w:line="240" w:lineRule="auto" w:after="60"/>
        <w:tabs>
          <w:tab w:val="right" w:leader="dot" w:pos="9360"/>
        </w:tabs>
      </w:pPr>
      <w:r>
        <w:rPr>
          <w:rFonts w:ascii="Times New Roman" w:hAnsi="Times New Roman" w:cs="Times New Roman" w:eastAsia="Times New Roman"/>
          <w:b w:val="0"/>
          <w:i w:val="0"/>
          <w:sz w:val="24"/>
        </w:rPr>
        <w:t>Anexo F. Defectos del periodo: síntoma, causa y corrección</w:t>
      </w:r>
      <w:r>
        <w:rPr>
          <w:rFonts w:ascii="Times New Roman" w:hAnsi="Times New Roman" w:cs="Times New Roman" w:eastAsia="Times New Roman"/>
          <w:b w:val="0"/>
          <w:i w:val="0"/>
          <w:sz w:val="24"/>
        </w:rPr>
        <w:tab/>
        <w:t>32</w:t>
      </w:r>
    </w:p>
    <w:p>
      <w:pPr>
        <w:ind w:left="360"/>
        <w:jc w:val="left"/>
        <w:spacing w:line="240" w:lineRule="auto" w:after="60"/>
        <w:tabs>
          <w:tab w:val="right" w:leader="dot" w:pos="9360"/>
        </w:tabs>
      </w:pPr>
      <w:r>
        <w:rPr>
          <w:rFonts w:ascii="Times New Roman" w:hAnsi="Times New Roman" w:cs="Times New Roman" w:eastAsia="Times New Roman"/>
          <w:b w:val="0"/>
          <w:i w:val="0"/>
          <w:sz w:val="24"/>
        </w:rPr>
        <w:t>Anexo G. Inventario de pantallas: diseño frente a implementación</w:t>
      </w:r>
      <w:r>
        <w:rPr>
          <w:rFonts w:ascii="Times New Roman" w:hAnsi="Times New Roman" w:cs="Times New Roman" w:eastAsia="Times New Roman"/>
          <w:b w:val="0"/>
          <w:i w:val="0"/>
          <w:sz w:val="24"/>
        </w:rPr>
        <w:tab/>
        <w:t>33</w:t>
      </w:r>
    </w:p>
    <w:p>
      <w:pPr>
        <w:jc w:val="both"/>
        <w:spacing w:line="480" w:lineRule="auto" w:after="0"/>
      </w:pPr>
      <w:r>
        <w:rPr>
          <w:rFonts w:ascii="Times New Roman" w:hAnsi="Times New Roman" w:cs="Times New Roman" w:eastAsia="Times New Roman"/>
          <w:b w:val="0"/>
          <w:i w:val="0"/>
          <w:sz w:val="24"/>
        </w:rPr>
        <w:fldChar w:fldCharType="end"/>
      </w:r>
    </w:p>
    <w:p>
      <w:pPr>
        <w:jc w:val="both"/>
        <w:spacing w:line="480" w:lineRule="auto" w:after="0"/>
      </w:pPr>
      <w:r>
        <w:br w:type="page"/>
      </w:r>
    </w:p>
    <w:p>
      <w:pPr>
        <w:pStyle w:val="Heading1"/>
        <w:jc w:val="left"/>
        <w:spacing w:line="480" w:lineRule="auto" w:after="0"/>
      </w:pPr>
      <w:r>
        <w:rPr>
          <w:rFonts w:ascii="Times New Roman" w:hAnsi="Times New Roman" w:cs="Times New Roman" w:eastAsia="Times New Roman"/>
          <w:b/>
          <w:i w:val="0"/>
          <w:sz w:val="24"/>
        </w:rPr>
        <w:t>Resumen</w:t>
      </w:r>
    </w:p>
    <w:p>
      <w:pPr>
        <w:jc w:val="both"/>
        <w:spacing w:line="480" w:lineRule="auto" w:after="0"/>
      </w:pPr>
      <w:r>
        <w:rPr>
          <w:rFonts w:ascii="Times New Roman" w:hAnsi="Times New Roman" w:cs="Times New Roman" w:eastAsia="Times New Roman"/>
          <w:b w:val="0"/>
          <w:i w:val="0"/>
          <w:sz w:val="24"/>
        </w:rPr>
        <w:t>El presente informe documenta el avance del proyecto SGIP durante sus primeras cuatro semanas de ejecución, contadas desde la aprobación de la versión 4 del informe de inicio. En el periodo se construyó el núcleo de seguridad de la plataforma —autenticación con token, autorización por rol y aislamiento de los datos de cada empresa verificado de forma automática en cada entrega—, la base del catálogo de productos con sus categorías y proveedores, el front web en React con las pantallas de acceso y catálogo, y la gestión de imágenes de producto y logo de empresa. El trabajo se integró en sesenta commits y diez solicitudes de incorporación, todas fusionadas, con ciento cincuenta pruebas automatizadas en verde y una cadena de integración continua que verifica el esquema contra un motor MySQL real antes de compilar el backend.</w:t>
      </w:r>
    </w:p>
    <w:p>
      <w:pPr>
        <w:jc w:val="both"/>
        <w:spacing w:line="480" w:lineRule="auto" w:after="0"/>
      </w:pPr>
      <w:r>
        <w:rPr>
          <w:rFonts w:ascii="Times New Roman" w:hAnsi="Times New Roman" w:cs="Times New Roman" w:eastAsia="Times New Roman"/>
          <w:b w:val="0"/>
          <w:i w:val="0"/>
          <w:sz w:val="24"/>
        </w:rPr>
        <w:t>El avance no coincide con lo planificado, y el informe explica por qué. De los veintiocho requisitos funcionales de prioridad alta que componen el producto mínimo viable, cinco quedaron implementados y probados, cinco quedaron parciales y dieciocho no se han iniciado. A cambio, el periodo entregó dos requisitos que la especificación no contemplaba, adelantó tres de prioridad media y dejó verificada de forma automática la invariante de la que depende el modelo de negocio completo: que ninguna empresa pueda ver los datos de otra.</w:t>
      </w:r>
    </w:p>
    <w:p>
      <w:pPr>
        <w:jc w:val="both"/>
        <w:spacing w:line="480" w:lineRule="auto" w:after="0"/>
      </w:pPr>
      <w:r>
        <w:rPr>
          <w:rFonts w:ascii="Times New Roman" w:hAnsi="Times New Roman" w:cs="Times New Roman" w:eastAsia="Times New Roman"/>
          <w:b w:val="0"/>
          <w:i w:val="0"/>
          <w:sz w:val="24"/>
        </w:rPr>
        <w:t>La sección de calidad documenta cinco defectos detectados al usar el sistema y no al escribirlo. Cuatro de ellos no provenían de una línea mal escrita sino de una decisión de diseño razonable que resultó equivocada, y se documentan con su causa porque una decisión equivocada se vuelve a tomar si no queda escrita. El informe cierra con la reevaluación de los siete riesgos del plan original, el inventario de la deuda técnica detectada y la replanificación de las iteraciones siguientes.</w:t>
      </w:r>
    </w:p>
    <w:p>
      <w:pPr>
        <w:jc w:val="both"/>
        <w:spacing w:line="480" w:lineRule="auto" w:after="0"/>
      </w:pPr>
      <w:r>
        <w:rPr>
          <w:rFonts w:ascii="Times New Roman" w:hAnsi="Times New Roman" w:cs="Times New Roman" w:eastAsia="Times New Roman"/>
          <w:b w:val="0"/>
          <w:i/>
          <w:sz w:val="24"/>
        </w:rPr>
        <w:t>Palabras clave:</w:t>
      </w:r>
      <w:r>
        <w:rPr>
          <w:rFonts w:ascii="Times New Roman" w:hAnsi="Times New Roman" w:cs="Times New Roman" w:eastAsia="Times New Roman"/>
          <w:b w:val="0"/>
          <w:i w:val="0"/>
          <w:sz w:val="24"/>
        </w:rPr>
        <w:t xml:space="preserve"> avance de proyecto, Scrum, aislamiento multiempresa, integración continua, pruebas automatizadas, API REST, normalización de imágenes, deuda técnica.</w:t>
      </w:r>
    </w:p>
    <w:p>
      <w:pPr>
        <w:pStyle w:val="Heading1"/>
        <w:jc w:val="left"/>
        <w:spacing w:line="480" w:lineRule="auto" w:after="0"/>
      </w:pPr>
      <w:r>
        <w:rPr>
          <w:rFonts w:ascii="Times New Roman" w:hAnsi="Times New Roman" w:cs="Times New Roman" w:eastAsia="Times New Roman"/>
          <w:b/>
          <w:i w:val="0"/>
          <w:sz w:val="24"/>
        </w:rPr>
        <w:t>1. Introducción</w:t>
      </w:r>
    </w:p>
    <w:p>
      <w:pPr>
        <w:jc w:val="both"/>
        <w:spacing w:line="480" w:lineRule="auto" w:after="0"/>
      </w:pPr>
      <w:r>
        <w:rPr>
          <w:rFonts w:ascii="Times New Roman" w:hAnsi="Times New Roman" w:cs="Times New Roman" w:eastAsia="Times New Roman"/>
          <w:b w:val="0"/>
          <w:i w:val="0"/>
          <w:sz w:val="24"/>
        </w:rPr>
        <w:t>El informe de inicio delimitó el problema, especificó los requisitos y fijó un plan de trabajo. Este informe rinde cuentas de la primera parte de ese plan. Su lector es quien necesita saber tres cosas: qué funciona hoy y puede comprobarse, en qué se apartó la ejecución de lo previsto, y qué queda por delante con el calendario corregido.</w:t>
      </w:r>
    </w:p>
    <w:p>
      <w:pPr>
        <w:jc w:val="both"/>
        <w:spacing w:line="480" w:lineRule="auto" w:after="0"/>
      </w:pPr>
      <w:r>
        <w:rPr>
          <w:rFonts w:ascii="Times New Roman" w:hAnsi="Times New Roman" w:cs="Times New Roman" w:eastAsia="Times New Roman"/>
          <w:b w:val="0"/>
          <w:i w:val="0"/>
          <w:sz w:val="24"/>
        </w:rPr>
        <w:t>Un informe de avance tiene una tentación que conviene nombrar: presentar lo construido y omitir lo que se desvió. Se ha evitado de forma deliberada. El valor de este documento, para el proyecto y para quien lo evalúa, está sobre todo en las secciones 4, 6 y 8, donde se registran la desviación respecto del plan, los defectos que aparecieron al usar el sistema y las inconsistencias detectadas en la propia documentación del proyecto, incluidas las del informe de inicio.</w:t>
      </w:r>
    </w:p>
    <w:p>
      <w:pPr>
        <w:pStyle w:val="Heading2"/>
        <w:jc w:val="left"/>
        <w:spacing w:line="480" w:lineRule="auto" w:after="0"/>
      </w:pPr>
      <w:r>
        <w:rPr>
          <w:rFonts w:ascii="Times New Roman" w:hAnsi="Times New Roman" w:cs="Times New Roman" w:eastAsia="Times New Roman"/>
          <w:b/>
          <w:i w:val="0"/>
          <w:sz w:val="24"/>
        </w:rPr>
        <w:t>1.1 Propósito y alcance</w:t>
      </w:r>
    </w:p>
    <w:p>
      <w:pPr>
        <w:jc w:val="both"/>
        <w:spacing w:line="480" w:lineRule="auto" w:after="0"/>
      </w:pPr>
      <w:r>
        <w:rPr>
          <w:rFonts w:ascii="Times New Roman" w:hAnsi="Times New Roman" w:cs="Times New Roman" w:eastAsia="Times New Roman"/>
          <w:b w:val="0"/>
          <w:i w:val="0"/>
          <w:sz w:val="24"/>
        </w:rPr>
        <w:t>El documento cubre el periodo comprendido entre el 18 de septiembre y el 16 de octubre de 2026. Describe el incremento construido, lo contrasta con la planificación aprobada, documenta las decisiones técnicas tomadas durante la ejecución y reevalúa los riesgos. No repite la especificación de requisitos, el modelado ni el marco referencial, que permanecen vigentes en el informe de inicio.</w:t>
      </w:r>
    </w:p>
    <w:p>
      <w:pPr>
        <w:pStyle w:val="Heading2"/>
        <w:jc w:val="left"/>
        <w:spacing w:line="480" w:lineRule="auto" w:after="0"/>
      </w:pPr>
      <w:r>
        <w:rPr>
          <w:rFonts w:ascii="Times New Roman" w:hAnsi="Times New Roman" w:cs="Times New Roman" w:eastAsia="Times New Roman"/>
          <w:b/>
          <w:i w:val="0"/>
          <w:sz w:val="24"/>
        </w:rPr>
        <w:t>1.2 Documentos de referencia</w:t>
      </w:r>
    </w:p>
    <w:p>
      <w:pPr>
        <w:pStyle w:val="ListParagraph"/>
        <w:numPr>
          <w:ilvl w:val="0"/>
          <w:numId w:val="2"/>
        </w:numPr>
        <w:jc w:val="both"/>
        <w:spacing w:line="480" w:lineRule="auto" w:after="0"/>
      </w:pPr>
      <w:r>
        <w:rPr>
          <w:rFonts w:ascii="Times New Roman" w:hAnsi="Times New Roman" w:cs="Times New Roman" w:eastAsia="Times New Roman"/>
          <w:b/>
          <w:i w:val="0"/>
          <w:sz w:val="24"/>
        </w:rPr>
        <w:t>SGIP — Informe de Inicio del Proyecto, versión 4.</w:t>
      </w:r>
      <w:r>
        <w:rPr>
          <w:rFonts w:ascii="Times New Roman" w:hAnsi="Times New Roman" w:cs="Times New Roman" w:eastAsia="Times New Roman"/>
          <w:b w:val="0"/>
          <w:i w:val="0"/>
          <w:sz w:val="24"/>
        </w:rPr>
        <w:t xml:space="preserve"> Especificación de requisitos, modelado, plan de trabajo y riesgos. Es el documento contra el cual se mide el avance que aquí se reporta.</w:t>
      </w:r>
    </w:p>
    <w:p>
      <w:pPr>
        <w:pStyle w:val="ListParagraph"/>
        <w:numPr>
          <w:ilvl w:val="0"/>
          <w:numId w:val="2"/>
        </w:numPr>
        <w:jc w:val="both"/>
        <w:spacing w:line="480" w:lineRule="auto" w:after="0"/>
      </w:pPr>
      <w:r>
        <w:rPr>
          <w:rFonts w:ascii="Times New Roman" w:hAnsi="Times New Roman" w:cs="Times New Roman" w:eastAsia="Times New Roman"/>
          <w:b/>
          <w:i w:val="0"/>
          <w:sz w:val="24"/>
        </w:rPr>
        <w:t>Registro de decisiones de arquitectura</w:t>
      </w:r>
      <w:r>
        <w:rPr>
          <w:rFonts w:ascii="Times New Roman" w:hAnsi="Times New Roman" w:cs="Times New Roman" w:eastAsia="Times New Roman"/>
          <w:b w:val="0"/>
          <w:i w:val="0"/>
          <w:sz w:val="24"/>
        </w:rPr>
        <w:t>, en docs/decisiones/. Diecisiete decisiones, la última incorporada en este periodo.</w:t>
      </w:r>
    </w:p>
    <w:p>
      <w:pPr>
        <w:pStyle w:val="ListParagraph"/>
        <w:numPr>
          <w:ilvl w:val="0"/>
          <w:numId w:val="2"/>
        </w:numPr>
        <w:jc w:val="both"/>
        <w:spacing w:line="480" w:lineRule="auto" w:after="0"/>
      </w:pPr>
      <w:r>
        <w:rPr>
          <w:rFonts w:ascii="Times New Roman" w:hAnsi="Times New Roman" w:cs="Times New Roman" w:eastAsia="Times New Roman"/>
          <w:b/>
          <w:i w:val="0"/>
          <w:sz w:val="24"/>
        </w:rPr>
        <w:t>Repositorio del proyecto</w:t>
      </w:r>
      <w:r>
        <w:rPr>
          <w:rFonts w:ascii="Times New Roman" w:hAnsi="Times New Roman" w:cs="Times New Roman" w:eastAsia="Times New Roman"/>
          <w:b w:val="0"/>
          <w:i w:val="0"/>
          <w:sz w:val="24"/>
        </w:rPr>
        <w:t>, rama develop. Es la fuente de toda cifra que aparece en este informe.</w:t>
      </w:r>
    </w:p>
    <w:p>
      <w:pPr>
        <w:pStyle w:val="Heading1"/>
        <w:jc w:val="left"/>
        <w:spacing w:line="480" w:lineRule="auto" w:after="0"/>
      </w:pPr>
      <w:r>
        <w:rPr>
          <w:rFonts w:ascii="Times New Roman" w:hAnsi="Times New Roman" w:cs="Times New Roman" w:eastAsia="Times New Roman"/>
          <w:b/>
          <w:i w:val="0"/>
          <w:sz w:val="24"/>
        </w:rPr>
        <w:t>2. Estado General del Avance</w:t>
      </w:r>
    </w:p>
    <w:p>
      <w:pPr>
        <w:pStyle w:val="Heading2"/>
        <w:jc w:val="left"/>
        <w:spacing w:line="480" w:lineRule="auto" w:after="0"/>
      </w:pPr>
      <w:r>
        <w:rPr>
          <w:rFonts w:ascii="Times New Roman" w:hAnsi="Times New Roman" w:cs="Times New Roman" w:eastAsia="Times New Roman"/>
          <w:b/>
          <w:i w:val="0"/>
          <w:sz w:val="24"/>
        </w:rPr>
        <w:t>2.1 Síntesis cuantitativa</w:t>
      </w:r>
    </w:p>
    <w:p>
      <w:pPr>
        <w:jc w:val="both"/>
        <w:spacing w:line="480" w:lineRule="auto" w:after="0"/>
      </w:pPr>
      <w:r>
        <w:rPr>
          <w:rFonts w:ascii="Times New Roman" w:hAnsi="Times New Roman" w:cs="Times New Roman" w:eastAsia="Times New Roman"/>
          <w:b w:val="0"/>
          <w:i w:val="0"/>
          <w:sz w:val="24"/>
        </w:rPr>
        <w:t>La Tabla 2 resume el periodo en las magnitudes que pueden contarse. Se presentan porque son verificables, no porque midan valor: un conteo de líneas no dice si el sistema sirve. Las secciones siguientes se ocupan de eso.</w:t>
      </w:r>
    </w:p>
    <w:p>
      <w:pPr>
        <w:jc w:val="both"/>
        <w:keepNext/>
        <w:spacing w:line="480" w:lineRule="auto" w:after="0"/>
      </w:pPr>
      <w:r>
        <w:rPr>
          <w:rFonts w:ascii="Times New Roman" w:hAnsi="Times New Roman" w:cs="Times New Roman" w:eastAsia="Times New Roman"/>
          <w:b w:val="0"/>
          <w:i w:val="0"/>
          <w:sz w:val="20"/>
        </w:rPr>
        <w:t>Tabla 2</w:t>
      </w:r>
    </w:p>
    <w:p>
      <w:pPr>
        <w:jc w:val="both"/>
        <w:keepNext/>
        <w:spacing w:line="480" w:lineRule="auto" w:after="0"/>
      </w:pPr>
      <w:r>
        <w:rPr>
          <w:rFonts w:ascii="Times New Roman" w:hAnsi="Times New Roman" w:cs="Times New Roman" w:eastAsia="Times New Roman"/>
          <w:b w:val="0"/>
          <w:i w:val="0"/>
          <w:sz w:val="20"/>
        </w:rPr>
        <w:t>Síntesis cuantitativa del periodo</w:t>
      </w:r>
    </w:p>
    <w:tbl>
      <w:tblPr>
        <w:tblW w:type="dxa" w:w="9360"/>
        <w:tblLayout w:type="fixed"/>
        <w:tblLook w:firstColumn="1" w:firstRow="1" w:lastColumn="0" w:lastRow="0" w:noHBand="0" w:noVBand="1" w:val="04A0"/>
      </w:tblPr>
      <w:tblGrid>
        <w:gridCol w:w="3120"/>
        <w:gridCol w:w="3120"/>
        <w:gridCol w:w="3120"/>
      </w:tblGrid>
      <w:tr>
        <w:trPr>
          <w:tblHeader/>
        </w:trPr>
        <w:tc>
          <w:tcPr>
            <w:tcW w:type="dxa" w:w="3182"/>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Magnitud</w:t>
            </w:r>
          </w:p>
        </w:tc>
        <w:tc>
          <w:tcPr>
            <w:tcW w:type="dxa" w:w="2995"/>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Valor</w:t>
            </w:r>
          </w:p>
        </w:tc>
        <w:tc>
          <w:tcPr>
            <w:tcW w:type="dxa" w:w="3182"/>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Dónde se comprueba</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Duración del periodo</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4 semanas</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18 sep – 16 oct de 2026</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Commits</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60</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Historial de la rama develop</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Solicitudes de incorporación</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10 abiertas, 10 fusionadas</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Anexo A</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Servicios de la API en operación</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23</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Anexo B</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Migraciones de base de datos</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14 más la de creación</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Anexo C</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Objetos del esquema</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39 tablas, 6 vistas, 4 funciones</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Verificado en cada entrega</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Pruebas automatizadas</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150 (117 backend, 33 front)</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Anexo D</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Decisiones de arquitectura</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17 vigentes, 1 del periodo</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Anexo E</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Defectos corregidos tras uso</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5</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Anexo F</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Código de aplicación</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3.605 líneas Java, 1.652 JavaScript</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Repositorio</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Código de prueba</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1.748 líneas Java</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Repositorio</w:t>
            </w:r>
          </w:p>
        </w:tc>
      </w:tr>
      <w:tr>
        <w:tc>
          <w:tcPr>
            <w:tcW w:type="dxa" w:w="3182"/>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Esquema de datos</w:t>
            </w:r>
          </w:p>
        </w:tc>
        <w:tc>
          <w:tcPr>
            <w:tcW w:type="dxa" w:w="2995"/>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2.804 líneas SQL</w:t>
            </w:r>
          </w:p>
        </w:tc>
        <w:tc>
          <w:tcPr>
            <w:tcW w:type="dxa" w:w="3182"/>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Repositorio</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El conteo de pruebas corresponde a métodos de prueba, no a archivos. Elaboración propia a partir del repositorio en la fecha de corte.</w:t>
      </w:r>
    </w:p>
    <w:p>
      <w:pPr>
        <w:pStyle w:val="Heading2"/>
        <w:jc w:val="left"/>
        <w:spacing w:line="480" w:lineRule="auto" w:after="0"/>
      </w:pPr>
      <w:r>
        <w:rPr>
          <w:rFonts w:ascii="Times New Roman" w:hAnsi="Times New Roman" w:cs="Times New Roman" w:eastAsia="Times New Roman"/>
          <w:b/>
          <w:i w:val="0"/>
          <w:sz w:val="24"/>
        </w:rPr>
        <w:t>2.2 Estado de los componentes</w:t>
      </w:r>
    </w:p>
    <w:p>
      <w:pPr>
        <w:jc w:val="both"/>
        <w:keepNext/>
        <w:spacing w:line="480" w:lineRule="auto" w:after="0"/>
      </w:pPr>
      <w:r>
        <w:rPr>
          <w:rFonts w:ascii="Times New Roman" w:hAnsi="Times New Roman" w:cs="Times New Roman" w:eastAsia="Times New Roman"/>
          <w:b w:val="0"/>
          <w:i w:val="0"/>
          <w:sz w:val="20"/>
        </w:rPr>
        <w:t>Tabla 3</w:t>
      </w:r>
    </w:p>
    <w:p>
      <w:pPr>
        <w:jc w:val="both"/>
        <w:keepNext/>
        <w:spacing w:line="480" w:lineRule="auto" w:after="0"/>
      </w:pPr>
      <w:r>
        <w:rPr>
          <w:rFonts w:ascii="Times New Roman" w:hAnsi="Times New Roman" w:cs="Times New Roman" w:eastAsia="Times New Roman"/>
          <w:b w:val="0"/>
          <w:i w:val="0"/>
          <w:sz w:val="20"/>
        </w:rPr>
        <w:t>Estado de los componentes de la solución</w:t>
      </w:r>
    </w:p>
    <w:tbl>
      <w:tblPr>
        <w:tblW w:type="dxa" w:w="9360"/>
        <w:tblLayout w:type="fixed"/>
        <w:tblLook w:firstColumn="1" w:firstRow="1" w:lastColumn="0" w:lastRow="0" w:noHBand="0" w:noVBand="1" w:val="04A0"/>
      </w:tblPr>
      <w:tblGrid>
        <w:gridCol w:w="3120"/>
        <w:gridCol w:w="3120"/>
        <w:gridCol w:w="3120"/>
      </w:tblGrid>
      <w:tr>
        <w:trPr>
          <w:tblHeader/>
        </w:trPr>
        <w:tc>
          <w:tcPr>
            <w:tcW w:type="dxa" w:w="1497"/>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Componente</w:t>
            </w:r>
          </w:p>
        </w:tc>
        <w:tc>
          <w:tcPr>
            <w:tcW w:type="dxa" w:w="2059"/>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Tecnología</w:t>
            </w:r>
          </w:p>
        </w:tc>
        <w:tc>
          <w:tcPr>
            <w:tcW w:type="dxa" w:w="5803"/>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Estado a la fecha de corte</w:t>
            </w:r>
          </w:p>
        </w:tc>
      </w:tr>
      <w:tr>
        <w:tc>
          <w:tcPr>
            <w:tcW w:type="dxa" w:w="149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database/</w:t>
            </w:r>
          </w:p>
        </w:tc>
        <w:tc>
          <w:tcPr>
            <w:tcW w:type="dxa" w:w="205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MySQL 9.7 LTS</w:t>
            </w:r>
          </w:p>
        </w:tc>
        <w:tc>
          <w:tcPr>
            <w:tcW w:type="dxa" w:w="580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Operativo.</w:t>
            </w:r>
            <w:r>
              <w:rPr>
                <w:rFonts w:ascii="Times New Roman" w:hAnsi="Times New Roman" w:cs="Times New Roman" w:eastAsia="Times New Roman"/>
                <w:b w:val="0"/>
                <w:i w:val="0"/>
                <w:sz w:val="20"/>
              </w:rPr>
              <w:t xml:space="preserve"> Catorce migraciones aplicadas en orden y verificadas automáticamente en cada entrega, incluido el aislamiento entre empresas.</w:t>
            </w:r>
          </w:p>
        </w:tc>
      </w:tr>
      <w:tr>
        <w:tc>
          <w:tcPr>
            <w:tcW w:type="dxa" w:w="149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w:t>
            </w:r>
          </w:p>
        </w:tc>
        <w:tc>
          <w:tcPr>
            <w:tcW w:type="dxa" w:w="205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Java 25 · Spring Boot 4.1.1</w:t>
            </w:r>
          </w:p>
        </w:tc>
        <w:tc>
          <w:tcPr>
            <w:tcW w:type="dxa" w:w="580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En construcción.</w:t>
            </w:r>
            <w:r>
              <w:rPr>
                <w:rFonts w:ascii="Times New Roman" w:hAnsi="Times New Roman" w:cs="Times New Roman" w:eastAsia="Times New Roman"/>
                <w:b w:val="0"/>
                <w:i w:val="0"/>
                <w:sz w:val="20"/>
              </w:rPr>
              <w:t xml:space="preserve"> Seguridad, catálogo, proveedores e imágenes. Veintitrés servicios en operación; sin los módulos de precios, importación, venta ni reportes.</w:t>
            </w:r>
          </w:p>
        </w:tc>
      </w:tr>
      <w:tr>
        <w:tc>
          <w:tcPr>
            <w:tcW w:type="dxa" w:w="149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web/</w:t>
            </w:r>
          </w:p>
        </w:tc>
        <w:tc>
          <w:tcPr>
            <w:tcW w:type="dxa" w:w="205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React 18 · Vite · Node 22</w:t>
            </w:r>
          </w:p>
        </w:tc>
        <w:tc>
          <w:tcPr>
            <w:tcW w:type="dxa" w:w="580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En construcción.</w:t>
            </w:r>
            <w:r>
              <w:rPr>
                <w:rFonts w:ascii="Times New Roman" w:hAnsi="Times New Roman" w:cs="Times New Roman" w:eastAsia="Times New Roman"/>
                <w:b w:val="0"/>
                <w:i w:val="0"/>
                <w:sz w:val="20"/>
              </w:rPr>
              <w:t xml:space="preserve"> Acceso, catálogo y datos de empresa. Treinta y tres pruebas sobre la capa de servicios.</w:t>
            </w:r>
          </w:p>
        </w:tc>
      </w:tr>
      <w:tr>
        <w:tc>
          <w:tcPr>
            <w:tcW w:type="dxa" w:w="149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escritorio/</w:t>
            </w:r>
          </w:p>
        </w:tc>
        <w:tc>
          <w:tcPr>
            <w:tcW w:type="dxa" w:w="205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React Native</w:t>
            </w:r>
          </w:p>
        </w:tc>
        <w:tc>
          <w:tcPr>
            <w:tcW w:type="dxa" w:w="580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Sin iniciar.</w:t>
            </w:r>
            <w:r>
              <w:rPr>
                <w:rFonts w:ascii="Times New Roman" w:hAnsi="Times New Roman" w:cs="Times New Roman" w:eastAsia="Times New Roman"/>
                <w:b w:val="0"/>
                <w:i w:val="0"/>
                <w:sz w:val="20"/>
              </w:rPr>
              <w:t xml:space="preserve"> Solo el archivo de descripción del módulo.</w:t>
            </w:r>
          </w:p>
        </w:tc>
      </w:tr>
      <w:tr>
        <w:tc>
          <w:tcPr>
            <w:tcW w:type="dxa" w:w="149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movil/</w:t>
            </w:r>
          </w:p>
        </w:tc>
        <w:tc>
          <w:tcPr>
            <w:tcW w:type="dxa" w:w="205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React Native</w:t>
            </w:r>
          </w:p>
        </w:tc>
        <w:tc>
          <w:tcPr>
            <w:tcW w:type="dxa" w:w="580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Sin iniciar.</w:t>
            </w:r>
            <w:r>
              <w:rPr>
                <w:rFonts w:ascii="Times New Roman" w:hAnsi="Times New Roman" w:cs="Times New Roman" w:eastAsia="Times New Roman"/>
                <w:b w:val="0"/>
                <w:i w:val="0"/>
                <w:sz w:val="20"/>
              </w:rPr>
              <w:t xml:space="preserve"> Solo el archivo de descripción del módulo.</w:t>
            </w:r>
          </w:p>
        </w:tc>
      </w:tr>
      <w:tr>
        <w:tc>
          <w:tcPr>
            <w:tcW w:type="dxa" w:w="1497"/>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Integración continua</w:t>
            </w:r>
          </w:p>
        </w:tc>
        <w:tc>
          <w:tcPr>
            <w:tcW w:type="dxa" w:w="2059"/>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GitHub Actions</w:t>
            </w:r>
          </w:p>
        </w:tc>
        <w:tc>
          <w:tcPr>
            <w:tcW w:type="dxa" w:w="5803"/>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Operativa.</w:t>
            </w:r>
            <w:r>
              <w:rPr>
                <w:rFonts w:ascii="Times New Roman" w:hAnsi="Times New Roman" w:cs="Times New Roman" w:eastAsia="Times New Roman"/>
                <w:b w:val="0"/>
                <w:i w:val="0"/>
                <w:sz w:val="20"/>
              </w:rPr>
              <w:t xml:space="preserve"> Tres trabajos encadenados: esquema, backend y front.</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El estado se declara respecto del alcance del informe de inicio, no respecto del producto mínimo viable. Elaboración propia.</w:t>
      </w:r>
    </w:p>
    <w:p>
      <w:pPr>
        <w:pStyle w:val="Heading2"/>
        <w:jc w:val="left"/>
        <w:spacing w:line="480" w:lineRule="auto" w:after="0"/>
      </w:pPr>
      <w:r>
        <w:rPr>
          <w:rFonts w:ascii="Times New Roman" w:hAnsi="Times New Roman" w:cs="Times New Roman" w:eastAsia="Times New Roman"/>
          <w:b/>
          <w:i w:val="0"/>
          <w:sz w:val="24"/>
        </w:rPr>
        <w:t>2.3 Cobertura del producto mínimo viable</w:t>
      </w:r>
    </w:p>
    <w:p>
      <w:pPr>
        <w:jc w:val="both"/>
        <w:spacing w:line="480" w:lineRule="auto" w:after="0"/>
      </w:pPr>
      <w:r>
        <w:rPr>
          <w:rFonts w:ascii="Times New Roman" w:hAnsi="Times New Roman" w:cs="Times New Roman" w:eastAsia="Times New Roman"/>
          <w:b w:val="0"/>
          <w:i w:val="0"/>
          <w:sz w:val="24"/>
        </w:rPr>
        <w:t>El informe de inicio clasificó los sesenta y dos requisitos funcionales por prioridad y declaró el producto mínimo viable como el conjunto de los veintiocho de prioridad alta. La Figura 1 presenta su estado por módulo.</w:t>
      </w:r>
    </w:p>
    <w:p>
      <w:pPr>
        <w:jc w:val="both"/>
        <w:keepNext/>
        <w:spacing w:line="480" w:lineRule="auto" w:after="0"/>
      </w:pPr>
      <w:r>
        <w:rPr>
          <w:rFonts w:ascii="Times New Roman" w:hAnsi="Times New Roman" w:cs="Times New Roman" w:eastAsia="Times New Roman"/>
          <w:b w:val="0"/>
          <w:i w:val="0"/>
          <w:sz w:val="20"/>
        </w:rPr>
        <w:t>Figura 1</w:t>
      </w:r>
    </w:p>
    <w:p>
      <w:pPr>
        <w:jc w:val="both"/>
        <w:keepNext/>
        <w:spacing w:line="480" w:lineRule="auto" w:after="0"/>
      </w:pPr>
      <w:r>
        <w:rPr>
          <w:rFonts w:ascii="Times New Roman" w:hAnsi="Times New Roman" w:cs="Times New Roman" w:eastAsia="Times New Roman"/>
          <w:b w:val="0"/>
          <w:i w:val="0"/>
          <w:sz w:val="20"/>
        </w:rPr>
        <w:t>Cobertura de los requisitos del producto mínimo viable, por módulo</w:t>
      </w:r>
    </w:p>
    <w:p>
      <w:pPr>
        <w:jc w:val="center"/>
        <w:keepNext/>
        <w:spacing w:line="240" w:lineRule="auto" w:after="0"/>
      </w:pPr>
      <w:r>
        <w:drawing>
          <wp:inline xmlns:a="http://schemas.openxmlformats.org/drawingml/2006/main" xmlns:pic="http://schemas.openxmlformats.org/drawingml/2006/picture">
            <wp:extent cx="5669280" cy="2885419"/>
            <wp:docPr id="1" name="Picture 1"/>
            <wp:cNvGraphicFramePr>
              <a:graphicFrameLocks noChangeAspect="1"/>
            </wp:cNvGraphicFramePr>
            <a:graphic>
              <a:graphicData uri="http://schemas.openxmlformats.org/drawingml/2006/picture">
                <pic:pic>
                  <pic:nvPicPr>
                    <pic:cNvPr id="0" name="F01_cobertura_mvp.png"/>
                    <pic:cNvPicPr/>
                  </pic:nvPicPr>
                  <pic:blipFill>
                    <a:blip r:embed="rId47"/>
                    <a:stretch>
                      <a:fillRect/>
                    </a:stretch>
                  </pic:blipFill>
                  <pic:spPr>
                    <a:xfrm>
                      <a:off x="0" y="0"/>
                      <a:ext cx="5669280" cy="2885419"/>
                    </a:xfrm>
                    <a:prstGeom prst="rect"/>
                  </pic:spPr>
                </pic:pic>
              </a:graphicData>
            </a:graphic>
          </wp:inline>
        </w:drawing>
      </w:r>
    </w:p>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«Parcial» significa que el requisito tiene implementada una parte verificable y otra no; la Tabla 4 precisa cuál en cada caso. La cifra a la derecha de cada barra es el total de requisitos de prioridad alta del módulo. Los módulos de cotización, facturación, reportes y cliente no aparecen porque no aportan requisitos de prioridad alta. Elaboración propia.</w:t>
      </w:r>
    </w:p>
    <w:p>
      <w:pPr>
        <w:jc w:val="both"/>
        <w:spacing w:line="480" w:lineRule="auto" w:after="0"/>
      </w:pPr>
      <w:r>
        <w:rPr>
          <w:rFonts w:ascii="Times New Roman" w:hAnsi="Times New Roman" w:cs="Times New Roman" w:eastAsia="Times New Roman"/>
          <w:b w:val="0"/>
          <w:i w:val="0"/>
          <w:sz w:val="24"/>
        </w:rPr>
        <w:t>El reparto es desigual a propósito. La seguridad concentra el avance porque el aislamiento entre empresas condiciona todo lo demás: si se construyera el catálogo antes de garantizar que una empresa no ve los datos de otra, cada consulta escrita en el intervalo tendría que revisarse después, una por una. Lo mismo ocurre en sentido contrario con el módulo de importación de listas de precios, que el informe de inicio identificó como el componente de mayor valor técnico del proyecto y que no se ha iniciado: depende del motor de precios, que a su vez depende de que el catálogo esté completo.</w:t>
      </w:r>
    </w:p>
    <w:p>
      <w:pPr>
        <w:pStyle w:val="Heading1"/>
        <w:jc w:val="left"/>
        <w:spacing w:line="480" w:lineRule="auto" w:after="0"/>
      </w:pPr>
      <w:r>
        <w:rPr>
          <w:rFonts w:ascii="Times New Roman" w:hAnsi="Times New Roman" w:cs="Times New Roman" w:eastAsia="Times New Roman"/>
          <w:b/>
          <w:i w:val="0"/>
          <w:sz w:val="24"/>
        </w:rPr>
        <w:t>3. Desarrollo del Periodo</w:t>
      </w:r>
    </w:p>
    <w:p>
      <w:pPr>
        <w:jc w:val="both"/>
        <w:spacing w:line="480" w:lineRule="auto" w:after="0"/>
      </w:pPr>
      <w:r>
        <w:rPr>
          <w:rFonts w:ascii="Times New Roman" w:hAnsi="Times New Roman" w:cs="Times New Roman" w:eastAsia="Times New Roman"/>
          <w:b w:val="0"/>
          <w:i w:val="0"/>
          <w:sz w:val="24"/>
        </w:rPr>
        <w:t>La Figura 2 muestra la cadencia real del trabajo. Las tres fases que señala no coinciden con las iteraciones planificadas, y esa discrepancia es el asunto de la sección 4.</w:t>
      </w:r>
    </w:p>
    <w:p>
      <w:pPr>
        <w:jc w:val="both"/>
        <w:keepNext/>
        <w:spacing w:line="480" w:lineRule="auto" w:after="0"/>
      </w:pPr>
      <w:r>
        <w:rPr>
          <w:rFonts w:ascii="Times New Roman" w:hAnsi="Times New Roman" w:cs="Times New Roman" w:eastAsia="Times New Roman"/>
          <w:b w:val="0"/>
          <w:i w:val="0"/>
          <w:sz w:val="20"/>
        </w:rPr>
        <w:t>Figura 2</w:t>
      </w:r>
    </w:p>
    <w:p>
      <w:pPr>
        <w:jc w:val="both"/>
        <w:keepNext/>
        <w:spacing w:line="480" w:lineRule="auto" w:after="0"/>
      </w:pPr>
      <w:r>
        <w:rPr>
          <w:rFonts w:ascii="Times New Roman" w:hAnsi="Times New Roman" w:cs="Times New Roman" w:eastAsia="Times New Roman"/>
          <w:b w:val="0"/>
          <w:i w:val="0"/>
          <w:sz w:val="20"/>
        </w:rPr>
        <w:t>Commits por día durante el periodo, con las tres fases del trabajo</w:t>
      </w:r>
    </w:p>
    <w:p>
      <w:pPr>
        <w:jc w:val="center"/>
        <w:keepNext/>
        <w:spacing w:line="240" w:lineRule="auto" w:after="0"/>
      </w:pPr>
      <w:r>
        <w:drawing>
          <wp:inline xmlns:a="http://schemas.openxmlformats.org/drawingml/2006/main" xmlns:pic="http://schemas.openxmlformats.org/drawingml/2006/picture">
            <wp:extent cx="5669280" cy="2277275"/>
            <wp:docPr id="2" name="Picture 2"/>
            <wp:cNvGraphicFramePr>
              <a:graphicFrameLocks noChangeAspect="1"/>
            </wp:cNvGraphicFramePr>
            <a:graphic>
              <a:graphicData uri="http://schemas.openxmlformats.org/drawingml/2006/picture">
                <pic:pic>
                  <pic:nvPicPr>
                    <pic:cNvPr id="0" name="F02_cronologia.png"/>
                    <pic:cNvPicPr/>
                  </pic:nvPicPr>
                  <pic:blipFill>
                    <a:blip r:embed="rId48"/>
                    <a:stretch>
                      <a:fillRect/>
                    </a:stretch>
                  </pic:blipFill>
                  <pic:spPr>
                    <a:xfrm>
                      <a:off x="0" y="0"/>
                      <a:ext cx="5669280" cy="2277275"/>
                    </a:xfrm>
                    <a:prstGeom prst="rect"/>
                  </pic:spPr>
                </pic:pic>
              </a:graphicData>
            </a:graphic>
          </wp:inline>
        </w:drawing>
      </w:r>
    </w:p>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El intervalo central sin actividad en el repositorio de código corresponde a la reescritura de la especificación, que se trabajó fuera del repositorio y se incorporó a él el 12 de octubre. Elaboración propia a partir del historial de la rama develop.</w:t>
      </w:r>
    </w:p>
    <w:p>
      <w:pPr>
        <w:pStyle w:val="Heading2"/>
        <w:jc w:val="left"/>
        <w:spacing w:line="480" w:lineRule="auto" w:after="0"/>
      </w:pPr>
      <w:r>
        <w:rPr>
          <w:rFonts w:ascii="Times New Roman" w:hAnsi="Times New Roman" w:cs="Times New Roman" w:eastAsia="Times New Roman"/>
          <w:b/>
          <w:i w:val="0"/>
          <w:sz w:val="24"/>
        </w:rPr>
        <w:t>3.1 Primera iteración: seguridad y modelo de dominio</w:t>
      </w:r>
    </w:p>
    <w:p>
      <w:pPr>
        <w:jc w:val="both"/>
        <w:spacing w:line="480" w:lineRule="auto" w:after="0"/>
      </w:pPr>
      <w:r>
        <w:rPr>
          <w:rFonts w:ascii="Times New Roman" w:hAnsi="Times New Roman" w:cs="Times New Roman" w:eastAsia="Times New Roman"/>
          <w:b w:val="0"/>
          <w:i w:val="0"/>
          <w:sz w:val="24"/>
        </w:rPr>
        <w:t>Del 18 al 22 de septiembre se levantó la base del proyecto: la estructura del repositorio, el esquema inicial de la base de datos sobre MySQL 9.7, el esqueleto del backend en Spring Boot y el primer corte del dominio de seguridad, con las entidades de usuario y rol, la derivación de contraseñas con PBKDF2 y el servicio de autenticación con bloqueo por intentos fallidos y auditoría de accesos.</w:t>
      </w:r>
    </w:p>
    <w:p>
      <w:pPr>
        <w:jc w:val="both"/>
        <w:spacing w:line="480" w:lineRule="auto" w:after="0"/>
      </w:pPr>
      <w:r>
        <w:rPr>
          <w:rFonts w:ascii="Times New Roman" w:hAnsi="Times New Roman" w:cs="Times New Roman" w:eastAsia="Times New Roman"/>
          <w:b w:val="0"/>
          <w:i w:val="0"/>
          <w:sz w:val="24"/>
        </w:rPr>
        <w:t>El criterio de esa iteración fue que la lógica de negocio pudiera probarse sin levantar un servidor ni instanciar una interfaz gráfica, y se cumplió: las pruebas de la derivación de contraseñas y del servicio de autenticación se ejecutan sin contexto de Spring.</w:t>
      </w:r>
    </w:p>
    <w:p>
      <w:pPr>
        <w:pStyle w:val="Heading2"/>
        <w:jc w:val="left"/>
        <w:spacing w:line="480" w:lineRule="auto" w:after="0"/>
      </w:pPr>
      <w:r>
        <w:rPr>
          <w:rFonts w:ascii="Times New Roman" w:hAnsi="Times New Roman" w:cs="Times New Roman" w:eastAsia="Times New Roman"/>
          <w:b/>
          <w:i w:val="0"/>
          <w:sz w:val="24"/>
        </w:rPr>
        <w:t>3.2 Interrupción: revisión de la especificación</w:t>
      </w:r>
    </w:p>
    <w:p>
      <w:pPr>
        <w:jc w:val="both"/>
        <w:spacing w:line="480" w:lineRule="auto" w:after="0"/>
      </w:pPr>
      <w:r>
        <w:rPr>
          <w:rFonts w:ascii="Times New Roman" w:hAnsi="Times New Roman" w:cs="Times New Roman" w:eastAsia="Times New Roman"/>
          <w:b w:val="0"/>
          <w:i w:val="0"/>
          <w:sz w:val="24"/>
        </w:rPr>
        <w:t>Entre el 23 de septiembre y el 11 de octubre no hubo actividad en el repositorio de código. El trabajo del periodo se dedicó a reescribir la especificación, que pasó de describir un sistema para una empresa a describir una plataforma que Black Steel Parts opera como servicio para varios comercios. Ese replanteamiento produjo la versión 4 del informe de inicio y se incorporó al repositorio el 12 de octubre.</w:t>
      </w:r>
    </w:p>
    <w:p>
      <w:pPr>
        <w:jc w:val="both"/>
        <w:spacing w:line="480" w:lineRule="auto" w:after="0"/>
      </w:pPr>
      <w:r>
        <w:rPr>
          <w:rFonts w:ascii="Times New Roman" w:hAnsi="Times New Roman" w:cs="Times New Roman" w:eastAsia="Times New Roman"/>
          <w:b w:val="0"/>
          <w:i w:val="0"/>
          <w:sz w:val="24"/>
        </w:rPr>
        <w:t>La interrupción no fue una pérdida, pero tampoco fue gratuita: consumió tres de las cuatro semanas del periodo. El cambio obligó a ampliar el modelo de datos de cinco a treinta y nueve tablas, a redeclarar sobre dos columnas veinte claves foráneas que solo comprobaban que la fila referida existiera y no que perteneciera a la misma empresa, y a reconsiderar el modelo de autorización completo. Haberlo descubierto después de construir el catálogo habría costado considerablemente más.</w:t>
      </w:r>
    </w:p>
    <w:p>
      <w:pPr>
        <w:pStyle w:val="Heading2"/>
        <w:jc w:val="left"/>
        <w:spacing w:line="480" w:lineRule="auto" w:after="0"/>
      </w:pPr>
      <w:r>
        <w:rPr>
          <w:rFonts w:ascii="Times New Roman" w:hAnsi="Times New Roman" w:cs="Times New Roman" w:eastAsia="Times New Roman"/>
          <w:b/>
          <w:i w:val="0"/>
          <w:sz w:val="24"/>
        </w:rPr>
        <w:t>3.3 Segunda iteración: sesión, autorización y contexto de empresa</w:t>
      </w:r>
    </w:p>
    <w:p>
      <w:pPr>
        <w:jc w:val="both"/>
        <w:spacing w:line="480" w:lineRule="auto" w:after="0"/>
      </w:pPr>
      <w:r>
        <w:rPr>
          <w:rFonts w:ascii="Times New Roman" w:hAnsi="Times New Roman" w:cs="Times New Roman" w:eastAsia="Times New Roman"/>
          <w:b w:val="0"/>
          <w:i w:val="0"/>
          <w:sz w:val="24"/>
        </w:rPr>
        <w:t>Del 12 al 14 de octubre se construyó la emisión, validación y cierre de sesión, la autorización por rol y el mecanismo que acota toda consulta a la empresa del usuario autenticado. Tres piezas merecen mención porque sostienen el resto del sistema.</w:t>
      </w:r>
    </w:p>
    <w:p>
      <w:pPr>
        <w:jc w:val="both"/>
        <w:spacing w:line="480" w:lineRule="auto" w:after="0"/>
      </w:pPr>
      <w:r>
        <w:rPr>
          <w:rFonts w:ascii="Times New Roman" w:hAnsi="Times New Roman" w:cs="Times New Roman" w:eastAsia="Times New Roman"/>
          <w:b w:val="0"/>
          <w:i w:val="0"/>
          <w:sz w:val="24"/>
        </w:rPr>
        <w:t xml:space="preserve">La primera es que </w:t>
      </w:r>
      <w:r>
        <w:rPr>
          <w:rFonts w:ascii="Times New Roman" w:hAnsi="Times New Roman" w:cs="Times New Roman" w:eastAsia="Times New Roman"/>
          <w:b/>
          <w:i w:val="0"/>
          <w:sz w:val="24"/>
        </w:rPr>
        <w:t>la empresa se toma de la sesión y nunca de la petición</w:t>
      </w:r>
      <w:r>
        <w:rPr>
          <w:rFonts w:ascii="Times New Roman" w:hAnsi="Times New Roman" w:cs="Times New Roman" w:eastAsia="Times New Roman"/>
          <w:b w:val="0"/>
          <w:i w:val="0"/>
          <w:sz w:val="24"/>
        </w:rPr>
        <w:t>. Un identificador de empresa que viaje en el cuerpo o en la dirección es un dato que el cliente controla, y por lo tanto no es una garantía de nada. El filtro de sesión lo deposita en el contexto de la petición y los servicios lo leen de allí.</w:t>
      </w:r>
    </w:p>
    <w:p>
      <w:pPr>
        <w:jc w:val="both"/>
        <w:spacing w:line="480" w:lineRule="auto" w:after="0"/>
      </w:pPr>
      <w:r>
        <w:rPr>
          <w:rFonts w:ascii="Times New Roman" w:hAnsi="Times New Roman" w:cs="Times New Roman" w:eastAsia="Times New Roman"/>
          <w:b w:val="0"/>
          <w:i w:val="0"/>
          <w:sz w:val="24"/>
        </w:rPr>
        <w:t>La segunda es que se apagó el usuario en memoria que Spring Boot crea por omisión cuando no encuentra otro mecanismo de autenticación. Dejarlo habría significado una credencial válida, impresa en el registro de arranque, que nadie dio de alta.</w:t>
      </w:r>
    </w:p>
    <w:p>
      <w:pPr>
        <w:jc w:val="both"/>
        <w:spacing w:line="480" w:lineRule="auto" w:after="0"/>
      </w:pPr>
      <w:r>
        <w:rPr>
          <w:rFonts w:ascii="Times New Roman" w:hAnsi="Times New Roman" w:cs="Times New Roman" w:eastAsia="Times New Roman"/>
          <w:b w:val="0"/>
          <w:i w:val="0"/>
          <w:sz w:val="24"/>
        </w:rPr>
        <w:t>La tercera es que la cadena de integración continua empezó a ejecutar el backend contra un MySQL real con el esquema aplicado, y no contra una base en memoria. Como la aplicación arranca con validación de esquema activa, el contexto se niega a levantar si una entidad y su tabla discrepan. Eso convierte cada entrega en una comprobación de que el mapeo sigue siendo correcto, que es justamente el riesgo que el informe de inicio había declarado como no cubierto.</w:t>
      </w:r>
    </w:p>
    <w:p>
      <w:pPr>
        <w:pStyle w:val="Heading2"/>
        <w:jc w:val="left"/>
        <w:spacing w:line="480" w:lineRule="auto" w:after="0"/>
      </w:pPr>
      <w:r>
        <w:rPr>
          <w:rFonts w:ascii="Times New Roman" w:hAnsi="Times New Roman" w:cs="Times New Roman" w:eastAsia="Times New Roman"/>
          <w:b/>
          <w:i w:val="0"/>
          <w:sz w:val="24"/>
        </w:rPr>
        <w:t>3.4 Tercera iteración: catálogo, proveedores, front e imágenes</w:t>
      </w:r>
    </w:p>
    <w:p>
      <w:pPr>
        <w:jc w:val="both"/>
        <w:spacing w:line="480" w:lineRule="auto" w:after="0"/>
      </w:pPr>
      <w:r>
        <w:rPr>
          <w:rFonts w:ascii="Times New Roman" w:hAnsi="Times New Roman" w:cs="Times New Roman" w:eastAsia="Times New Roman"/>
          <w:b w:val="0"/>
          <w:i w:val="0"/>
          <w:sz w:val="24"/>
        </w:rPr>
        <w:t>Del 14 al 16 de octubre se construyó el catálogo de productos con sus categorías y proveedores, el front web en React con las pantallas de acceso y catálogo, y la gestión de imágenes de producto y logo de empresa.</w:t>
      </w:r>
    </w:p>
    <w:p>
      <w:pPr>
        <w:jc w:val="both"/>
        <w:spacing w:line="480" w:lineRule="auto" w:after="0"/>
      </w:pPr>
      <w:r>
        <w:rPr>
          <w:rFonts w:ascii="Times New Roman" w:hAnsi="Times New Roman" w:cs="Times New Roman" w:eastAsia="Times New Roman"/>
          <w:b w:val="0"/>
          <w:i w:val="0"/>
          <w:sz w:val="24"/>
        </w:rPr>
        <w:t>Los precios del catálogo se leen de la vista v_precios_producto y no se calculan en el backend, conforme a la decisión registrada en el ADR-0003. Al registrar un producto se cerró además un hueco que el aislamiento por empresa no cubría por sí solo: un producto podía quedar asociado al proveedor de otra empresa si el identificador se enviaba a mano. La petición está bien formada y el proveedor existe; lo que no es válido es usarlo desde esa empresa, de modo que la respuesta es 422 y no 404.</w:t>
      </w:r>
    </w:p>
    <w:p>
      <w:pPr>
        <w:jc w:val="both"/>
        <w:spacing w:line="480" w:lineRule="auto" w:after="0"/>
      </w:pPr>
      <w:r>
        <w:rPr>
          <w:rFonts w:ascii="Times New Roman" w:hAnsi="Times New Roman" w:cs="Times New Roman" w:eastAsia="Times New Roman"/>
          <w:b w:val="0"/>
          <w:i w:val="0"/>
          <w:sz w:val="24"/>
        </w:rPr>
        <w:t>La gestión de imágenes concentró la mayor parte de la iteración y produjo la decisión de arquitectura del periodo, que la sección 5 desarrolla.</w:t>
      </w:r>
    </w:p>
    <w:p>
      <w:pPr>
        <w:pStyle w:val="Heading1"/>
        <w:jc w:val="left"/>
        <w:spacing w:line="480" w:lineRule="auto" w:after="0"/>
      </w:pPr>
      <w:r>
        <w:rPr>
          <w:rFonts w:ascii="Times New Roman" w:hAnsi="Times New Roman" w:cs="Times New Roman" w:eastAsia="Times New Roman"/>
          <w:b/>
          <w:i w:val="0"/>
          <w:sz w:val="24"/>
        </w:rPr>
        <w:t>4. Lo Planificado Frente a lo Ejecutado</w:t>
      </w:r>
    </w:p>
    <w:p>
      <w:pPr>
        <w:jc w:val="both"/>
        <w:spacing w:line="480" w:lineRule="auto" w:after="0"/>
      </w:pPr>
      <w:r>
        <w:rPr>
          <w:rFonts w:ascii="Times New Roman" w:hAnsi="Times New Roman" w:cs="Times New Roman" w:eastAsia="Times New Roman"/>
          <w:b w:val="0"/>
          <w:i w:val="0"/>
          <w:sz w:val="24"/>
        </w:rPr>
        <w:t>El plan de trabajo del informe de inicio asignó a cada iteración un objetivo y un conjunto de requisitos. La ejecución no siguió ese reparto. La Tabla 4 contrasta ambos.</w:t>
      </w:r>
    </w:p>
    <w:p>
      <w:pPr>
        <w:jc w:val="both"/>
        <w:keepNext/>
        <w:spacing w:line="480" w:lineRule="auto" w:after="0"/>
      </w:pPr>
      <w:r>
        <w:rPr>
          <w:rFonts w:ascii="Times New Roman" w:hAnsi="Times New Roman" w:cs="Times New Roman" w:eastAsia="Times New Roman"/>
          <w:b w:val="0"/>
          <w:i w:val="0"/>
          <w:sz w:val="20"/>
        </w:rPr>
        <w:t>Tabla 4</w:t>
      </w:r>
    </w:p>
    <w:p>
      <w:pPr>
        <w:jc w:val="both"/>
        <w:keepNext/>
        <w:spacing w:line="480" w:lineRule="auto" w:after="0"/>
      </w:pPr>
      <w:r>
        <w:rPr>
          <w:rFonts w:ascii="Times New Roman" w:hAnsi="Times New Roman" w:cs="Times New Roman" w:eastAsia="Times New Roman"/>
          <w:b w:val="0"/>
          <w:i w:val="0"/>
          <w:sz w:val="20"/>
        </w:rPr>
        <w:t>Desviación entre el contenido planificado y el ejecutado</w:t>
      </w:r>
    </w:p>
    <w:tbl>
      <w:tblPr>
        <w:tblW w:type="dxa" w:w="9360"/>
        <w:tblLayout w:type="fixed"/>
        <w:tblLook w:firstColumn="1" w:firstRow="1" w:lastColumn="0" w:lastRow="0" w:noHBand="0" w:noVBand="1" w:val="04A0"/>
      </w:tblPr>
      <w:tblGrid>
        <w:gridCol w:w="2340"/>
        <w:gridCol w:w="2340"/>
        <w:gridCol w:w="2340"/>
        <w:gridCol w:w="2340"/>
      </w:tblGrid>
      <w:tr>
        <w:trPr>
          <w:tblHeader/>
        </w:trPr>
        <w:tc>
          <w:tcPr>
            <w:tcW w:type="dxa" w:w="1029"/>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Iteración</w:t>
            </w:r>
          </w:p>
        </w:tc>
        <w:tc>
          <w:tcPr>
            <w:tcW w:type="dxa" w:w="2527"/>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Contenido planificado</w:t>
            </w:r>
          </w:p>
        </w:tc>
        <w:tc>
          <w:tcPr>
            <w:tcW w:type="dxa" w:w="2620"/>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Contenido ejecutado</w:t>
            </w:r>
          </w:p>
        </w:tc>
        <w:tc>
          <w:tcPr>
            <w:tcW w:type="dxa" w:w="3182"/>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Desviación</w:t>
            </w:r>
          </w:p>
        </w:tc>
      </w:tr>
      <w:tr>
        <w:tc>
          <w:tcPr>
            <w:tcW w:type="dxa" w:w="102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0</w:t>
            </w:r>
          </w:p>
        </w:tc>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Entorno, repositorio e integración continua</w:t>
            </w:r>
          </w:p>
        </w:tc>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Ejecutado, junto con el primer corte de seguridad</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Ninguna</w:t>
            </w:r>
          </w:p>
        </w:tc>
      </w:tr>
      <w:tr>
        <w:tc>
          <w:tcPr>
            <w:tcW w:type="dxa" w:w="102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1</w:t>
            </w:r>
          </w:p>
        </w:tc>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Modelo multiempresa, entidad empresa y migraciones (RF-01, RF-02)</w:t>
            </w:r>
          </w:p>
        </w:tc>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Modelo de seguridad y autenticación (RF-07, RF-10, RF-11)</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Contenido distinto.</w:t>
            </w:r>
            <w:r>
              <w:rPr>
                <w:rFonts w:ascii="Times New Roman" w:hAnsi="Times New Roman" w:cs="Times New Roman" w:eastAsia="Times New Roman"/>
                <w:b w:val="0"/>
                <w:i w:val="0"/>
                <w:sz w:val="20"/>
              </w:rPr>
              <w:t xml:space="preserve"> El modelo multiempresa se construyó durante la revisión de la especificación, no como iteración de desarrollo</w:t>
            </w:r>
          </w:p>
        </w:tc>
      </w:tr>
      <w:tr>
        <w:tc>
          <w:tcPr>
            <w:tcW w:type="dxa" w:w="102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2</w:t>
            </w:r>
          </w:p>
        </w:tc>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Autenticación, roles y aislamiento (RF-07 a RF-09, RF-12)</w:t>
            </w:r>
          </w:p>
        </w:tc>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Sesión, autorización por rol y contexto de empresa (RF-07 a RF-09)</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Parcial.</w:t>
            </w:r>
            <w:r>
              <w:rPr>
                <w:rFonts w:ascii="Times New Roman" w:hAnsi="Times New Roman" w:cs="Times New Roman" w:eastAsia="Times New Roman"/>
                <w:b w:val="0"/>
                <w:i w:val="0"/>
                <w:sz w:val="20"/>
              </w:rPr>
              <w:t xml:space="preserve"> RF-12, la administración de usuarios por el administrador de empresa, quedó reducida al desbloqueo de cuentas</w:t>
            </w:r>
          </w:p>
        </w:tc>
      </w:tr>
      <w:tr>
        <w:tc>
          <w:tcPr>
            <w:tcW w:type="dxa" w:w="1029"/>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3</w:t>
            </w:r>
          </w:p>
        </w:tc>
        <w:tc>
          <w:tcPr>
            <w:tcW w:type="dxa" w:w="2527"/>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Plataforma: activación, suspensión y datos tributarios (RF-03 a RF-06)</w:t>
            </w:r>
          </w:p>
        </w:tc>
        <w:tc>
          <w:tcPr>
            <w:tcW w:type="dxa" w:w="2620"/>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Catálogo, proveedores, front web e imágenes (RF-18, RF-20, RF-33, RF-63, RF-64)</w:t>
            </w:r>
          </w:p>
        </w:tc>
        <w:tc>
          <w:tcPr>
            <w:tcW w:type="dxa" w:w="3182"/>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Contenido sustituido.</w:t>
            </w:r>
            <w:r>
              <w:rPr>
                <w:rFonts w:ascii="Times New Roman" w:hAnsi="Times New Roman" w:cs="Times New Roman" w:eastAsia="Times New Roman"/>
                <w:b w:val="0"/>
                <w:i w:val="0"/>
                <w:sz w:val="20"/>
              </w:rPr>
              <w:t xml:space="preserve"> Ninguno de los cuatro requisitos previstos se abordó; se ejecutó en su lugar parte del Sprint 4 y dos requisitos nuevos</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Los requisitos RF-63 y RF-64 no figuran en la Tabla 8 del informe de inicio, que especifica sesenta y dos. La sección 4.2 explica su origen. Elaboración propia.</w:t>
      </w:r>
    </w:p>
    <w:p>
      <w:pPr>
        <w:pStyle w:val="Heading2"/>
        <w:jc w:val="left"/>
        <w:spacing w:line="480" w:lineRule="auto" w:after="0"/>
      </w:pPr>
      <w:r>
        <w:rPr>
          <w:rFonts w:ascii="Times New Roman" w:hAnsi="Times New Roman" w:cs="Times New Roman" w:eastAsia="Times New Roman"/>
          <w:b/>
          <w:i w:val="0"/>
          <w:sz w:val="24"/>
        </w:rPr>
        <w:t>4.1 Qué se ejecutó de más y qué de menos</w:t>
      </w:r>
    </w:p>
    <w:p>
      <w:pPr>
        <w:jc w:val="both"/>
        <w:spacing w:line="480" w:lineRule="auto" w:after="0"/>
      </w:pPr>
      <w:r>
        <w:rPr>
          <w:rFonts w:ascii="Times New Roman" w:hAnsi="Times New Roman" w:cs="Times New Roman" w:eastAsia="Times New Roman"/>
          <w:b w:val="0"/>
          <w:i w:val="0"/>
          <w:sz w:val="24"/>
        </w:rPr>
        <w:t>Frente al plan, el periodo entregó de menos los seis requisitos del módulo de plataforma —el alta, la activación y la suspensión de empresas, y los datos tributarios de alcance nacional— que estaban previstos para la tercera iteración. El esquema que los sostiene está construido y verificado desde la migración V10, pero no hay servicios de la API que los expongan, de modo que hoy una empresa se da de alta escribiendo en la base de datos.</w:t>
      </w:r>
    </w:p>
    <w:p>
      <w:pPr>
        <w:jc w:val="both"/>
        <w:spacing w:line="480" w:lineRule="auto" w:after="0"/>
      </w:pPr>
      <w:r>
        <w:rPr>
          <w:rFonts w:ascii="Times New Roman" w:hAnsi="Times New Roman" w:cs="Times New Roman" w:eastAsia="Times New Roman"/>
          <w:b w:val="0"/>
          <w:i w:val="0"/>
          <w:sz w:val="24"/>
        </w:rPr>
        <w:t>Y entregó de más cinco cosas. Tres son requisitos de prioridad media adelantados sin costo apreciable porque el trabajo adyacente ya los dejaba al alcance: el bloqueo de cuentas por intentos fallidos (RF-10), la auditoría de accesos (RF-11) y la presentación del precio de contado junto al de crédito (RF-33). Las otras dos son requisitos que la especificación no contemplaba.</w:t>
      </w:r>
    </w:p>
    <w:p>
      <w:pPr>
        <w:pStyle w:val="Heading2"/>
        <w:jc w:val="left"/>
        <w:spacing w:line="480" w:lineRule="auto" w:after="0"/>
      </w:pPr>
      <w:r>
        <w:rPr>
          <w:rFonts w:ascii="Times New Roman" w:hAnsi="Times New Roman" w:cs="Times New Roman" w:eastAsia="Times New Roman"/>
          <w:b/>
          <w:i w:val="0"/>
          <w:sz w:val="24"/>
        </w:rPr>
        <w:t>4.2 Dos requisitos que la especificación no tenía</w:t>
      </w:r>
    </w:p>
    <w:p>
      <w:pPr>
        <w:jc w:val="both"/>
        <w:spacing w:line="480" w:lineRule="auto" w:after="0"/>
      </w:pPr>
      <w:r>
        <w:rPr>
          <w:rFonts w:ascii="Times New Roman" w:hAnsi="Times New Roman" w:cs="Times New Roman" w:eastAsia="Times New Roman"/>
          <w:b w:val="0"/>
          <w:i w:val="0"/>
          <w:sz w:val="24"/>
        </w:rPr>
        <w:t>Las imágenes de producto y el logo de empresa se identifican en el repositorio como RF-63 y RF-64, pero la Tabla 8 del informe de inicio especifica sesenta y dos requisitos y no los incluye. Aparecieron durante la construcción: el catálogo exportable y la factura necesitan el logo de la empresa emisora, y un catálogo de productos de tecnología sin fotografía no es utilizable por un vendedor.</w:t>
      </w:r>
    </w:p>
    <w:p>
      <w:pPr>
        <w:jc w:val="both"/>
        <w:spacing w:line="480" w:lineRule="auto" w:after="0"/>
      </w:pPr>
      <w:r>
        <w:rPr>
          <w:rFonts w:ascii="Times New Roman" w:hAnsi="Times New Roman" w:cs="Times New Roman" w:eastAsia="Times New Roman"/>
          <w:b w:val="0"/>
          <w:i w:val="0"/>
          <w:sz w:val="24"/>
        </w:rPr>
        <w:t>Son requisitos legítimos y el trabajo hecho sobre ellos es sólido, pero su incorporación no siguió el procedimiento que el propio proyecto se dio. Entraron por el código y por el esquema —las restricciones que los hacen cumplir viven en las migraciones V12, V13 y V14— sin pasar antes por la especificación. El resultado es que la tabla de requisitos del informe de inicio ya no describe el sistema que se está construyendo. La sección 8 lo registra como deuda documental con su corrección prevista.</w:t>
      </w:r>
    </w:p>
    <w:p>
      <w:pPr>
        <w:pStyle w:val="Heading2"/>
        <w:jc w:val="left"/>
        <w:spacing w:line="480" w:lineRule="auto" w:after="0"/>
      </w:pPr>
      <w:r>
        <w:rPr>
          <w:rFonts w:ascii="Times New Roman" w:hAnsi="Times New Roman" w:cs="Times New Roman" w:eastAsia="Times New Roman"/>
          <w:b/>
          <w:i w:val="0"/>
          <w:sz w:val="24"/>
        </w:rPr>
        <w:t>4.3 Causas de la desviación</w:t>
      </w:r>
    </w:p>
    <w:p>
      <w:pPr>
        <w:pStyle w:val="ListParagraph"/>
        <w:numPr>
          <w:ilvl w:val="0"/>
          <w:numId w:val="2"/>
        </w:numPr>
        <w:jc w:val="both"/>
        <w:spacing w:line="480" w:lineRule="auto" w:after="0"/>
      </w:pPr>
      <w:r>
        <w:rPr>
          <w:rFonts w:ascii="Times New Roman" w:hAnsi="Times New Roman" w:cs="Times New Roman" w:eastAsia="Times New Roman"/>
          <w:b/>
          <w:i w:val="0"/>
          <w:sz w:val="24"/>
        </w:rPr>
        <w:t>La revisión de la especificación consumió tres de las cuatro semanas.</w:t>
      </w:r>
      <w:r>
        <w:rPr>
          <w:rFonts w:ascii="Times New Roman" w:hAnsi="Times New Roman" w:cs="Times New Roman" w:eastAsia="Times New Roman"/>
          <w:b w:val="0"/>
          <w:i w:val="0"/>
          <w:sz w:val="24"/>
        </w:rPr>
        <w:t xml:space="preserve"> Es la causa principal y no se repetirá, porque el replanteamiento que la motivó ya ocurrió. Descontado ese intervalo, el desarrollo efectivo del periodo fueron diez días hábiles.</w:t>
      </w:r>
    </w:p>
    <w:p>
      <w:pPr>
        <w:pStyle w:val="ListParagraph"/>
        <w:numPr>
          <w:ilvl w:val="0"/>
          <w:numId w:val="2"/>
        </w:numPr>
        <w:jc w:val="both"/>
        <w:spacing w:line="480" w:lineRule="auto" w:after="0"/>
      </w:pPr>
      <w:r>
        <w:rPr>
          <w:rFonts w:ascii="Times New Roman" w:hAnsi="Times New Roman" w:cs="Times New Roman" w:eastAsia="Times New Roman"/>
          <w:b/>
          <w:i w:val="0"/>
          <w:sz w:val="24"/>
        </w:rPr>
        <w:t>El orden del plan no resistió el contacto con la construcción.</w:t>
      </w:r>
      <w:r>
        <w:rPr>
          <w:rFonts w:ascii="Times New Roman" w:hAnsi="Times New Roman" w:cs="Times New Roman" w:eastAsia="Times New Roman"/>
          <w:b w:val="0"/>
          <w:i w:val="0"/>
          <w:sz w:val="24"/>
        </w:rPr>
        <w:t xml:space="preserve"> El plan ponía el módulo de plataforma antes que el catálogo. En la práctica, el catálogo era la única parte del sistema que permitía comprobar que el aislamiento entre empresas funcionaba de verdad sobre datos reales, de modo que construirlo antes tenía valor de verificación y no solo de avance.</w:t>
      </w:r>
    </w:p>
    <w:p>
      <w:pPr>
        <w:pStyle w:val="ListParagraph"/>
        <w:numPr>
          <w:ilvl w:val="0"/>
          <w:numId w:val="2"/>
        </w:numPr>
        <w:jc w:val="both"/>
        <w:spacing w:line="480" w:lineRule="auto" w:after="0"/>
      </w:pPr>
      <w:r>
        <w:rPr>
          <w:rFonts w:ascii="Times New Roman" w:hAnsi="Times New Roman" w:cs="Times New Roman" w:eastAsia="Times New Roman"/>
          <w:b/>
          <w:i w:val="0"/>
          <w:sz w:val="24"/>
        </w:rPr>
        <w:t>Dos requisitos nuevos entraron sin planificarse.</w:t>
      </w:r>
      <w:r>
        <w:rPr>
          <w:rFonts w:ascii="Times New Roman" w:hAnsi="Times New Roman" w:cs="Times New Roman" w:eastAsia="Times New Roman"/>
          <w:b w:val="0"/>
          <w:i w:val="0"/>
          <w:sz w:val="24"/>
        </w:rPr>
        <w:t xml:space="preserve"> Ocuparon la mayor parte de la tercera iteración. La decisión de atenderlos fue correcta en cuanto al contenido y defectuosa en cuanto al procedimiento.</w:t>
      </w:r>
    </w:p>
    <w:p>
      <w:pPr>
        <w:pStyle w:val="Heading2"/>
        <w:jc w:val="left"/>
        <w:spacing w:line="480" w:lineRule="auto" w:after="0"/>
      </w:pPr>
      <w:r>
        <w:rPr>
          <w:rFonts w:ascii="Times New Roman" w:hAnsi="Times New Roman" w:cs="Times New Roman" w:eastAsia="Times New Roman"/>
          <w:b/>
          <w:i w:val="0"/>
          <w:sz w:val="24"/>
        </w:rPr>
        <w:t>4.4 Replanificación</w:t>
      </w:r>
    </w:p>
    <w:p>
      <w:pPr>
        <w:jc w:val="both"/>
        <w:spacing w:line="480" w:lineRule="auto" w:after="0"/>
      </w:pPr>
      <w:r>
        <w:rPr>
          <w:rFonts w:ascii="Times New Roman" w:hAnsi="Times New Roman" w:cs="Times New Roman" w:eastAsia="Times New Roman"/>
          <w:b w:val="0"/>
          <w:i w:val="0"/>
          <w:sz w:val="24"/>
        </w:rPr>
        <w:t>La Tabla 5 reordena las iteraciones restantes a partir del estado real. Dos criterios la gobiernan. El primero es cerrar los módulos abiertos antes de abrir otros, porque un módulo a medias obliga a volver sobre él y a releer lo que ya se había entendido. El segundo es adelantar el módulo de importación de listas de precios respecto del plan original, porque es el componente que el informe de inicio identificó como diferenciador del proyecto y conviene que disponga de margen para equivocarse.</w:t>
      </w:r>
    </w:p>
    <w:p>
      <w:pPr>
        <w:jc w:val="both"/>
        <w:keepNext/>
        <w:spacing w:line="480" w:lineRule="auto" w:after="0"/>
      </w:pPr>
      <w:r>
        <w:rPr>
          <w:rFonts w:ascii="Times New Roman" w:hAnsi="Times New Roman" w:cs="Times New Roman" w:eastAsia="Times New Roman"/>
          <w:b w:val="0"/>
          <w:i w:val="0"/>
          <w:sz w:val="20"/>
        </w:rPr>
        <w:t>Tabla 5</w:t>
      </w:r>
    </w:p>
    <w:p>
      <w:pPr>
        <w:jc w:val="both"/>
        <w:keepNext/>
        <w:spacing w:line="480" w:lineRule="auto" w:after="0"/>
      </w:pPr>
      <w:r>
        <w:rPr>
          <w:rFonts w:ascii="Times New Roman" w:hAnsi="Times New Roman" w:cs="Times New Roman" w:eastAsia="Times New Roman"/>
          <w:b w:val="0"/>
          <w:i w:val="0"/>
          <w:sz w:val="20"/>
        </w:rPr>
        <w:t>Replanificación de las iteraciones siguientes</w:t>
      </w:r>
    </w:p>
    <w:tbl>
      <w:tblPr>
        <w:tblW w:type="dxa" w:w="9360"/>
        <w:tblLayout w:type="fixed"/>
        <w:tblLook w:firstColumn="1" w:firstRow="1" w:lastColumn="0" w:lastRow="0" w:noHBand="0" w:noVBand="1" w:val="04A0"/>
      </w:tblPr>
      <w:tblGrid>
        <w:gridCol w:w="2340"/>
        <w:gridCol w:w="2340"/>
        <w:gridCol w:w="2340"/>
        <w:gridCol w:w="2340"/>
      </w:tblGrid>
      <w:tr>
        <w:trPr>
          <w:tblHeader/>
        </w:trPr>
        <w:tc>
          <w:tcPr>
            <w:tcW w:type="dxa" w:w="1029"/>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Iteración</w:t>
            </w:r>
          </w:p>
        </w:tc>
        <w:tc>
          <w:tcPr>
            <w:tcW w:type="dxa" w:w="4680"/>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Objetivo del incremento</w:t>
            </w:r>
          </w:p>
        </w:tc>
        <w:tc>
          <w:tcPr>
            <w:tcW w:type="dxa" w:w="2340"/>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Requisitos</w:t>
            </w:r>
          </w:p>
        </w:tc>
        <w:tc>
          <w:tcPr>
            <w:tcW w:type="dxa" w:w="1310"/>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Duración</w:t>
            </w:r>
          </w:p>
        </w:tc>
      </w:tr>
      <w:tr>
        <w:tc>
          <w:tcPr>
            <w:tcW w:type="dxa" w:w="102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4</w:t>
            </w:r>
          </w:p>
        </w:tc>
        <w:tc>
          <w:tcPr>
            <w:tcW w:type="dxa" w:w="468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Cerrar el catálogo: edición de producto, filtros por categoría, proveedor y existencia, y administración completa de categorías</w:t>
            </w:r>
          </w:p>
        </w:tc>
        <w:tc>
          <w:tcPr>
            <w:tcW w:type="dxa" w:w="234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RF-13, RF-15, RF-16, RF-19</w:t>
            </w:r>
          </w:p>
        </w:tc>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 semana</w:t>
            </w:r>
          </w:p>
        </w:tc>
      </w:tr>
      <w:tr>
        <w:tc>
          <w:tcPr>
            <w:tcW w:type="dxa" w:w="102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5</w:t>
            </w:r>
          </w:p>
        </w:tc>
        <w:tc>
          <w:tcPr>
            <w:tcW w:type="dxa" w:w="468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Módulo de plataforma: alta, activación y suspensión de empresas, datos tributarios nacionales y administración de usuarios por empresa</w:t>
            </w:r>
          </w:p>
        </w:tc>
        <w:tc>
          <w:tcPr>
            <w:tcW w:type="dxa" w:w="234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RF-01 a RF-03, RF-05, RF-12</w:t>
            </w:r>
          </w:p>
        </w:tc>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2 semanas</w:t>
            </w:r>
          </w:p>
        </w:tc>
      </w:tr>
      <w:tr>
        <w:tc>
          <w:tcPr>
            <w:tcW w:type="dxa" w:w="102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6</w:t>
            </w:r>
          </w:p>
        </w:tc>
        <w:tc>
          <w:tcPr>
            <w:tcW w:type="dxa" w:w="468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Compras: órdenes, recepciones y movimientos de inventario</w:t>
            </w:r>
          </w:p>
        </w:tc>
        <w:tc>
          <w:tcPr>
            <w:tcW w:type="dxa" w:w="234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RF-22, RF-23, RF-48, RF-49</w:t>
            </w:r>
          </w:p>
        </w:tc>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2 semanas</w:t>
            </w:r>
          </w:p>
        </w:tc>
      </w:tr>
      <w:tr>
        <w:tc>
          <w:tcPr>
            <w:tcW w:type="dxa" w:w="102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7</w:t>
            </w:r>
          </w:p>
        </w:tc>
        <w:tc>
          <w:tcPr>
            <w:tcW w:type="dxa" w:w="468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Motor de precios y reglas de margen</w:t>
            </w:r>
          </w:p>
        </w:tc>
        <w:tc>
          <w:tcPr>
            <w:tcW w:type="dxa" w:w="234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RF-30 a RF-32, RF-34, RF-35</w:t>
            </w:r>
          </w:p>
        </w:tc>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2 semanas</w:t>
            </w:r>
          </w:p>
        </w:tc>
      </w:tr>
      <w:tr>
        <w:tc>
          <w:tcPr>
            <w:tcW w:type="dxa" w:w="102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8</w:t>
            </w:r>
          </w:p>
        </w:tc>
        <w:tc>
          <w:tcPr>
            <w:tcW w:type="dxa" w:w="468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Importación de listas de precios desde archivo</w:t>
            </w:r>
          </w:p>
        </w:tc>
        <w:tc>
          <w:tcPr>
            <w:tcW w:type="dxa" w:w="234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RF-24, RF-26 a RF-28</w:t>
            </w:r>
          </w:p>
        </w:tc>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3 semanas</w:t>
            </w:r>
          </w:p>
        </w:tc>
      </w:tr>
      <w:tr>
        <w:tc>
          <w:tcPr>
            <w:tcW w:type="dxa" w:w="102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9</w:t>
            </w:r>
          </w:p>
        </w:tc>
        <w:tc>
          <w:tcPr>
            <w:tcW w:type="dxa" w:w="468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Punto de pago, medios de pago y cierre de caja</w:t>
            </w:r>
          </w:p>
        </w:tc>
        <w:tc>
          <w:tcPr>
            <w:tcW w:type="dxa" w:w="234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RF-41, RF-43 a RF-45</w:t>
            </w:r>
          </w:p>
        </w:tc>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2 semanas</w:t>
            </w:r>
          </w:p>
        </w:tc>
      </w:tr>
      <w:tr>
        <w:tc>
          <w:tcPr>
            <w:tcW w:type="dxa" w:w="102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10</w:t>
            </w:r>
          </w:p>
        </w:tc>
        <w:tc>
          <w:tcPr>
            <w:tcW w:type="dxa" w:w="468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Clientes de escritorio y móvil con sincronización de catálogo</w:t>
            </w:r>
          </w:p>
        </w:tc>
        <w:tc>
          <w:tcPr>
            <w:tcW w:type="dxa" w:w="234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RF-16, RF-18, RF-51</w:t>
            </w:r>
          </w:p>
        </w:tc>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2 semanas</w:t>
            </w:r>
          </w:p>
        </w:tc>
      </w:tr>
      <w:tr>
        <w:tc>
          <w:tcPr>
            <w:tcW w:type="dxa" w:w="102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11</w:t>
            </w:r>
          </w:p>
        </w:tc>
        <w:tc>
          <w:tcPr>
            <w:tcW w:type="dxa" w:w="468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Operación sin conexión y resolución de descuadres</w:t>
            </w:r>
          </w:p>
        </w:tc>
        <w:tc>
          <w:tcPr>
            <w:tcW w:type="dxa" w:w="234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RF-52 a RF-56</w:t>
            </w:r>
          </w:p>
        </w:tc>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3 semanas</w:t>
            </w:r>
          </w:p>
        </w:tc>
      </w:tr>
      <w:tr>
        <w:tc>
          <w:tcPr>
            <w:tcW w:type="dxa" w:w="1029"/>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12</w:t>
            </w:r>
          </w:p>
        </w:tc>
        <w:tc>
          <w:tcPr>
            <w:tcW w:type="dxa" w:w="4680"/>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Cotización, reportes y facturación electrónica</w:t>
            </w:r>
          </w:p>
        </w:tc>
        <w:tc>
          <w:tcPr>
            <w:tcW w:type="dxa" w:w="2340"/>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RF-37 a RF-40, RF-46, RF-47, RF-57 a RF-59</w:t>
            </w:r>
          </w:p>
        </w:tc>
        <w:tc>
          <w:tcPr>
            <w:tcW w:type="dxa" w:w="1310"/>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3 semanas</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Veinte semanas a partir de la fecha de corte. El informe de inicio anunciaba un plan de dieciocho semanas y enumeraba iteraciones que sumaban veintidós; la sección 8 registra esa inconsistencia. La importación desde servicio web de proveedor (RF-29) sigue condicionada a que exista un proveedor que ofrezca esa interfaz. Elaboración propia.</w:t>
      </w:r>
    </w:p>
    <w:p>
      <w:pPr>
        <w:pStyle w:val="Heading1"/>
        <w:jc w:val="left"/>
        <w:spacing w:line="480" w:lineRule="auto" w:after="0"/>
      </w:pPr>
      <w:r>
        <w:rPr>
          <w:rFonts w:ascii="Times New Roman" w:hAnsi="Times New Roman" w:cs="Times New Roman" w:eastAsia="Times New Roman"/>
          <w:b/>
          <w:i w:val="0"/>
          <w:sz w:val="24"/>
        </w:rPr>
        <w:t>5. Resultados Técnicos del Periodo</w:t>
      </w:r>
    </w:p>
    <w:p>
      <w:pPr>
        <w:jc w:val="both"/>
        <w:spacing w:line="480" w:lineRule="auto" w:after="0"/>
      </w:pPr>
      <w:r>
        <w:rPr>
          <w:rFonts w:ascii="Times New Roman" w:hAnsi="Times New Roman" w:cs="Times New Roman" w:eastAsia="Times New Roman"/>
          <w:b w:val="0"/>
          <w:i w:val="0"/>
          <w:sz w:val="24"/>
        </w:rPr>
        <w:t>Esta sección desarrolla las cuatro decisiones del periodo cuyo alcance excede la funcionalidad que las motivó. Se eligieron porque condicionan trabajo futuro: volver sobre ellas después costaría considerablemente más que tomarlas bien ahora.</w:t>
      </w:r>
    </w:p>
    <w:p>
      <w:pPr>
        <w:pStyle w:val="Heading2"/>
        <w:jc w:val="left"/>
        <w:spacing w:line="480" w:lineRule="auto" w:after="0"/>
      </w:pPr>
      <w:r>
        <w:rPr>
          <w:rFonts w:ascii="Times New Roman" w:hAnsi="Times New Roman" w:cs="Times New Roman" w:eastAsia="Times New Roman"/>
          <w:b/>
          <w:i w:val="0"/>
          <w:sz w:val="24"/>
        </w:rPr>
        <w:t>5.1 El aislamiento entre empresas se verifica, no se promete</w:t>
      </w:r>
    </w:p>
    <w:p>
      <w:pPr>
        <w:jc w:val="both"/>
        <w:spacing w:line="480" w:lineRule="auto" w:after="0"/>
      </w:pPr>
      <w:r>
        <w:rPr>
          <w:rFonts w:ascii="Times New Roman" w:hAnsi="Times New Roman" w:cs="Times New Roman" w:eastAsia="Times New Roman"/>
          <w:b w:val="0"/>
          <w:i w:val="0"/>
          <w:sz w:val="24"/>
        </w:rPr>
        <w:t>El ADR-0011 decidió separar a los inquilinos de la plataforma por una columna empresa_id dentro de una sola base de datos. La objeción conocida de ese enfoque es que el aislamiento depende de que toda consulta recuerde filtrar, y una consulta que lo olvide no falla: devuelve datos de más, en silencio.</w:t>
      </w:r>
    </w:p>
    <w:p>
      <w:pPr>
        <w:jc w:val="both"/>
        <w:spacing w:line="480" w:lineRule="auto" w:after="0"/>
      </w:pPr>
      <w:r>
        <w:rPr>
          <w:rFonts w:ascii="Times New Roman" w:hAnsi="Times New Roman" w:cs="Times New Roman" w:eastAsia="Times New Roman"/>
          <w:b w:val="0"/>
          <w:i w:val="0"/>
          <w:sz w:val="24"/>
        </w:rPr>
        <w:t>El periodo cerró esa objeción con tres mecanismos encadenados. En el esquema, veinticuatro claves foráneas compuestas impiden que una fila apunte a otra de distinta empresa, de modo que el motor rechaza la inconsistencia aunque la aplicación la intente. En la aplicación, la empresa se toma del contexto de la sesión y no de la petición. Y en la cadena de integración continua, un guion levanta un MySQL limpio, aplica las catorce migraciones, siembra dos empresas e intenta las operaciones que no deberían ser posibles; si alguna lo es, la entrega falla.</w:t>
      </w:r>
    </w:p>
    <w:p>
      <w:pPr>
        <w:jc w:val="both"/>
        <w:spacing w:line="480" w:lineRule="auto" w:after="0"/>
      </w:pPr>
      <w:r>
        <w:rPr>
          <w:rFonts w:ascii="Times New Roman" w:hAnsi="Times New Roman" w:cs="Times New Roman" w:eastAsia="Times New Roman"/>
          <w:b w:val="0"/>
          <w:i w:val="0"/>
          <w:sz w:val="24"/>
        </w:rPr>
        <w:t>La diferencia es de naturaleza y no de grado: la invariante deja de descansar en la disciplina de quien escribe cada consulta.</w:t>
      </w:r>
    </w:p>
    <w:p>
      <w:pPr>
        <w:pStyle w:val="Heading2"/>
        <w:jc w:val="left"/>
        <w:spacing w:line="480" w:lineRule="auto" w:after="0"/>
      </w:pPr>
      <w:r>
        <w:rPr>
          <w:rFonts w:ascii="Times New Roman" w:hAnsi="Times New Roman" w:cs="Times New Roman" w:eastAsia="Times New Roman"/>
          <w:b/>
          <w:i w:val="0"/>
          <w:sz w:val="24"/>
        </w:rPr>
        <w:t>5.2 La imagen se normaliza al subirla, no al mostrarla</w:t>
      </w:r>
    </w:p>
    <w:p>
      <w:pPr>
        <w:jc w:val="both"/>
        <w:spacing w:line="480" w:lineRule="auto" w:after="0"/>
      </w:pPr>
      <w:r>
        <w:rPr>
          <w:rFonts w:ascii="Times New Roman" w:hAnsi="Times New Roman" w:cs="Times New Roman" w:eastAsia="Times New Roman"/>
          <w:b w:val="0"/>
          <w:i w:val="0"/>
          <w:sz w:val="24"/>
        </w:rPr>
        <w:t>Las imágenes que suben los comercios llegan con medidas y pesos dispares. Ajustarlas en la pantalla con hojas de estilo habría arreglado el catálogo web y dejado a su suerte el catálogo exportable y cualquier cliente futuro, además de obligar al navegador a descargar los diez megapíxeles que produce un teléfono para pintarlos en cuarenta puntos. La transformación se hace, por lo tanto, antes de que el archivo toque el disco. La Figura 3 presenta el canal completo.</w:t>
      </w:r>
    </w:p>
    <w:p>
      <w:pPr>
        <w:jc w:val="both"/>
        <w:keepNext/>
        <w:spacing w:line="480" w:lineRule="auto" w:after="0"/>
      </w:pPr>
      <w:r>
        <w:rPr>
          <w:rFonts w:ascii="Times New Roman" w:hAnsi="Times New Roman" w:cs="Times New Roman" w:eastAsia="Times New Roman"/>
          <w:b w:val="0"/>
          <w:i w:val="0"/>
          <w:sz w:val="20"/>
        </w:rPr>
        <w:t>Figura 3</w:t>
      </w:r>
    </w:p>
    <w:p>
      <w:pPr>
        <w:jc w:val="both"/>
        <w:keepNext/>
        <w:spacing w:line="480" w:lineRule="auto" w:after="0"/>
      </w:pPr>
      <w:r>
        <w:rPr>
          <w:rFonts w:ascii="Times New Roman" w:hAnsi="Times New Roman" w:cs="Times New Roman" w:eastAsia="Times New Roman"/>
          <w:b w:val="0"/>
          <w:i w:val="0"/>
          <w:sz w:val="20"/>
        </w:rPr>
        <w:t>Canal de normalización de una imagen desde que el usuario la elige</w:t>
      </w:r>
    </w:p>
    <w:p>
      <w:pPr>
        <w:jc w:val="center"/>
        <w:keepNext/>
        <w:spacing w:line="240" w:lineRule="auto" w:after="0"/>
      </w:pPr>
      <w:r>
        <w:drawing>
          <wp:inline xmlns:a="http://schemas.openxmlformats.org/drawingml/2006/main" xmlns:pic="http://schemas.openxmlformats.org/drawingml/2006/picture">
            <wp:extent cx="3749039" cy="4647931"/>
            <wp:docPr id="3" name="Picture 3"/>
            <wp:cNvGraphicFramePr>
              <a:graphicFrameLocks noChangeAspect="1"/>
            </wp:cNvGraphicFramePr>
            <a:graphic>
              <a:graphicData uri="http://schemas.openxmlformats.org/drawingml/2006/picture">
                <pic:pic>
                  <pic:nvPicPr>
                    <pic:cNvPr id="0" name="F03_canal_de_normalizacion.png"/>
                    <pic:cNvPicPr/>
                  </pic:nvPicPr>
                  <pic:blipFill>
                    <a:blip r:embed="rId49"/>
                    <a:stretch>
                      <a:fillRect/>
                    </a:stretch>
                  </pic:blipFill>
                  <pic:spPr>
                    <a:xfrm>
                      <a:off x="0" y="0"/>
                      <a:ext cx="3749039" cy="4647931"/>
                    </a:xfrm>
                    <a:prstGeom prst="rect"/>
                  </pic:spPr>
                </pic:pic>
              </a:graphicData>
            </a:graphic>
          </wp:inline>
        </w:drawing>
      </w:r>
    </w:p>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La foto de producto se recorta al centro hasta quedar cuadrada de 800 píxeles; el logo se encoge hasta caber entero en un cuadro de 400 y nunca se recorta, porque recortar un logo le corta el nombre a media empresa. Elaboración propia.</w:t>
      </w:r>
    </w:p>
    <w:p>
      <w:pPr>
        <w:jc w:val="both"/>
        <w:spacing w:line="480" w:lineRule="auto" w:after="0"/>
      </w:pPr>
      <w:r>
        <w:rPr>
          <w:rFonts w:ascii="Times New Roman" w:hAnsi="Times New Roman" w:cs="Times New Roman" w:eastAsia="Times New Roman"/>
          <w:b w:val="0"/>
          <w:i w:val="0"/>
          <w:sz w:val="24"/>
        </w:rPr>
        <w:t xml:space="preserve">Dos detalles del canal no son opcionales. El primero es que la orientación EXIF se aplica </w:t>
      </w:r>
      <w:r>
        <w:rPr>
          <w:rFonts w:ascii="Times New Roman" w:hAnsi="Times New Roman" w:cs="Times New Roman" w:eastAsia="Times New Roman"/>
          <w:b/>
          <w:i w:val="0"/>
          <w:sz w:val="24"/>
        </w:rPr>
        <w:t>antes</w:t>
      </w:r>
      <w:r>
        <w:rPr>
          <w:rFonts w:ascii="Times New Roman" w:hAnsi="Times New Roman" w:cs="Times New Roman" w:eastAsia="Times New Roman"/>
          <w:b w:val="0"/>
          <w:i w:val="0"/>
          <w:sz w:val="24"/>
        </w:rPr>
        <w:t xml:space="preserve"> de redimensionar: un teléfono rara vez gira los píxeles, guarda la fotografía como salió del sensor y anota que va girada, y al reescribir la imagen esa anotación se pierde. Omitir el paso habría puesto de lado fotografías que se veían derechas.</w:t>
      </w:r>
    </w:p>
    <w:p>
      <w:pPr>
        <w:jc w:val="both"/>
        <w:spacing w:line="480" w:lineRule="auto" w:after="0"/>
      </w:pPr>
      <w:r>
        <w:rPr>
          <w:rFonts w:ascii="Times New Roman" w:hAnsi="Times New Roman" w:cs="Times New Roman" w:eastAsia="Times New Roman"/>
          <w:b w:val="0"/>
          <w:i w:val="0"/>
          <w:sz w:val="24"/>
        </w:rPr>
        <w:t>El segundo es que reconocer un formato y saber decodificarlo son preguntas distintas. El sistema rechazaba los archivos WebP con el mensaje de que la imagen estaba dañada, cuando el archivo estaba impecable y lo que faltaba era el decodificador en la máquina. Confundir ambas preguntas convierte una limitación de la instalación en una acusación contra el archivo del usuario. Hoy la lista de formatos admitidos se deriva de lo que la máquina virtual declara saber leer, de modo que instalar la biblioteca que falta habilita el formato sin tocar una línea de código.</w:t>
      </w:r>
    </w:p>
    <w:p>
      <w:pPr>
        <w:pStyle w:val="Heading2"/>
        <w:jc w:val="left"/>
        <w:spacing w:line="480" w:lineRule="auto" w:after="0"/>
      </w:pPr>
      <w:r>
        <w:rPr>
          <w:rFonts w:ascii="Times New Roman" w:hAnsi="Times New Roman" w:cs="Times New Roman" w:eastAsia="Times New Roman"/>
          <w:b/>
          <w:i w:val="0"/>
          <w:sz w:val="24"/>
        </w:rPr>
        <w:t>5.3 Una dirección que nombra un papel no se puede cachear por tiempo</w:t>
      </w:r>
    </w:p>
    <w:p>
      <w:pPr>
        <w:jc w:val="both"/>
        <w:spacing w:line="480" w:lineRule="auto" w:after="0"/>
      </w:pPr>
      <w:r>
        <w:rPr>
          <w:rFonts w:ascii="Times New Roman" w:hAnsi="Times New Roman" w:cs="Times New Roman" w:eastAsia="Times New Roman"/>
          <w:b w:val="0"/>
          <w:i w:val="0"/>
          <w:sz w:val="24"/>
        </w:rPr>
        <w:t>Es el resultado más general del periodo y vale más allá de las imágenes. La galería marcaba como principal una fotografía y el catálogo seguía mostrando la anterior, sin que nada fallara en el servidor. La causa estaba en la dirección por la que se pedía la miniatura.</w:t>
      </w:r>
    </w:p>
    <w:p>
      <w:pPr>
        <w:jc w:val="both"/>
        <w:keepNext/>
        <w:spacing w:line="480" w:lineRule="auto" w:after="0"/>
      </w:pPr>
      <w:r>
        <w:rPr>
          <w:rFonts w:ascii="Times New Roman" w:hAnsi="Times New Roman" w:cs="Times New Roman" w:eastAsia="Times New Roman"/>
          <w:b w:val="0"/>
          <w:i w:val="0"/>
          <w:sz w:val="20"/>
        </w:rPr>
        <w:t>Figura 4</w:t>
      </w:r>
    </w:p>
    <w:p>
      <w:pPr>
        <w:jc w:val="both"/>
        <w:keepNext/>
        <w:spacing w:line="480" w:lineRule="auto" w:after="0"/>
      </w:pPr>
      <w:r>
        <w:rPr>
          <w:rFonts w:ascii="Times New Roman" w:hAnsi="Times New Roman" w:cs="Times New Roman" w:eastAsia="Times New Roman"/>
          <w:b w:val="0"/>
          <w:i w:val="0"/>
          <w:sz w:val="20"/>
        </w:rPr>
        <w:t>Las dos clases de dirección y la política de caché que corresponde a cada una</w:t>
      </w:r>
    </w:p>
    <w:p>
      <w:pPr>
        <w:jc w:val="center"/>
        <w:keepNext/>
        <w:spacing w:line="240" w:lineRule="auto" w:after="0"/>
      </w:pPr>
      <w:r>
        <w:drawing>
          <wp:inline xmlns:a="http://schemas.openxmlformats.org/drawingml/2006/main" xmlns:pic="http://schemas.openxmlformats.org/drawingml/2006/picture">
            <wp:extent cx="5669280" cy="1826630"/>
            <wp:docPr id="4" name="Picture 4"/>
            <wp:cNvGraphicFramePr>
              <a:graphicFrameLocks noChangeAspect="1"/>
            </wp:cNvGraphicFramePr>
            <a:graphic>
              <a:graphicData uri="http://schemas.openxmlformats.org/drawingml/2006/picture">
                <pic:pic>
                  <pic:nvPicPr>
                    <pic:cNvPr id="0" name="F04_clases_de_direccion.png"/>
                    <pic:cNvPicPr/>
                  </pic:nvPicPr>
                  <pic:blipFill>
                    <a:blip r:embed="rId50"/>
                    <a:stretch>
                      <a:fillRect/>
                    </a:stretch>
                  </pic:blipFill>
                  <pic:spPr>
                    <a:xfrm>
                      <a:off x="0" y="0"/>
                      <a:ext cx="5669280" cy="1826630"/>
                    </a:xfrm>
                    <a:prstGeom prst="rect"/>
                  </pic:spPr>
                </pic:pic>
              </a:graphicData>
            </a:graphic>
          </wp:inline>
        </w:drawing>
      </w:r>
    </w:p>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El catálogo recibe imagenPrincipalId y pide la miniatura por la dirección inmutable de esa imagen. Cambiar cuál es la principal cambia entonces la dirección, y ninguna caché puede servir la anterior aunque quiera. Elaboración propia.</w:t>
      </w:r>
    </w:p>
    <w:p>
      <w:pPr>
        <w:jc w:val="both"/>
        <w:spacing w:line="480" w:lineRule="auto" w:after="0"/>
      </w:pPr>
      <w:r>
        <w:rPr>
          <w:rFonts w:ascii="Times New Roman" w:hAnsi="Times New Roman" w:cs="Times New Roman" w:eastAsia="Times New Roman"/>
          <w:b w:val="0"/>
          <w:i w:val="0"/>
          <w:sz w:val="24"/>
        </w:rPr>
        <w:t>La dirección /productos/6/imagen no nombra un archivo: nombra un papel. Cuál es la imagen principal cambia, y la dirección se queda igual. Se servía con permiso explícito para que el navegador no volviera a preguntar durante siete días, de modo que la caché devolvía los bytes anteriores sin salir del navegador y el servidor no se enteraba.</w:t>
      </w:r>
    </w:p>
    <w:p>
      <w:pPr>
        <w:jc w:val="both"/>
        <w:spacing w:line="480" w:lineRule="auto" w:after="0"/>
      </w:pPr>
      <w:r>
        <w:rPr>
          <w:rFonts w:ascii="Times New Roman" w:hAnsi="Times New Roman" w:cs="Times New Roman" w:eastAsia="Times New Roman"/>
          <w:b w:val="0"/>
          <w:i w:val="0"/>
          <w:sz w:val="24"/>
        </w:rPr>
        <w:t xml:space="preserve">El primer arreglo fue retirar la caché de esa dirección, y resultó insuficiente: mientras la dirección siga nombrando un papel, cualquier intermediario conserva licencia para devolver lo anterior. El arreglo de fondo fue clasificar las direcciones en dos clases y derivar de la clase la política de caché. </w:t>
      </w:r>
      <w:r>
        <w:rPr>
          <w:rFonts w:ascii="Times New Roman" w:hAnsi="Times New Roman" w:cs="Times New Roman" w:eastAsia="Times New Roman"/>
          <w:b/>
          <w:i w:val="0"/>
          <w:sz w:val="24"/>
        </w:rPr>
        <w:t>El problema deja de poder ocurrir, que no es lo mismo que quedar arreglado.</w:t>
      </w:r>
    </w:p>
    <w:p>
      <w:pPr>
        <w:pStyle w:val="Heading2"/>
        <w:jc w:val="left"/>
        <w:spacing w:line="480" w:lineRule="auto" w:after="0"/>
      </w:pPr>
      <w:r>
        <w:rPr>
          <w:rFonts w:ascii="Times New Roman" w:hAnsi="Times New Roman" w:cs="Times New Roman" w:eastAsia="Times New Roman"/>
          <w:b/>
          <w:i w:val="0"/>
          <w:sz w:val="24"/>
        </w:rPr>
        <w:t>5.4 Un filtro de autorización que no corría cuando algo fallaba</w:t>
      </w:r>
    </w:p>
    <w:p>
      <w:pPr>
        <w:jc w:val="both"/>
        <w:spacing w:line="480" w:lineRule="auto" w:after="0"/>
      </w:pPr>
      <w:r>
        <w:rPr>
          <w:rFonts w:ascii="Times New Roman" w:hAnsi="Times New Roman" w:cs="Times New Roman" w:eastAsia="Times New Roman"/>
          <w:b w:val="0"/>
          <w:i w:val="0"/>
          <w:sz w:val="24"/>
        </w:rPr>
        <w:t>Cambiar el logo de la empresa cerraba la sesión del usuario. La causa no estaba en el logo y afectaba a todo el sistema. El filtro que identifica al usuario extiende una clase que, por omisión, no se ejecuta en el despacho interno de error. Cuando una petición fallaba, el servidor la reenviaba a la ruta de error, el filtro no corría, el contexto de seguridad quedaba vacío —la aplicación es sin estado y no hay sesión donde recordarlo— y la respuesta era un 401 en lugar del error real.</w:t>
      </w:r>
    </w:p>
    <w:p>
      <w:pPr>
        <w:jc w:val="both"/>
        <w:spacing w:line="480" w:lineRule="auto" w:after="0"/>
      </w:pPr>
      <w:r>
        <w:rPr>
          <w:rFonts w:ascii="Times New Roman" w:hAnsi="Times New Roman" w:cs="Times New Roman" w:eastAsia="Times New Roman"/>
          <w:b w:val="0"/>
          <w:i w:val="0"/>
          <w:sz w:val="24"/>
        </w:rPr>
        <w:t xml:space="preserve">El efecto es que cualquier fallo —un archivo demasiado grande, una imagen corrupta, un error interno— se presentaba al usuario como una sesión expirada, y el front lo expulsaba. La corrección es de una línea; la lección no lo es: </w:t>
      </w:r>
      <w:r>
        <w:rPr>
          <w:rFonts w:ascii="Times New Roman" w:hAnsi="Times New Roman" w:cs="Times New Roman" w:eastAsia="Times New Roman"/>
          <w:b/>
          <w:i w:val="0"/>
          <w:sz w:val="24"/>
        </w:rPr>
        <w:t>un filtro que decide quién eres tiene que ejecutarse también cuando la cosa sale mal</w:t>
      </w:r>
      <w:r>
        <w:rPr>
          <w:rFonts w:ascii="Times New Roman" w:hAnsi="Times New Roman" w:cs="Times New Roman" w:eastAsia="Times New Roman"/>
          <w:b w:val="0"/>
          <w:i w:val="0"/>
          <w:sz w:val="24"/>
        </w:rPr>
        <w:t>, o el sistema miente sobre la causa de sus propios fallos. Es un defecto de configuración que no produce ningún síntoma hasta que algo falla, y entonces produce el síntoma equivocado.</w:t>
      </w:r>
    </w:p>
    <w:p>
      <w:pPr>
        <w:pStyle w:val="Heading1"/>
        <w:jc w:val="left"/>
        <w:spacing w:line="480" w:lineRule="auto" w:after="0"/>
      </w:pPr>
      <w:r>
        <w:rPr>
          <w:rFonts w:ascii="Times New Roman" w:hAnsi="Times New Roman" w:cs="Times New Roman" w:eastAsia="Times New Roman"/>
          <w:b/>
          <w:i w:val="0"/>
          <w:sz w:val="24"/>
        </w:rPr>
        <w:t>6. Calidad y Verificación</w:t>
      </w:r>
    </w:p>
    <w:p>
      <w:pPr>
        <w:pStyle w:val="Heading2"/>
        <w:jc w:val="left"/>
        <w:spacing w:line="480" w:lineRule="auto" w:after="0"/>
      </w:pPr>
      <w:r>
        <w:rPr>
          <w:rFonts w:ascii="Times New Roman" w:hAnsi="Times New Roman" w:cs="Times New Roman" w:eastAsia="Times New Roman"/>
          <w:b/>
          <w:i w:val="0"/>
          <w:sz w:val="24"/>
        </w:rPr>
        <w:t>6.1 Pruebas automatizadas</w:t>
      </w:r>
    </w:p>
    <w:p>
      <w:pPr>
        <w:jc w:val="both"/>
        <w:spacing w:line="480" w:lineRule="auto" w:after="0"/>
      </w:pPr>
      <w:r>
        <w:rPr>
          <w:rFonts w:ascii="Times New Roman" w:hAnsi="Times New Roman" w:cs="Times New Roman" w:eastAsia="Times New Roman"/>
          <w:b w:val="0"/>
          <w:i w:val="0"/>
          <w:sz w:val="24"/>
        </w:rPr>
        <w:t>El periodo cierra con ciento cincuenta pruebas automatizadas en verde: ciento diecisiete sobre el backend, distribuidas en trece clases, y treinta y tres sobre la capa de servicios del front. El Anexo D las detalla por clase.</w:t>
      </w:r>
    </w:p>
    <w:p>
      <w:pPr>
        <w:jc w:val="both"/>
        <w:spacing w:line="480" w:lineRule="auto" w:after="0"/>
      </w:pPr>
      <w:r>
        <w:rPr>
          <w:rFonts w:ascii="Times New Roman" w:hAnsi="Times New Roman" w:cs="Times New Roman" w:eastAsia="Times New Roman"/>
          <w:b w:val="0"/>
          <w:i w:val="0"/>
          <w:sz w:val="24"/>
        </w:rPr>
        <w:t>Dos de ellas ilustran el criterio con que se escribieron. La primera somete al lector de orientación EXIF a desplazamientos absurdos —negativos, el mayor entero representable— porque esos bytes los manda el cliente y el lector no puede fallar hacia arriba. La primera versión tumbaba la subida en seis de esos casos; la actual no falla en ninguno de doscientos mil. El azar no encontró ese defecto: lo encontraron los valores frontera.</w:t>
      </w:r>
    </w:p>
    <w:p>
      <w:pPr>
        <w:jc w:val="both"/>
        <w:spacing w:line="480" w:lineRule="auto" w:after="0"/>
      </w:pPr>
      <w:r>
        <w:rPr>
          <w:rFonts w:ascii="Times New Roman" w:hAnsi="Times New Roman" w:cs="Times New Roman" w:eastAsia="Times New Roman"/>
          <w:b w:val="0"/>
          <w:i w:val="0"/>
          <w:sz w:val="24"/>
        </w:rPr>
        <w:t xml:space="preserve">La segunda no comprueba que el resultado sea correcto, sino que </w:t>
      </w:r>
      <w:r>
        <w:rPr>
          <w:rFonts w:ascii="Times New Roman" w:hAnsi="Times New Roman" w:cs="Times New Roman" w:eastAsia="Times New Roman"/>
          <w:b/>
          <w:i w:val="0"/>
          <w:sz w:val="24"/>
        </w:rPr>
        <w:t>nunca haya dos subidas simultáneas</w:t>
      </w:r>
      <w:r>
        <w:rPr>
          <w:rFonts w:ascii="Times New Roman" w:hAnsi="Times New Roman" w:cs="Times New Roman" w:eastAsia="Times New Roman"/>
          <w:b w:val="0"/>
          <w:i w:val="0"/>
          <w:sz w:val="24"/>
        </w:rPr>
        <w:t>: un contador de operaciones concurrentes que no puede pasar de uno. Es la clase de propiedad que no se puede verificar mirando el resultado, porque en pruebas casi siempre sale bien y falla cuando dos usuarios coinciden.</w:t>
      </w:r>
    </w:p>
    <w:p>
      <w:pPr>
        <w:pStyle w:val="Heading2"/>
        <w:jc w:val="left"/>
        <w:spacing w:line="480" w:lineRule="auto" w:after="0"/>
      </w:pPr>
      <w:r>
        <w:rPr>
          <w:rFonts w:ascii="Times New Roman" w:hAnsi="Times New Roman" w:cs="Times New Roman" w:eastAsia="Times New Roman"/>
          <w:b/>
          <w:i w:val="0"/>
          <w:sz w:val="24"/>
        </w:rPr>
        <w:t>6.2 Verificaciones del esquema en cada entrega</w:t>
      </w:r>
    </w:p>
    <w:p>
      <w:pPr>
        <w:jc w:val="both"/>
        <w:spacing w:line="480" w:lineRule="auto" w:after="0"/>
      </w:pPr>
      <w:r>
        <w:rPr>
          <w:rFonts w:ascii="Times New Roman" w:hAnsi="Times New Roman" w:cs="Times New Roman" w:eastAsia="Times New Roman"/>
          <w:b w:val="0"/>
          <w:i w:val="0"/>
          <w:sz w:val="24"/>
        </w:rPr>
        <w:t>La cadena de integración continua encadena tres trabajos: el esquema, el backend —que depende del anterior— y el front. El trabajo del esquema no se limita a aplicar las migraciones: verifica que el resultado sea el esperado. El Anexo C detalla las seis comprobaciones; conviene destacar una por su diseño.</w:t>
      </w:r>
    </w:p>
    <w:p>
      <w:pPr>
        <w:jc w:val="both"/>
        <w:spacing w:line="480" w:lineRule="auto" w:after="0"/>
      </w:pPr>
      <w:r>
        <w:rPr>
          <w:rFonts w:ascii="Times New Roman" w:hAnsi="Times New Roman" w:cs="Times New Roman" w:eastAsia="Times New Roman"/>
          <w:b w:val="0"/>
          <w:i w:val="0"/>
          <w:sz w:val="24"/>
        </w:rPr>
        <w:t>El conteo de tablas puede cuadrar con la migración V9 aplicada a medias, porque esa migración no crea tablas sino que agrega columnas. La cadena comprueba por eso la existencia de la última columna que esa migración crea, cuya ausencia delata que se detuvo a mitad de camino. Es un ejemplo del criterio general: una verificación sirve en la medida en que pueda fallar.</w:t>
      </w:r>
    </w:p>
    <w:p>
      <w:pPr>
        <w:pStyle w:val="Heading2"/>
        <w:jc w:val="left"/>
        <w:spacing w:line="480" w:lineRule="auto" w:after="0"/>
      </w:pPr>
      <w:r>
        <w:rPr>
          <w:rFonts w:ascii="Times New Roman" w:hAnsi="Times New Roman" w:cs="Times New Roman" w:eastAsia="Times New Roman"/>
          <w:b/>
          <w:i w:val="0"/>
          <w:sz w:val="24"/>
        </w:rPr>
        <w:t>6.3 Defectos detectados al usar el sistema</w:t>
      </w:r>
    </w:p>
    <w:p>
      <w:pPr>
        <w:jc w:val="both"/>
        <w:spacing w:line="480" w:lineRule="auto" w:after="0"/>
      </w:pPr>
      <w:r>
        <w:rPr>
          <w:rFonts w:ascii="Times New Roman" w:hAnsi="Times New Roman" w:cs="Times New Roman" w:eastAsia="Times New Roman"/>
          <w:b w:val="0"/>
          <w:i w:val="0"/>
          <w:sz w:val="24"/>
        </w:rPr>
        <w:t xml:space="preserve">Cinco defectos se detectaron usando el sistema y no escribiéndolo, y los cinco se corrigieron dentro del periodo. El Anexo F los documenta con su causa y su corrección. Importa su distribución más que su número: </w:t>
      </w:r>
      <w:r>
        <w:rPr>
          <w:rFonts w:ascii="Times New Roman" w:hAnsi="Times New Roman" w:cs="Times New Roman" w:eastAsia="Times New Roman"/>
          <w:b/>
          <w:i w:val="0"/>
          <w:sz w:val="24"/>
        </w:rPr>
        <w:t>cuatro de los cinco no provenían de una línea mal escrita sino de una decisión de diseño razonable que resultó equivocada.</w:t>
      </w:r>
    </w:p>
    <w:p>
      <w:pPr>
        <w:jc w:val="both"/>
        <w:spacing w:line="480" w:lineRule="auto" w:after="0"/>
      </w:pPr>
      <w:r>
        <w:rPr>
          <w:rFonts w:ascii="Times New Roman" w:hAnsi="Times New Roman" w:cs="Times New Roman" w:eastAsia="Times New Roman"/>
          <w:b w:val="0"/>
          <w:i w:val="0"/>
          <w:sz w:val="24"/>
        </w:rPr>
        <w:t>Un tope de dos megabytes para una fotografía, una dirección que nombra el papel en vez del archivo, un filtro que no corre en el despacho de error y una funcionalidad colocada donde el usuario no la busca son decisiones, no descuidos. De ahí que el proyecto registre la causa de cada una y no solo el arreglo: una línea mal escrita se corrige una vez, mientras que una decisión equivocada se vuelve a tomar si no queda escrita.</w:t>
      </w:r>
    </w:p>
    <w:p>
      <w:pPr>
        <w:jc w:val="both"/>
        <w:spacing w:line="480" w:lineRule="auto" w:after="0"/>
      </w:pPr>
      <w:r>
        <w:rPr>
          <w:rFonts w:ascii="Times New Roman" w:hAnsi="Times New Roman" w:cs="Times New Roman" w:eastAsia="Times New Roman"/>
          <w:b w:val="0"/>
          <w:i w:val="0"/>
          <w:sz w:val="24"/>
        </w:rPr>
        <w:t>Conviene observar también dónde aparecieron. Ninguno de los cinco lo detectaron las pruebas automatizadas, porque las pruebas verifican lo que quien las escribe ya pensó. Los cinco aparecieron al subir una fotografía tomada con un teléfono real, que es exactamente lo que hará el usuario.</w:t>
      </w:r>
    </w:p>
    <w:p>
      <w:pPr>
        <w:pStyle w:val="Heading1"/>
        <w:jc w:val="left"/>
        <w:spacing w:line="480" w:lineRule="auto" w:after="0"/>
      </w:pPr>
      <w:r>
        <w:rPr>
          <w:rFonts w:ascii="Times New Roman" w:hAnsi="Times New Roman" w:cs="Times New Roman" w:eastAsia="Times New Roman"/>
          <w:b/>
          <w:i w:val="0"/>
          <w:sz w:val="24"/>
        </w:rPr>
        <w:t>7. Reevaluación de los Riesgos</w:t>
      </w:r>
    </w:p>
    <w:p>
      <w:pPr>
        <w:jc w:val="both"/>
        <w:spacing w:line="480" w:lineRule="auto" w:after="0"/>
      </w:pPr>
      <w:r>
        <w:rPr>
          <w:rFonts w:ascii="Times New Roman" w:hAnsi="Times New Roman" w:cs="Times New Roman" w:eastAsia="Times New Roman"/>
          <w:b w:val="0"/>
          <w:i w:val="0"/>
          <w:sz w:val="24"/>
        </w:rPr>
        <w:t>El informe de inicio identificó siete riesgos y previó reevaluarlos al cierre de cada iteración. La Tabla 6 recoge esa reevaluación.</w:t>
      </w:r>
    </w:p>
    <w:p>
      <w:pPr>
        <w:jc w:val="both"/>
        <w:keepNext/>
        <w:spacing w:line="480" w:lineRule="auto" w:after="0"/>
      </w:pPr>
      <w:r>
        <w:rPr>
          <w:rFonts w:ascii="Times New Roman" w:hAnsi="Times New Roman" w:cs="Times New Roman" w:eastAsia="Times New Roman"/>
          <w:b w:val="0"/>
          <w:i w:val="0"/>
          <w:sz w:val="20"/>
        </w:rPr>
        <w:t>Tabla 6</w:t>
      </w:r>
    </w:p>
    <w:p>
      <w:pPr>
        <w:jc w:val="both"/>
        <w:keepNext/>
        <w:spacing w:line="480" w:lineRule="auto" w:after="0"/>
      </w:pPr>
      <w:r>
        <w:rPr>
          <w:rFonts w:ascii="Times New Roman" w:hAnsi="Times New Roman" w:cs="Times New Roman" w:eastAsia="Times New Roman"/>
          <w:b w:val="0"/>
          <w:i w:val="0"/>
          <w:sz w:val="20"/>
        </w:rPr>
        <w:t>Reevaluación de los riesgos al cierre del periodo</w:t>
      </w:r>
    </w:p>
    <w:tbl>
      <w:tblPr>
        <w:tblW w:type="dxa" w:w="9360"/>
        <w:tblLayout w:type="fixed"/>
        <w:tblLook w:firstColumn="1" w:firstRow="1" w:lastColumn="0" w:lastRow="0" w:noHBand="0" w:noVBand="1" w:val="04A0"/>
      </w:tblPr>
      <w:tblGrid>
        <w:gridCol w:w="2340"/>
        <w:gridCol w:w="2340"/>
        <w:gridCol w:w="2340"/>
        <w:gridCol w:w="2340"/>
      </w:tblGrid>
      <w:tr>
        <w:trPr>
          <w:tblHeader/>
        </w:trPr>
        <w:tc>
          <w:tcPr>
            <w:tcW w:type="dxa" w:w="2433"/>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Riesgo</w:t>
            </w:r>
          </w:p>
        </w:tc>
        <w:tc>
          <w:tcPr>
            <w:tcW w:type="dxa" w:w="842"/>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Antes</w:t>
            </w:r>
          </w:p>
        </w:tc>
        <w:tc>
          <w:tcPr>
            <w:tcW w:type="dxa" w:w="842"/>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Ahora</w:t>
            </w:r>
          </w:p>
        </w:tc>
        <w:tc>
          <w:tcPr>
            <w:tcW w:type="dxa" w:w="5241"/>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Situación a la fecha de corte</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Habilitación como facturador electrónico no obtenida a tiempo</w:t>
            </w:r>
          </w:p>
        </w:tc>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Alta</w:t>
            </w:r>
          </w:p>
        </w:tc>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Alta</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cambio. No se ha iniciado el trámite y la facturación quedó en la última iteración del plan. Es el riesgo más crítico porque no depende del proyecto</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Listas de precios más heterogéneas de lo previsto</w:t>
            </w:r>
          </w:p>
        </w:tc>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Alta</w:t>
            </w:r>
          </w:p>
        </w:tc>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Alta</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cambio. El módulo no se ha iniciado y no hay información nueva</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Sesgo por concentración de todos los roles en una persona</w:t>
            </w:r>
          </w:p>
        </w:tc>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Media</w:t>
            </w:r>
          </w:p>
        </w:tc>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Media</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cambio. Se mitigó parcialmente: las decisiones del periodo quedaron escritas en el registro de arquitectura antes de implementarse</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Alcance excesivo para el tiempo disponible</w:t>
            </w:r>
          </w:p>
        </w:tc>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Media</w:t>
            </w:r>
          </w:p>
        </w:tc>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Alta</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Empeoró.</w:t>
            </w:r>
            <w:r>
              <w:rPr>
                <w:rFonts w:ascii="Times New Roman" w:hAnsi="Times New Roman" w:cs="Times New Roman" w:eastAsia="Times New Roman"/>
                <w:b w:val="0"/>
                <w:i w:val="0"/>
                <w:sz w:val="20"/>
              </w:rPr>
              <w:t xml:space="preserve"> Tres de las cuatro semanas se consumieron en la revisión de la especificación y el producto mínimo viable avanzó cinco requisitos de veintiocho. La replanificación de la Tabla 5 supone veinte semanas más</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empresa no dispone de personal para validar los incrementos</w:t>
            </w:r>
          </w:p>
        </w:tc>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Media</w:t>
            </w:r>
          </w:p>
        </w:tc>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Media</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cambio. No se ha realizado ninguna sesión de validación con usuario final; los defectos del periodo los detectó el propio desarrollador</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Ausencia de pruebas sobre la capa de datos</w:t>
            </w:r>
          </w:p>
        </w:tc>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Media</w:t>
            </w:r>
          </w:p>
        </w:tc>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Baja</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Mejoró.</w:t>
            </w:r>
            <w:r>
              <w:rPr>
                <w:rFonts w:ascii="Times New Roman" w:hAnsi="Times New Roman" w:cs="Times New Roman" w:eastAsia="Times New Roman"/>
                <w:b w:val="0"/>
                <w:i w:val="0"/>
                <w:sz w:val="20"/>
              </w:rPr>
              <w:t xml:space="preserve"> El backend se compila y prueba contra un MySQL real con el esquema aplicado, y la validación de esquema activa impide que el contexto levante si una entidad y su tabla discrepan</w:t>
            </w:r>
          </w:p>
        </w:tc>
      </w:tr>
      <w:tr>
        <w:tc>
          <w:tcPr>
            <w:tcW w:type="dxa" w:w="2433"/>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Pérdida de información por fallo del equipo</w:t>
            </w:r>
          </w:p>
        </w:tc>
        <w:tc>
          <w:tcPr>
            <w:tcW w:type="dxa" w:w="842"/>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Baja</w:t>
            </w:r>
          </w:p>
        </w:tc>
        <w:tc>
          <w:tcPr>
            <w:tcW w:type="dxa" w:w="842"/>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Baja</w:t>
            </w:r>
          </w:p>
        </w:tc>
        <w:tc>
          <w:tcPr>
            <w:tcW w:type="dxa" w:w="5241"/>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cambio. Sesenta commits enviados al repositorio remoto en el periodo</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Un riesgo que empeora y otro que mejora. El que empeoró es de alcance y su tratamiento está en la sección 10. Elaboración propia.</w:t>
      </w:r>
    </w:p>
    <w:p>
      <w:pPr>
        <w:pStyle w:val="Heading1"/>
        <w:jc w:val="left"/>
        <w:spacing w:line="480" w:lineRule="auto" w:after="0"/>
      </w:pPr>
      <w:r>
        <w:rPr>
          <w:rFonts w:ascii="Times New Roman" w:hAnsi="Times New Roman" w:cs="Times New Roman" w:eastAsia="Times New Roman"/>
          <w:b/>
          <w:i w:val="0"/>
          <w:sz w:val="24"/>
        </w:rPr>
        <w:t>8. Deuda Técnica e Inconsistencias Detectadas</w:t>
      </w:r>
    </w:p>
    <w:p>
      <w:pPr>
        <w:jc w:val="both"/>
        <w:spacing w:line="480" w:lineRule="auto" w:after="0"/>
      </w:pPr>
      <w:r>
        <w:rPr>
          <w:rFonts w:ascii="Times New Roman" w:hAnsi="Times New Roman" w:cs="Times New Roman" w:eastAsia="Times New Roman"/>
          <w:b w:val="0"/>
          <w:i w:val="0"/>
          <w:sz w:val="24"/>
        </w:rPr>
        <w:t>Esta sección registra lo que se sabe que está mal o incompleto y no se corrigió en el periodo. Se incluye porque una deuda que no se escribe deja de existir hasta que cobra, y porque tres de las entradas afectan a la documentación del propio proyecto, incluido el informe de inicio.</w:t>
      </w:r>
    </w:p>
    <w:p>
      <w:pPr>
        <w:jc w:val="both"/>
        <w:keepNext/>
        <w:spacing w:line="480" w:lineRule="auto" w:after="0"/>
      </w:pPr>
      <w:r>
        <w:rPr>
          <w:rFonts w:ascii="Times New Roman" w:hAnsi="Times New Roman" w:cs="Times New Roman" w:eastAsia="Times New Roman"/>
          <w:b w:val="0"/>
          <w:i w:val="0"/>
          <w:sz w:val="20"/>
        </w:rPr>
        <w:t>Tabla 7</w:t>
      </w:r>
    </w:p>
    <w:p>
      <w:pPr>
        <w:jc w:val="both"/>
        <w:keepNext/>
        <w:spacing w:line="480" w:lineRule="auto" w:after="0"/>
      </w:pPr>
      <w:r>
        <w:rPr>
          <w:rFonts w:ascii="Times New Roman" w:hAnsi="Times New Roman" w:cs="Times New Roman" w:eastAsia="Times New Roman"/>
          <w:b w:val="0"/>
          <w:i w:val="0"/>
          <w:sz w:val="20"/>
        </w:rPr>
        <w:t>Deuda técnica e inconsistencias conocidas</w:t>
      </w:r>
    </w:p>
    <w:tbl>
      <w:tblPr>
        <w:tblW w:type="dxa" w:w="9360"/>
        <w:tblLayout w:type="fixed"/>
        <w:tblLook w:firstColumn="1" w:firstRow="1" w:lastColumn="0" w:lastRow="0" w:noHBand="0" w:noVBand="1" w:val="04A0"/>
      </w:tblPr>
      <w:tblGrid>
        <w:gridCol w:w="2340"/>
        <w:gridCol w:w="2340"/>
        <w:gridCol w:w="2340"/>
        <w:gridCol w:w="2340"/>
      </w:tblGrid>
      <w:tr>
        <w:trPr>
          <w:tblHeader/>
        </w:trPr>
        <w:tc>
          <w:tcPr>
            <w:tcW w:type="dxa" w:w="468"/>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N.º</w:t>
            </w:r>
          </w:p>
        </w:tc>
        <w:tc>
          <w:tcPr>
            <w:tcW w:type="dxa" w:w="2808"/>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Asunto</w:t>
            </w:r>
          </w:p>
        </w:tc>
        <w:tc>
          <w:tcPr>
            <w:tcW w:type="dxa" w:w="2901"/>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Naturaleza</w:t>
            </w:r>
          </w:p>
        </w:tc>
        <w:tc>
          <w:tcPr>
            <w:tcW w:type="dxa" w:w="3182"/>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Tratamiento previsto</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vista v_precios_producto resuelve imagen_principal con una subconsulta que no repite el filtro de empresa</w:t>
            </w:r>
          </w:p>
        </w:tc>
        <w:tc>
          <w:tcPr>
            <w:tcW w:type="dxa" w:w="290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Defecto latente, no explotable hoy porque producto_id es único en toda la tabla</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Corregir al recrear la vista. Anotado en el código que la consulta</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2</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No hay control de versiones de migraciones</w:t>
            </w:r>
          </w:p>
        </w:tc>
        <w:tc>
          <w:tcPr>
            <w:tcW w:type="dxa" w:w="290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Nada registra qué migraciones tiene una base dada; ya costó un arranque fallido con el esquema a medias</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Incorporar Flyway o Liquibase antes del Sprint 6</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3</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token de sesión vive en sessionStorage</w:t>
            </w:r>
          </w:p>
        </w:tc>
        <w:tc>
          <w:tcPr>
            <w:tcW w:type="dxa" w:w="290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Expuesto a ejecución de guiones en el cliente</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Migrar a cookie httpOnly; toca backend y front a la vez</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4</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parámetro sgip.catalogo.imagen.bytes.maximo declara 5 MB y el código exige 10 MB</w:t>
            </w:r>
          </w:p>
        </w:tc>
        <w:tc>
          <w:tcPr>
            <w:tcW w:type="dxa" w:w="290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parámetro existe en la tabla y nadie lo lee. Contradice el principio de la sección 8.4 del informe de inicio</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Decidir cuál manda y eliminar el otro en el Sprint 4</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5</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archivo README.md declara Java 17 y Spring Boot 3, y el front como pendiente</w:t>
            </w:r>
          </w:p>
        </w:tc>
        <w:tc>
          <w:tcPr>
            <w:tcW w:type="dxa" w:w="290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Documentación desactualizada: el proyecto va por Java 25 y Spring Boot 4.1.1, y el front existe</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Actualizar en el Sprint 4</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6</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ADR-0010 declara «Java 17 con Spring Boot 3»</w:t>
            </w:r>
          </w:p>
        </w:tc>
        <w:tc>
          <w:tcPr>
            <w:tcW w:type="dxa" w:w="290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Una decisión no se edita: se marca como superada y se escribe otra</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Redactar el ADR que lo supera, con el motivo del cambio de versión</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7</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Tabla 8 del informe de inicio especifica 62 requisitos; el sistema implementa RF-63 y RF-64 y el esquema menciona RF-65</w:t>
            </w:r>
          </w:p>
        </w:tc>
        <w:tc>
          <w:tcPr>
            <w:tcW w:type="dxa" w:w="290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especificación ya no describe el sistema que se construye</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Incorporar los tres a la especificación en la próxima versión del informe de inicio</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8</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plan de trabajo anuncia ocho sprints y dieciocho semanas, y enumera diez iteraciones que suman veintidós</w:t>
            </w:r>
          </w:p>
        </w:tc>
        <w:tc>
          <w:tcPr>
            <w:tcW w:type="dxa" w:w="290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Inconsistencia interna del informe de inicio</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Corregir junto con la entrada anterior. La Tabla 5 de este informe ya repara el conteo</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9</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cadena de integración continua no se dispara al enviar a ramas fix/**</w:t>
            </w:r>
          </w:p>
        </w:tc>
        <w:tc>
          <w:tcPr>
            <w:tcW w:type="dxa" w:w="290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Una rama de corrección no ejecuta nada hasta que se abre la solicitud de incorporación</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Añadir el patrón al disparador</w:t>
            </w:r>
          </w:p>
        </w:tc>
      </w:tr>
      <w:tr>
        <w:tc>
          <w:tcPr>
            <w:tcW w:type="dxa" w:w="468"/>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10</w:t>
            </w:r>
          </w:p>
        </w:tc>
        <w:tc>
          <w:tcPr>
            <w:tcW w:type="dxa" w:w="2808"/>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Falta confirmar ante la DIAN qué comprobante puede emitir legalmente un pequeño comercio mientras la facturación electrónica está diferida</w:t>
            </w:r>
          </w:p>
        </w:tc>
        <w:tc>
          <w:tcPr>
            <w:tcW w:type="dxa" w:w="2901"/>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Depende de un tercero. Las tarifas de retención están sembradas en cero e inactivas</w:t>
            </w:r>
          </w:p>
        </w:tc>
        <w:tc>
          <w:tcPr>
            <w:tcW w:type="dxa" w:w="3182"/>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Consultar antes del Sprint 12</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Las entradas 5 a 8 son deuda documental y no afectan al funcionamiento del sistema; se registran porque la documentación desactualizada induce decisiones equivocadas en quien la consulta. Elaboración propia.</w:t>
      </w:r>
    </w:p>
    <w:p>
      <w:pPr>
        <w:pStyle w:val="Heading1"/>
        <w:jc w:val="left"/>
        <w:spacing w:line="480" w:lineRule="auto" w:after="0"/>
      </w:pPr>
      <w:r>
        <w:rPr>
          <w:rFonts w:ascii="Times New Roman" w:hAnsi="Times New Roman" w:cs="Times New Roman" w:eastAsia="Times New Roman"/>
          <w:b/>
          <w:i w:val="0"/>
          <w:sz w:val="24"/>
        </w:rPr>
        <w:t>9. Conclusiones del Periodo</w:t>
      </w:r>
    </w:p>
    <w:p>
      <w:pPr>
        <w:pStyle w:val="ListParagraph"/>
        <w:numPr>
          <w:ilvl w:val="0"/>
          <w:numId w:val="2"/>
        </w:numPr>
        <w:jc w:val="both"/>
        <w:spacing w:line="480" w:lineRule="auto" w:after="0"/>
      </w:pPr>
      <w:r>
        <w:rPr>
          <w:rFonts w:ascii="Times New Roman" w:hAnsi="Times New Roman" w:cs="Times New Roman" w:eastAsia="Times New Roman"/>
          <w:b/>
          <w:i w:val="0"/>
          <w:sz w:val="24"/>
        </w:rPr>
        <w:t>El núcleo de seguridad de la plataforma está construido y verificado.</w:t>
      </w:r>
      <w:r>
        <w:rPr>
          <w:rFonts w:ascii="Times New Roman" w:hAnsi="Times New Roman" w:cs="Times New Roman" w:eastAsia="Times New Roman"/>
          <w:b w:val="0"/>
          <w:i w:val="0"/>
          <w:sz w:val="24"/>
        </w:rPr>
        <w:t xml:space="preserve"> La autenticación con token, la autorización por rol y el aislamiento de los datos de cada empresa funcionan, y el aislamiento se comprueba de forma automática en cada entrega mediante operaciones que no deberían ser posibles. Era la precondición de todo lo demás.</w:t>
      </w:r>
    </w:p>
    <w:p>
      <w:pPr>
        <w:pStyle w:val="ListParagraph"/>
        <w:numPr>
          <w:ilvl w:val="0"/>
          <w:numId w:val="2"/>
        </w:numPr>
        <w:jc w:val="both"/>
        <w:spacing w:line="480" w:lineRule="auto" w:after="0"/>
      </w:pPr>
      <w:r>
        <w:rPr>
          <w:rFonts w:ascii="Times New Roman" w:hAnsi="Times New Roman" w:cs="Times New Roman" w:eastAsia="Times New Roman"/>
          <w:b/>
          <w:i w:val="0"/>
          <w:sz w:val="24"/>
        </w:rPr>
        <w:t>El avance del producto mínimo viable es menor que el planificado.</w:t>
      </w:r>
      <w:r>
        <w:rPr>
          <w:rFonts w:ascii="Times New Roman" w:hAnsi="Times New Roman" w:cs="Times New Roman" w:eastAsia="Times New Roman"/>
          <w:b w:val="0"/>
          <w:i w:val="0"/>
          <w:sz w:val="24"/>
        </w:rPr>
        <w:t xml:space="preserve"> Cinco requisitos de prioridad alta completos y cinco parciales, de veintiocho. La causa principal, la revisión de la especificación, consumió tres de las cuatro semanas y no se repetirá; descontada, el desarrollo efectivo fueron diez días hábiles.</w:t>
      </w:r>
    </w:p>
    <w:p>
      <w:pPr>
        <w:pStyle w:val="ListParagraph"/>
        <w:numPr>
          <w:ilvl w:val="0"/>
          <w:numId w:val="2"/>
        </w:numPr>
        <w:jc w:val="both"/>
        <w:spacing w:line="480" w:lineRule="auto" w:after="0"/>
      </w:pPr>
      <w:r>
        <w:rPr>
          <w:rFonts w:ascii="Times New Roman" w:hAnsi="Times New Roman" w:cs="Times New Roman" w:eastAsia="Times New Roman"/>
          <w:b/>
          <w:i w:val="0"/>
          <w:sz w:val="24"/>
        </w:rPr>
        <w:t>La revisión de la especificación fue costosa y correcta.</w:t>
      </w:r>
      <w:r>
        <w:rPr>
          <w:rFonts w:ascii="Times New Roman" w:hAnsi="Times New Roman" w:cs="Times New Roman" w:eastAsia="Times New Roman"/>
          <w:b w:val="0"/>
          <w:i w:val="0"/>
          <w:sz w:val="24"/>
        </w:rPr>
        <w:t xml:space="preserve"> Convertir el sistema de una empresa en una plataforma multiempresa amplió el modelo de cinco a treinta y nueve tablas y obligó a replantear la autorización. Haberlo descubierto después de construir el catálogo habría costado considerablemente más.</w:t>
      </w:r>
    </w:p>
    <w:p>
      <w:pPr>
        <w:pStyle w:val="ListParagraph"/>
        <w:numPr>
          <w:ilvl w:val="0"/>
          <w:numId w:val="2"/>
        </w:numPr>
        <w:jc w:val="both"/>
        <w:spacing w:line="480" w:lineRule="auto" w:after="0"/>
      </w:pPr>
      <w:r>
        <w:rPr>
          <w:rFonts w:ascii="Times New Roman" w:hAnsi="Times New Roman" w:cs="Times New Roman" w:eastAsia="Times New Roman"/>
          <w:b/>
          <w:i w:val="0"/>
          <w:sz w:val="24"/>
        </w:rPr>
        <w:t>El orden del plan no resistió el contacto con la construcción, y la desviación tuvo valor.</w:t>
      </w:r>
      <w:r>
        <w:rPr>
          <w:rFonts w:ascii="Times New Roman" w:hAnsi="Times New Roman" w:cs="Times New Roman" w:eastAsia="Times New Roman"/>
          <w:b w:val="0"/>
          <w:i w:val="0"/>
          <w:sz w:val="24"/>
        </w:rPr>
        <w:t xml:space="preserve"> Adelantar el catálogo respecto del módulo de plataforma permitió comprobar el aislamiento entre empresas sobre datos reales, cosa que el módulo de plataforma por sí solo no habría permitido.</w:t>
      </w:r>
    </w:p>
    <w:p>
      <w:pPr>
        <w:pStyle w:val="ListParagraph"/>
        <w:numPr>
          <w:ilvl w:val="0"/>
          <w:numId w:val="2"/>
        </w:numPr>
        <w:jc w:val="both"/>
        <w:spacing w:line="480" w:lineRule="auto" w:after="0"/>
      </w:pPr>
      <w:r>
        <w:rPr>
          <w:rFonts w:ascii="Times New Roman" w:hAnsi="Times New Roman" w:cs="Times New Roman" w:eastAsia="Times New Roman"/>
          <w:b/>
          <w:i w:val="0"/>
          <w:sz w:val="24"/>
        </w:rPr>
        <w:t>Cuatro de los cinco defectos del periodo provenían de decisiones de diseño, no de errores de escritura.</w:t>
      </w:r>
      <w:r>
        <w:rPr>
          <w:rFonts w:ascii="Times New Roman" w:hAnsi="Times New Roman" w:cs="Times New Roman" w:eastAsia="Times New Roman"/>
          <w:b w:val="0"/>
          <w:i w:val="0"/>
          <w:sz w:val="24"/>
        </w:rPr>
        <w:t xml:space="preserve"> Por eso se documentó la causa de cada uno y no solo el arreglo. El resultado más general —que una dirección cuyo contenido depende del estado no se puede cachear por tiempo— vale para todo el sistema y no solo para las imágenes.</w:t>
      </w:r>
    </w:p>
    <w:p>
      <w:pPr>
        <w:pStyle w:val="ListParagraph"/>
        <w:numPr>
          <w:ilvl w:val="0"/>
          <w:numId w:val="2"/>
        </w:numPr>
        <w:jc w:val="both"/>
        <w:spacing w:line="480" w:lineRule="auto" w:after="0"/>
      </w:pPr>
      <w:r>
        <w:rPr>
          <w:rFonts w:ascii="Times New Roman" w:hAnsi="Times New Roman" w:cs="Times New Roman" w:eastAsia="Times New Roman"/>
          <w:b/>
          <w:i w:val="0"/>
          <w:sz w:val="24"/>
        </w:rPr>
        <w:t>Ningún defecto lo detectaron las pruebas automatizadas.</w:t>
      </w:r>
      <w:r>
        <w:rPr>
          <w:rFonts w:ascii="Times New Roman" w:hAnsi="Times New Roman" w:cs="Times New Roman" w:eastAsia="Times New Roman"/>
          <w:b w:val="0"/>
          <w:i w:val="0"/>
          <w:sz w:val="24"/>
        </w:rPr>
        <w:t xml:space="preserve"> Las pruebas verifican lo que quien las escribe ya pensó. Los cinco aparecieron al usar el sistema con una fotografía tomada con un teléfono real.</w:t>
      </w:r>
    </w:p>
    <w:p>
      <w:pPr>
        <w:pStyle w:val="ListParagraph"/>
        <w:numPr>
          <w:ilvl w:val="0"/>
          <w:numId w:val="2"/>
        </w:numPr>
        <w:jc w:val="both"/>
        <w:spacing w:line="480" w:lineRule="auto" w:after="0"/>
      </w:pPr>
      <w:r>
        <w:rPr>
          <w:rFonts w:ascii="Times New Roman" w:hAnsi="Times New Roman" w:cs="Times New Roman" w:eastAsia="Times New Roman"/>
          <w:b/>
          <w:i w:val="0"/>
          <w:sz w:val="24"/>
        </w:rPr>
        <w:t>Dos requisitos entraron sin pasar por la especificación.</w:t>
      </w:r>
      <w:r>
        <w:rPr>
          <w:rFonts w:ascii="Times New Roman" w:hAnsi="Times New Roman" w:cs="Times New Roman" w:eastAsia="Times New Roman"/>
          <w:b w:val="0"/>
          <w:i w:val="0"/>
          <w:sz w:val="24"/>
        </w:rPr>
        <w:t xml:space="preserve"> El contenido era necesario y el procedimiento fue defectuoso. La consecuencia es que la tabla de requisitos del informe de inicio ya no describe el sistema, y queda registrada como deuda documental con su corrección prevista.</w:t>
      </w:r>
    </w:p>
    <w:p>
      <w:pPr>
        <w:pStyle w:val="ListParagraph"/>
        <w:numPr>
          <w:ilvl w:val="0"/>
          <w:numId w:val="2"/>
        </w:numPr>
        <w:jc w:val="both"/>
        <w:spacing w:line="480" w:lineRule="auto" w:after="0"/>
      </w:pPr>
      <w:r>
        <w:rPr>
          <w:rFonts w:ascii="Times New Roman" w:hAnsi="Times New Roman" w:cs="Times New Roman" w:eastAsia="Times New Roman"/>
          <w:b/>
          <w:i w:val="0"/>
          <w:sz w:val="24"/>
        </w:rPr>
        <w:t>El riesgo de alcance subió de medio a alto.</w:t>
      </w:r>
      <w:r>
        <w:rPr>
          <w:rFonts w:ascii="Times New Roman" w:hAnsi="Times New Roman" w:cs="Times New Roman" w:eastAsia="Times New Roman"/>
          <w:b w:val="0"/>
          <w:i w:val="0"/>
          <w:sz w:val="24"/>
        </w:rPr>
        <w:t xml:space="preserve"> Es el único que empeoró y el que gobierna las decisiones del próximo periodo.</w:t>
      </w:r>
    </w:p>
    <w:p>
      <w:pPr>
        <w:pStyle w:val="Heading1"/>
        <w:jc w:val="left"/>
        <w:spacing w:line="480" w:lineRule="auto" w:after="0"/>
      </w:pPr>
      <w:r>
        <w:rPr>
          <w:rFonts w:ascii="Times New Roman" w:hAnsi="Times New Roman" w:cs="Times New Roman" w:eastAsia="Times New Roman"/>
          <w:b/>
          <w:i w:val="0"/>
          <w:sz w:val="24"/>
        </w:rPr>
        <w:t>10. Próximos Pasos</w:t>
      </w:r>
    </w:p>
    <w:p>
      <w:pPr>
        <w:jc w:val="both"/>
        <w:spacing w:line="480" w:lineRule="auto" w:after="0"/>
      </w:pPr>
      <w:r>
        <w:rPr>
          <w:rFonts w:ascii="Times New Roman" w:hAnsi="Times New Roman" w:cs="Times New Roman" w:eastAsia="Times New Roman"/>
          <w:b w:val="0"/>
          <w:i w:val="0"/>
          <w:sz w:val="24"/>
        </w:rPr>
        <w:t>El riesgo de alcance es el que manda. La replanificación de la Tabla 5 supone veinte semanas a partir de la fecha de corte, lo que exige una decisión explícita sobre qué se entrega y qué no. Se proponen tres medidas, en orden de importancia.</w:t>
      </w:r>
    </w:p>
    <w:p>
      <w:pPr>
        <w:pStyle w:val="ListParagraph"/>
        <w:numPr>
          <w:ilvl w:val="0"/>
          <w:numId w:val="2"/>
        </w:numPr>
        <w:jc w:val="both"/>
        <w:spacing w:line="480" w:lineRule="auto" w:after="0"/>
      </w:pPr>
      <w:r>
        <w:rPr>
          <w:rFonts w:ascii="Times New Roman" w:hAnsi="Times New Roman" w:cs="Times New Roman" w:eastAsia="Times New Roman"/>
          <w:b/>
          <w:i w:val="0"/>
          <w:sz w:val="24"/>
        </w:rPr>
        <w:t>Declarar formalmente el corte del producto mínimo viable.</w:t>
      </w:r>
      <w:r>
        <w:rPr>
          <w:rFonts w:ascii="Times New Roman" w:hAnsi="Times New Roman" w:cs="Times New Roman" w:eastAsia="Times New Roman"/>
          <w:b w:val="0"/>
          <w:i w:val="0"/>
          <w:sz w:val="24"/>
        </w:rPr>
        <w:t xml:space="preserve"> El informe de inicio lo definió como los veintiocho requisitos de prioridad alta. Si el calendario no alcanza, conviene decidir ahora cuáles se sacrifican y dejarlo escrito, en lugar de descubrirlo en la última semana. Los candidatos naturales son la operación sin conexión y la facturación electrónica, el primero por volumen y el segundo porque depende de un trámite externo.</w:t>
      </w:r>
    </w:p>
    <w:p>
      <w:pPr>
        <w:pStyle w:val="ListParagraph"/>
        <w:numPr>
          <w:ilvl w:val="0"/>
          <w:numId w:val="2"/>
        </w:numPr>
        <w:jc w:val="both"/>
        <w:spacing w:line="480" w:lineRule="auto" w:after="0"/>
      </w:pPr>
      <w:r>
        <w:rPr>
          <w:rFonts w:ascii="Times New Roman" w:hAnsi="Times New Roman" w:cs="Times New Roman" w:eastAsia="Times New Roman"/>
          <w:b/>
          <w:i w:val="0"/>
          <w:sz w:val="24"/>
        </w:rPr>
        <w:t>Iniciar el trámite de habilitación como facturador electrónico de inmediato.</w:t>
      </w:r>
      <w:r>
        <w:rPr>
          <w:rFonts w:ascii="Times New Roman" w:hAnsi="Times New Roman" w:cs="Times New Roman" w:eastAsia="Times New Roman"/>
          <w:b w:val="0"/>
          <w:i w:val="0"/>
          <w:sz w:val="24"/>
        </w:rPr>
        <w:t xml:space="preserve"> Es el riesgo más crítico del proyecto, no depende del desarrollo y su demora no se puede recuperar programando más rápido. Mientras tanto, desarrollar contra el entorno de pruebas del proveedor tecnológico.</w:t>
      </w:r>
    </w:p>
    <w:p>
      <w:pPr>
        <w:pStyle w:val="ListParagraph"/>
        <w:numPr>
          <w:ilvl w:val="0"/>
          <w:numId w:val="2"/>
        </w:numPr>
        <w:jc w:val="both"/>
        <w:spacing w:line="480" w:lineRule="auto" w:after="0"/>
      </w:pPr>
      <w:r>
        <w:rPr>
          <w:rFonts w:ascii="Times New Roman" w:hAnsi="Times New Roman" w:cs="Times New Roman" w:eastAsia="Times New Roman"/>
          <w:b/>
          <w:i w:val="0"/>
          <w:sz w:val="24"/>
        </w:rPr>
        <w:t>Acordar con la empresa un interlocutor para validar los incrementos.</w:t>
      </w:r>
      <w:r>
        <w:rPr>
          <w:rFonts w:ascii="Times New Roman" w:hAnsi="Times New Roman" w:cs="Times New Roman" w:eastAsia="Times New Roman"/>
          <w:b w:val="0"/>
          <w:i w:val="0"/>
          <w:sz w:val="24"/>
        </w:rPr>
        <w:t xml:space="preserve"> Los cinco defectos del periodo los detectó el desarrollador usando el sistema; es razonable suponer que un vendedor real encontrará otros que este no previó, y conviene que los encuentre ahora y no al final.</w:t>
      </w:r>
    </w:p>
    <w:p>
      <w:pPr>
        <w:jc w:val="both"/>
        <w:spacing w:line="480" w:lineRule="auto" w:after="0"/>
      </w:pPr>
      <w:r>
        <w:rPr>
          <w:rFonts w:ascii="Times New Roman" w:hAnsi="Times New Roman" w:cs="Times New Roman" w:eastAsia="Times New Roman"/>
          <w:b w:val="0"/>
          <w:i w:val="0"/>
          <w:sz w:val="24"/>
        </w:rPr>
        <w:t>La iteración inmediata, el Sprint 4, cierra el catálogo —edición de producto, filtros y administración completa de categorías— y salda cuatro de las entradas de deuda documental de la Tabla 7, que son baratas de corregir ahora y caras de arrastrar.</w:t>
      </w:r>
    </w:p>
    <w:p>
      <w:pPr>
        <w:pStyle w:val="Heading1"/>
        <w:jc w:val="left"/>
        <w:spacing w:line="480" w:lineRule="auto" w:after="0"/>
      </w:pPr>
      <w:r>
        <w:rPr>
          <w:rFonts w:ascii="Times New Roman" w:hAnsi="Times New Roman" w:cs="Times New Roman" w:eastAsia="Times New Roman"/>
          <w:b/>
          <w:i w:val="0"/>
          <w:sz w:val="24"/>
        </w:rPr>
        <w:t>Referencias</w:t>
      </w:r>
    </w:p>
    <w:p>
      <w:pPr>
        <w:jc w:val="both"/>
        <w:spacing w:line="480" w:lineRule="auto" w:after="0"/>
      </w:pPr>
      <w:r>
        <w:rPr>
          <w:rFonts w:ascii="Times New Roman" w:hAnsi="Times New Roman" w:cs="Times New Roman" w:eastAsia="Times New Roman"/>
          <w:b w:val="0"/>
          <w:i w:val="0"/>
          <w:sz w:val="24"/>
        </w:rPr>
        <w:t xml:space="preserve">Fielding, R. T. (2000). </w:t>
      </w:r>
      <w:r>
        <w:rPr>
          <w:rFonts w:ascii="Times New Roman" w:hAnsi="Times New Roman" w:cs="Times New Roman" w:eastAsia="Times New Roman"/>
          <w:b w:val="0"/>
          <w:i/>
          <w:sz w:val="24"/>
        </w:rPr>
        <w:t>Architectural styles and the design of network-based software architectures</w:t>
      </w:r>
      <w:r>
        <w:rPr>
          <w:rFonts w:ascii="Times New Roman" w:hAnsi="Times New Roman" w:cs="Times New Roman" w:eastAsia="Times New Roman"/>
          <w:b w:val="0"/>
          <w:i w:val="0"/>
          <w:sz w:val="24"/>
        </w:rPr>
        <w:t xml:space="preserve"> [Tesis doctoral, University of California, Irvine].</w:t>
      </w:r>
    </w:p>
    <w:p>
      <w:pPr>
        <w:jc w:val="both"/>
        <w:spacing w:line="480" w:lineRule="auto" w:after="0"/>
      </w:pPr>
      <w:r>
        <w:rPr>
          <w:rFonts w:ascii="Times New Roman" w:hAnsi="Times New Roman" w:cs="Times New Roman" w:eastAsia="Times New Roman"/>
          <w:b w:val="0"/>
          <w:i w:val="0"/>
          <w:sz w:val="24"/>
        </w:rPr>
        <w:t xml:space="preserve">Fowler, M. (2002). </w:t>
      </w:r>
      <w:r>
        <w:rPr>
          <w:rFonts w:ascii="Times New Roman" w:hAnsi="Times New Roman" w:cs="Times New Roman" w:eastAsia="Times New Roman"/>
          <w:b w:val="0"/>
          <w:i/>
          <w:sz w:val="24"/>
        </w:rPr>
        <w:t>Patterns of enterprise application architecture</w:t>
      </w:r>
      <w:r>
        <w:rPr>
          <w:rFonts w:ascii="Times New Roman" w:hAnsi="Times New Roman" w:cs="Times New Roman" w:eastAsia="Times New Roman"/>
          <w:b w:val="0"/>
          <w:i w:val="0"/>
          <w:sz w:val="24"/>
        </w:rPr>
        <w:t>. Addison-Wesley.</w:t>
      </w:r>
    </w:p>
    <w:p>
      <w:pPr>
        <w:jc w:val="both"/>
        <w:spacing w:line="480" w:lineRule="auto" w:after="0"/>
      </w:pPr>
      <w:r>
        <w:rPr>
          <w:rFonts w:ascii="Times New Roman" w:hAnsi="Times New Roman" w:cs="Times New Roman" w:eastAsia="Times New Roman"/>
          <w:b w:val="0"/>
          <w:i w:val="0"/>
          <w:sz w:val="24"/>
        </w:rPr>
        <w:t xml:space="preserve">Martin, R. C. (2017). </w:t>
      </w:r>
      <w:r>
        <w:rPr>
          <w:rFonts w:ascii="Times New Roman" w:hAnsi="Times New Roman" w:cs="Times New Roman" w:eastAsia="Times New Roman"/>
          <w:b w:val="0"/>
          <w:i/>
          <w:sz w:val="24"/>
        </w:rPr>
        <w:t>Clean architecture: A craftsman's guide to software structure and design</w:t>
      </w:r>
      <w:r>
        <w:rPr>
          <w:rFonts w:ascii="Times New Roman" w:hAnsi="Times New Roman" w:cs="Times New Roman" w:eastAsia="Times New Roman"/>
          <w:b w:val="0"/>
          <w:i w:val="0"/>
          <w:sz w:val="24"/>
        </w:rPr>
        <w:t>. Prentice Hall.</w:t>
      </w:r>
    </w:p>
    <w:p>
      <w:pPr>
        <w:jc w:val="both"/>
        <w:spacing w:line="480" w:lineRule="auto" w:after="0"/>
      </w:pPr>
      <w:r>
        <w:rPr>
          <w:rFonts w:ascii="Times New Roman" w:hAnsi="Times New Roman" w:cs="Times New Roman" w:eastAsia="Times New Roman"/>
          <w:b w:val="0"/>
          <w:i w:val="0"/>
          <w:sz w:val="24"/>
        </w:rPr>
        <w:t xml:space="preserve">Nygard, M. T. (2018). </w:t>
      </w:r>
      <w:r>
        <w:rPr>
          <w:rFonts w:ascii="Times New Roman" w:hAnsi="Times New Roman" w:cs="Times New Roman" w:eastAsia="Times New Roman"/>
          <w:b w:val="0"/>
          <w:i/>
          <w:sz w:val="24"/>
        </w:rPr>
        <w:t>Release it! Design and deploy production-ready software</w:t>
      </w:r>
      <w:r>
        <w:rPr>
          <w:rFonts w:ascii="Times New Roman" w:hAnsi="Times New Roman" w:cs="Times New Roman" w:eastAsia="Times New Roman"/>
          <w:b w:val="0"/>
          <w:i w:val="0"/>
          <w:sz w:val="24"/>
        </w:rPr>
        <w:t xml:space="preserve"> (2.ª ed.). Pragmatic Bookshelf.</w:t>
      </w:r>
    </w:p>
    <w:p>
      <w:pPr>
        <w:jc w:val="both"/>
        <w:spacing w:line="480" w:lineRule="auto" w:after="0"/>
      </w:pPr>
      <w:r>
        <w:rPr>
          <w:rFonts w:ascii="Times New Roman" w:hAnsi="Times New Roman" w:cs="Times New Roman" w:eastAsia="Times New Roman"/>
          <w:b w:val="0"/>
          <w:i w:val="0"/>
          <w:sz w:val="24"/>
        </w:rPr>
        <w:t xml:space="preserve">Object Management Group. (2017). </w:t>
      </w:r>
      <w:r>
        <w:rPr>
          <w:rFonts w:ascii="Times New Roman" w:hAnsi="Times New Roman" w:cs="Times New Roman" w:eastAsia="Times New Roman"/>
          <w:b w:val="0"/>
          <w:i/>
          <w:sz w:val="24"/>
        </w:rPr>
        <w:t>OMG unified modeling language specification version 2.5.1</w:t>
      </w:r>
      <w:r>
        <w:rPr>
          <w:rFonts w:ascii="Times New Roman" w:hAnsi="Times New Roman" w:cs="Times New Roman" w:eastAsia="Times New Roman"/>
          <w:b w:val="0"/>
          <w:i w:val="0"/>
          <w:sz w:val="24"/>
        </w:rPr>
        <w:t>. https://www.omg.org/spec/UML/2.5.1</w:t>
      </w:r>
    </w:p>
    <w:p>
      <w:pPr>
        <w:jc w:val="both"/>
        <w:spacing w:line="480" w:lineRule="auto" w:after="0"/>
      </w:pPr>
      <w:r>
        <w:rPr>
          <w:rFonts w:ascii="Times New Roman" w:hAnsi="Times New Roman" w:cs="Times New Roman" w:eastAsia="Times New Roman"/>
          <w:b w:val="0"/>
          <w:i w:val="0"/>
          <w:sz w:val="24"/>
        </w:rPr>
        <w:t xml:space="preserve">Open Worldwide Application Security Project. (2021). </w:t>
      </w:r>
      <w:r>
        <w:rPr>
          <w:rFonts w:ascii="Times New Roman" w:hAnsi="Times New Roman" w:cs="Times New Roman" w:eastAsia="Times New Roman"/>
          <w:b w:val="0"/>
          <w:i/>
          <w:sz w:val="24"/>
        </w:rPr>
        <w:t>OWASP top ten</w:t>
      </w:r>
      <w:r>
        <w:rPr>
          <w:rFonts w:ascii="Times New Roman" w:hAnsi="Times New Roman" w:cs="Times New Roman" w:eastAsia="Times New Roman"/>
          <w:b w:val="0"/>
          <w:i w:val="0"/>
          <w:sz w:val="24"/>
        </w:rPr>
        <w:t>. https://owasp.org/www-project-top-ten/</w:t>
      </w:r>
    </w:p>
    <w:p>
      <w:pPr>
        <w:jc w:val="both"/>
        <w:spacing w:line="480" w:lineRule="auto" w:after="0"/>
      </w:pPr>
      <w:r>
        <w:rPr>
          <w:rFonts w:ascii="Times New Roman" w:hAnsi="Times New Roman" w:cs="Times New Roman" w:eastAsia="Times New Roman"/>
          <w:b w:val="0"/>
          <w:i w:val="0"/>
          <w:sz w:val="24"/>
        </w:rPr>
        <w:t xml:space="preserve">Pressman, R. S., y Maxim, B. R. (2021). </w:t>
      </w:r>
      <w:r>
        <w:rPr>
          <w:rFonts w:ascii="Times New Roman" w:hAnsi="Times New Roman" w:cs="Times New Roman" w:eastAsia="Times New Roman"/>
          <w:b w:val="0"/>
          <w:i/>
          <w:sz w:val="24"/>
        </w:rPr>
        <w:t>Ingeniería del software: Un enfoque práctico</w:t>
      </w:r>
      <w:r>
        <w:rPr>
          <w:rFonts w:ascii="Times New Roman" w:hAnsi="Times New Roman" w:cs="Times New Roman" w:eastAsia="Times New Roman"/>
          <w:b w:val="0"/>
          <w:i w:val="0"/>
          <w:sz w:val="24"/>
        </w:rPr>
        <w:t xml:space="preserve"> (9.ª ed.). McGraw-Hill Education.</w:t>
      </w:r>
    </w:p>
    <w:p>
      <w:pPr>
        <w:jc w:val="both"/>
        <w:spacing w:line="480" w:lineRule="auto" w:after="0"/>
      </w:pPr>
      <w:r>
        <w:rPr>
          <w:rFonts w:ascii="Times New Roman" w:hAnsi="Times New Roman" w:cs="Times New Roman" w:eastAsia="Times New Roman"/>
          <w:b w:val="0"/>
          <w:i w:val="0"/>
          <w:sz w:val="24"/>
        </w:rPr>
        <w:t xml:space="preserve">Schwaber, K., y Sutherland, J. (2020). </w:t>
      </w:r>
      <w:r>
        <w:rPr>
          <w:rFonts w:ascii="Times New Roman" w:hAnsi="Times New Roman" w:cs="Times New Roman" w:eastAsia="Times New Roman"/>
          <w:b w:val="0"/>
          <w:i/>
          <w:sz w:val="24"/>
        </w:rPr>
        <w:t>La guía de Scrum: Las reglas del juego</w:t>
      </w:r>
      <w:r>
        <w:rPr>
          <w:rFonts w:ascii="Times New Roman" w:hAnsi="Times New Roman" w:cs="Times New Roman" w:eastAsia="Times New Roman"/>
          <w:b w:val="0"/>
          <w:i w:val="0"/>
          <w:sz w:val="24"/>
        </w:rPr>
        <w:t>. Scrum.org. https://scrumguides.org</w:t>
      </w:r>
    </w:p>
    <w:p>
      <w:pPr>
        <w:jc w:val="both"/>
        <w:spacing w:line="480" w:lineRule="auto" w:after="0"/>
      </w:pPr>
      <w:r>
        <w:rPr>
          <w:rFonts w:ascii="Times New Roman" w:hAnsi="Times New Roman" w:cs="Times New Roman" w:eastAsia="Times New Roman"/>
          <w:b w:val="0"/>
          <w:i w:val="0"/>
          <w:sz w:val="24"/>
        </w:rPr>
        <w:t xml:space="preserve">Sommerville, I. (2016). </w:t>
      </w:r>
      <w:r>
        <w:rPr>
          <w:rFonts w:ascii="Times New Roman" w:hAnsi="Times New Roman" w:cs="Times New Roman" w:eastAsia="Times New Roman"/>
          <w:b w:val="0"/>
          <w:i/>
          <w:sz w:val="24"/>
        </w:rPr>
        <w:t>Software engineering</w:t>
      </w:r>
      <w:r>
        <w:rPr>
          <w:rFonts w:ascii="Times New Roman" w:hAnsi="Times New Roman" w:cs="Times New Roman" w:eastAsia="Times New Roman"/>
          <w:b w:val="0"/>
          <w:i w:val="0"/>
          <w:sz w:val="24"/>
        </w:rPr>
        <w:t xml:space="preserve"> (10.ª ed.). Pearson Education.</w:t>
      </w:r>
    </w:p>
    <w:p>
      <w:pPr>
        <w:jc w:val="both"/>
        <w:spacing w:line="480" w:lineRule="auto" w:after="0"/>
      </w:pPr>
      <w:r>
        <w:br w:type="page"/>
      </w:r>
    </w:p>
    <w:p>
      <w:pPr>
        <w:pStyle w:val="Heading1"/>
        <w:jc w:val="left"/>
        <w:spacing w:line="480" w:lineRule="auto" w:after="0"/>
      </w:pPr>
      <w:r>
        <w:rPr>
          <w:rFonts w:ascii="Times New Roman" w:hAnsi="Times New Roman" w:cs="Times New Roman" w:eastAsia="Times New Roman"/>
          <w:b/>
          <w:i w:val="0"/>
          <w:sz w:val="24"/>
        </w:rPr>
        <w:t>Anexos</w:t>
      </w:r>
    </w:p>
    <w:p>
      <w:pPr>
        <w:jc w:val="both"/>
        <w:spacing w:line="480" w:lineRule="auto" w:after="0"/>
      </w:pPr>
      <w:r>
        <w:rPr>
          <w:rFonts w:ascii="Times New Roman" w:hAnsi="Times New Roman" w:cs="Times New Roman" w:eastAsia="Times New Roman"/>
          <w:b w:val="0"/>
          <w:i w:val="0"/>
          <w:sz w:val="24"/>
        </w:rPr>
        <w:t>Los siete anexos reúnen la evidencia verificable del periodo. Cada uno indica en qué parte del repositorio se comprueba lo que afirma, de modo que ninguna cifra del cuerpo del informe descanse únicamente en este documento.</w:t>
      </w:r>
    </w:p>
    <w:p>
      <w:pPr>
        <w:pStyle w:val="Heading2"/>
        <w:jc w:val="left"/>
        <w:spacing w:line="480" w:lineRule="auto" w:after="0"/>
      </w:pPr>
      <w:r>
        <w:rPr>
          <w:rFonts w:ascii="Times New Roman" w:hAnsi="Times New Roman" w:cs="Times New Roman" w:eastAsia="Times New Roman"/>
          <w:b/>
          <w:i w:val="0"/>
          <w:sz w:val="24"/>
        </w:rPr>
        <w:t>Anexo A. Solicitudes de incorporación del periodo</w:t>
      </w:r>
    </w:p>
    <w:p>
      <w:pPr>
        <w:jc w:val="both"/>
        <w:spacing w:line="480" w:lineRule="auto" w:after="0"/>
      </w:pPr>
      <w:r>
        <w:rPr>
          <w:rFonts w:ascii="Times New Roman" w:hAnsi="Times New Roman" w:cs="Times New Roman" w:eastAsia="Times New Roman"/>
          <w:b w:val="0"/>
          <w:i w:val="0"/>
          <w:sz w:val="24"/>
        </w:rPr>
        <w:t>Diez solicitudes abiertas y diez fusionadas. Ninguna quedó pendiente a la fecha de corte. El trabajo no se integró nunca directamente sobre develop: toda modificación pasó por una rama y una solicitud, de modo que la cadena de integración continua se ejecutó sobre cada una antes de fusionarla.</w:t>
      </w:r>
    </w:p>
    <w:p>
      <w:pPr>
        <w:jc w:val="both"/>
        <w:keepNext/>
        <w:spacing w:line="480" w:lineRule="auto" w:after="0"/>
      </w:pPr>
      <w:r>
        <w:rPr>
          <w:rFonts w:ascii="Times New Roman" w:hAnsi="Times New Roman" w:cs="Times New Roman" w:eastAsia="Times New Roman"/>
          <w:b w:val="0"/>
          <w:i w:val="0"/>
          <w:sz w:val="20"/>
        </w:rPr>
        <w:t>Tabla 8</w:t>
      </w:r>
    </w:p>
    <w:p>
      <w:pPr>
        <w:jc w:val="both"/>
        <w:keepNext/>
        <w:spacing w:line="480" w:lineRule="auto" w:after="0"/>
      </w:pPr>
      <w:r>
        <w:rPr>
          <w:rFonts w:ascii="Times New Roman" w:hAnsi="Times New Roman" w:cs="Times New Roman" w:eastAsia="Times New Roman"/>
          <w:b w:val="0"/>
          <w:i w:val="0"/>
          <w:sz w:val="20"/>
        </w:rPr>
        <w:t>Solicitudes de incorporación abiertas y fusionadas en el periodo</w:t>
      </w:r>
    </w:p>
    <w:tbl>
      <w:tblPr>
        <w:tblW w:type="dxa" w:w="9360"/>
        <w:tblLayout w:type="fixed"/>
        <w:tblLook w:firstColumn="1" w:firstRow="1" w:lastColumn="0" w:lastRow="0" w:noHBand="0" w:noVBand="1" w:val="04A0"/>
      </w:tblPr>
      <w:tblGrid>
        <w:gridCol w:w="2340"/>
        <w:gridCol w:w="2340"/>
        <w:gridCol w:w="2340"/>
        <w:gridCol w:w="2340"/>
      </w:tblGrid>
      <w:tr>
        <w:trPr>
          <w:tblHeader/>
        </w:trPr>
        <w:tc>
          <w:tcPr>
            <w:tcW w:type="dxa" w:w="468"/>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N.º</w:t>
            </w:r>
          </w:p>
        </w:tc>
        <w:tc>
          <w:tcPr>
            <w:tcW w:type="dxa" w:w="2527"/>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Rama</w:t>
            </w:r>
          </w:p>
        </w:tc>
        <w:tc>
          <w:tcPr>
            <w:tcW w:type="dxa" w:w="5054"/>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Contenido</w:t>
            </w:r>
          </w:p>
        </w:tc>
        <w:tc>
          <w:tcPr>
            <w:tcW w:type="dxa" w:w="1310"/>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Fusión</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w:t>
            </w:r>
          </w:p>
        </w:tc>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docs/alineacion-v4</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Alineación del repositorio con la versión 4 del informe</w:t>
            </w:r>
          </w:p>
        </w:tc>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13 oct</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2</w:t>
            </w:r>
          </w:p>
        </w:tc>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feature/sprint2-sesiones</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Emisión, validación y cierre de sesión (CU-02); autorización por rol</w:t>
            </w:r>
          </w:p>
        </w:tc>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15 oct</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3</w:t>
            </w:r>
          </w:p>
        </w:tc>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feature/sprint3-contexto-empresa</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empresa viaja en la sesión; catálogo abierto por categorías</w:t>
            </w:r>
          </w:p>
        </w:tc>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15 oct</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4</w:t>
            </w:r>
          </w:p>
        </w:tc>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feature/sprint3-productos</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Catálogo de productos con los precios leídos de la vista</w:t>
            </w:r>
          </w:p>
        </w:tc>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15 oct</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5</w:t>
            </w:r>
          </w:p>
        </w:tc>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feature/sprint3-proveedores</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Proveedores; cierre del hueco del proveedor ajeno en productos</w:t>
            </w:r>
          </w:p>
        </w:tc>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15 oct</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6</w:t>
            </w:r>
          </w:p>
        </w:tc>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feature/sprint3-front-web</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Front web en React con acceso y catálogo</w:t>
            </w:r>
          </w:p>
        </w:tc>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16 oct</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7</w:t>
            </w:r>
          </w:p>
        </w:tc>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fix/inicializador-administrador</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inicializador crea el administrador por correo y con empresa</w:t>
            </w:r>
          </w:p>
        </w:tc>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16 oct</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8</w:t>
            </w:r>
          </w:p>
        </w:tc>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fix/catalogo-codigo-y-credito</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Código bajo el nombre y precio a crédito en el catálogo</w:t>
            </w:r>
          </w:p>
        </w:tc>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16 oct</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9</w:t>
            </w:r>
          </w:p>
        </w:tc>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feature/sprint3-imagenes</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Subida de imágenes de producto y logo de empresa (backend)</w:t>
            </w:r>
          </w:p>
        </w:tc>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16 oct</w:t>
            </w:r>
          </w:p>
        </w:tc>
      </w:tr>
      <w:tr>
        <w:tc>
          <w:tcPr>
            <w:tcW w:type="dxa" w:w="468"/>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10</w:t>
            </w:r>
          </w:p>
        </w:tc>
        <w:tc>
          <w:tcPr>
            <w:tcW w:type="dxa" w:w="2527"/>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feature/sprint3-front-imagenes</w:t>
            </w:r>
          </w:p>
        </w:tc>
        <w:tc>
          <w:tcPr>
            <w:tcW w:type="dxa" w:w="5054"/>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Subida de la foto del producto y el logo de la empresa (front)</w:t>
            </w:r>
          </w:p>
        </w:tc>
        <w:tc>
          <w:tcPr>
            <w:tcW w:type="dxa" w:w="1310"/>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16 oct</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Las ramas 7 y 8 corrigen defectos detectados al usar los incrementos de las ramas anteriores dentro del mismo periodo. Elaboración propia a partir del repositorio.</w:t>
      </w:r>
    </w:p>
    <w:p>
      <w:pPr>
        <w:pStyle w:val="Heading2"/>
        <w:jc w:val="left"/>
        <w:spacing w:line="480" w:lineRule="auto" w:after="0"/>
      </w:pPr>
      <w:r>
        <w:rPr>
          <w:rFonts w:ascii="Times New Roman" w:hAnsi="Times New Roman" w:cs="Times New Roman" w:eastAsia="Times New Roman"/>
          <w:b/>
          <w:i w:val="0"/>
          <w:sz w:val="24"/>
        </w:rPr>
        <w:t>Anexo B. Catálogo de servicios de la API</w:t>
      </w:r>
    </w:p>
    <w:p>
      <w:pPr>
        <w:jc w:val="both"/>
        <w:spacing w:line="480" w:lineRule="auto" w:after="0"/>
      </w:pPr>
      <w:r>
        <w:rPr>
          <w:rFonts w:ascii="Times New Roman" w:hAnsi="Times New Roman" w:cs="Times New Roman" w:eastAsia="Times New Roman"/>
          <w:b w:val="0"/>
          <w:i w:val="0"/>
          <w:sz w:val="24"/>
        </w:rPr>
        <w:t>Veintitrés servicios en operación. Todos exigen sesión válida salvo el acceso, y los de escritura exigen además rol de administrador. Ninguno recibe el identificador de empresa: se toma de la sesión.</w:t>
      </w:r>
    </w:p>
    <w:p>
      <w:pPr>
        <w:jc w:val="both"/>
        <w:keepNext/>
        <w:spacing w:line="480" w:lineRule="auto" w:after="0"/>
      </w:pPr>
      <w:r>
        <w:rPr>
          <w:rFonts w:ascii="Times New Roman" w:hAnsi="Times New Roman" w:cs="Times New Roman" w:eastAsia="Times New Roman"/>
          <w:b w:val="0"/>
          <w:i w:val="0"/>
          <w:sz w:val="20"/>
        </w:rPr>
        <w:t>Tabla 9</w:t>
      </w:r>
    </w:p>
    <w:p>
      <w:pPr>
        <w:jc w:val="both"/>
        <w:keepNext/>
        <w:spacing w:line="480" w:lineRule="auto" w:after="0"/>
      </w:pPr>
      <w:r>
        <w:rPr>
          <w:rFonts w:ascii="Times New Roman" w:hAnsi="Times New Roman" w:cs="Times New Roman" w:eastAsia="Times New Roman"/>
          <w:b w:val="0"/>
          <w:i w:val="0"/>
          <w:sz w:val="20"/>
        </w:rPr>
        <w:t>Servicios de la API en operación a la fecha de corte</w:t>
      </w:r>
    </w:p>
    <w:tbl>
      <w:tblPr>
        <w:tblW w:type="dxa" w:w="9360"/>
        <w:tblLayout w:type="fixed"/>
        <w:tblLook w:firstColumn="1" w:firstRow="1" w:lastColumn="0" w:lastRow="0" w:noHBand="0" w:noVBand="1" w:val="04A0"/>
      </w:tblPr>
      <w:tblGrid>
        <w:gridCol w:w="3120"/>
        <w:gridCol w:w="3120"/>
        <w:gridCol w:w="3120"/>
      </w:tblGrid>
      <w:tr>
        <w:trPr>
          <w:tblHeader/>
        </w:trPr>
        <w:tc>
          <w:tcPr>
            <w:tcW w:type="dxa" w:w="3556"/>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Método y ruta</w:t>
            </w:r>
          </w:p>
        </w:tc>
        <w:tc>
          <w:tcPr>
            <w:tcW w:type="dxa" w:w="4118"/>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Qué hace</w:t>
            </w:r>
          </w:p>
        </w:tc>
        <w:tc>
          <w:tcPr>
            <w:tcW w:type="dxa" w:w="1684"/>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Acceso</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POST /api/v1/auth/login</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 y emite el token de sesión</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Público</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POST /api/v1/auth/logout</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Cierra la sesión en curso</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/api/v1/categorias</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Lista las categorías de la empresa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/api/v1/categorias/{id}</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Consulta una categoría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POST /api/v1/categorias</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Registra una categoría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Administrador</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/api/v1/productos</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Lista el catálogo con búsqueda por texto</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/api/v1/productos/{id}</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Consulta la ficha de un producto</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/api/v1/productos/barras/{codigo}</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Consulta un producto por su código de barras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POST /api/v1/productos</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Registra un producto</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Administrador</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/api/v1/proveedores</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Lista los proveedores de la empresa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/api/v1/proveedores/{id}</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Consulta un proveedor</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POST /api/v1/proveedores</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Registra un proveedor</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Administrador</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POST /api/v1/usuarios/{id}/desbloquear</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Levanta el bloqueo por intentos fallidos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Administrador</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/api/v1/productos/{id}/imagenes</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Lista las imágenes del producto</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POST /api/v1/productos/{id}/imagenes</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Sube una imagen y la normaliza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Administrador</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/api/v1/productos/{id}/imagen</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Sirve la imagen principal (dirección vigente)</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/api/v1/imagenes/{id}</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Sirve esa imagen (dirección inmutable)</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/api/v1/imagenes/{id}/miniatura</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Sirve su miniatura (dirección inmutable)</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POST /api/v1/imagenes/{id}/principal</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Cambia cuál es la imagen principal</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Administrador</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DELETE /api/v1/imagenes/{id}</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Elimina la fila y los dos archivos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Administrador</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/api/v1/empresa</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Datos de la empresa y enlace al logo</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55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POST /api/v1/empresa/logo</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Sube o reemplaza el logo</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Administrador</w:t>
            </w:r>
          </w:p>
        </w:tc>
      </w:tr>
      <w:tr>
        <w:tc>
          <w:tcPr>
            <w:tcW w:type="dxa" w:w="3556"/>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/api/v1/empresa/logo</w:t>
            </w:r>
          </w:p>
        </w:tc>
        <w:tc>
          <w:tcPr>
            <w:tcW w:type="dxa" w:w="4118"/>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Sirve el logo (dirección vigente)</w:t>
            </w:r>
          </w:p>
        </w:tc>
        <w:tc>
          <w:tcPr>
            <w:tcW w:type="dxa" w:w="1684"/>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Las imágenes se eliminan de verdad, a diferencia del resto del esquema, donde nada se borra: una fotografía equivocada no es un registro contable y no hay nada que auditar en ella. Elaboración propia a partir de los controladores del backend.</w:t>
      </w:r>
    </w:p>
    <w:p>
      <w:pPr>
        <w:pStyle w:val="Heading2"/>
        <w:jc w:val="left"/>
        <w:spacing w:line="480" w:lineRule="auto" w:after="0"/>
      </w:pPr>
      <w:r>
        <w:rPr>
          <w:rFonts w:ascii="Times New Roman" w:hAnsi="Times New Roman" w:cs="Times New Roman" w:eastAsia="Times New Roman"/>
          <w:b/>
          <w:i w:val="0"/>
          <w:sz w:val="24"/>
        </w:rPr>
        <w:t>Anexo C. Migraciones del esquema y verificaciones automáticas</w:t>
      </w:r>
    </w:p>
    <w:p>
      <w:pPr>
        <w:jc w:val="both"/>
        <w:spacing w:line="480" w:lineRule="auto" w:after="0"/>
      </w:pPr>
      <w:r>
        <w:rPr>
          <w:rFonts w:ascii="Times New Roman" w:hAnsi="Times New Roman" w:cs="Times New Roman" w:eastAsia="Times New Roman"/>
          <w:b w:val="0"/>
          <w:i w:val="0"/>
          <w:sz w:val="24"/>
        </w:rPr>
        <w:t>Las migraciones se aplican en un orden escrito a mano y no por comodín, porque el orden alfabético pone la V10 antes de la V2 y la cadena falla en la primera clave foránea.</w:t>
      </w:r>
    </w:p>
    <w:p>
      <w:pPr>
        <w:jc w:val="both"/>
        <w:keepNext/>
        <w:spacing w:line="480" w:lineRule="auto" w:after="0"/>
      </w:pPr>
      <w:r>
        <w:rPr>
          <w:rFonts w:ascii="Times New Roman" w:hAnsi="Times New Roman" w:cs="Times New Roman" w:eastAsia="Times New Roman"/>
          <w:b w:val="0"/>
          <w:i w:val="0"/>
          <w:sz w:val="20"/>
        </w:rPr>
        <w:t>Tabla 10</w:t>
      </w:r>
    </w:p>
    <w:p>
      <w:pPr>
        <w:jc w:val="both"/>
        <w:keepNext/>
        <w:spacing w:line="480" w:lineRule="auto" w:after="0"/>
      </w:pPr>
      <w:r>
        <w:rPr>
          <w:rFonts w:ascii="Times New Roman" w:hAnsi="Times New Roman" w:cs="Times New Roman" w:eastAsia="Times New Roman"/>
          <w:b w:val="0"/>
          <w:i w:val="0"/>
          <w:sz w:val="20"/>
        </w:rPr>
        <w:t>Migraciones aplicadas a la fecha de corte</w:t>
      </w:r>
    </w:p>
    <w:tbl>
      <w:tblPr>
        <w:tblW w:type="dxa" w:w="9360"/>
        <w:tblLayout w:type="fixed"/>
        <w:tblLook w:firstColumn="1" w:firstRow="1" w:lastColumn="0" w:lastRow="0" w:noHBand="0" w:noVBand="1" w:val="04A0"/>
      </w:tblPr>
      <w:tblGrid>
        <w:gridCol w:w="3120"/>
        <w:gridCol w:w="3120"/>
        <w:gridCol w:w="3120"/>
      </w:tblGrid>
      <w:tr>
        <w:trPr>
          <w:tblHeader/>
        </w:trPr>
        <w:tc>
          <w:tcPr>
            <w:tcW w:type="dxa" w:w="1310"/>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Migración</w:t>
            </w:r>
          </w:p>
        </w:tc>
        <w:tc>
          <w:tcPr>
            <w:tcW w:type="dxa" w:w="6364"/>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Contenido</w:t>
            </w:r>
          </w:p>
        </w:tc>
        <w:tc>
          <w:tcPr>
            <w:tcW w:type="dxa" w:w="1684"/>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Periodo</w:t>
            </w:r>
          </w:p>
        </w:tc>
      </w:tr>
      <w:tr>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00</w:t>
            </w:r>
          </w:p>
        </w:tc>
        <w:tc>
          <w:tcPr>
            <w:tcW w:type="dxa" w:w="636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Creación de la base de datos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V1</w:t>
            </w:r>
          </w:p>
        </w:tc>
        <w:tc>
          <w:tcPr>
            <w:tcW w:type="dxa" w:w="636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Dominio de seguridad</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V2</w:t>
            </w:r>
          </w:p>
        </w:tc>
        <w:tc>
          <w:tcPr>
            <w:tcW w:type="dxa" w:w="636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Catálogo, abastecimiento e inventario</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V3</w:t>
            </w:r>
          </w:p>
        </w:tc>
        <w:tc>
          <w:tcPr>
            <w:tcW w:type="dxa" w:w="636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Parametrización comercial y tributaria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V4</w:t>
            </w:r>
          </w:p>
        </w:tc>
        <w:tc>
          <w:tcPr>
            <w:tcW w:type="dxa" w:w="636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Dominio comercial y facturación electrónica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V5</w:t>
            </w:r>
          </w:p>
        </w:tc>
        <w:tc>
          <w:tcPr>
            <w:tcW w:type="dxa" w:w="636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Funciones almacenadas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V6</w:t>
            </w:r>
          </w:p>
        </w:tc>
        <w:tc>
          <w:tcPr>
            <w:tcW w:type="dxa" w:w="636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Vistas de consulta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V7</w:t>
            </w:r>
          </w:p>
        </w:tc>
        <w:tc>
          <w:tcPr>
            <w:tcW w:type="dxa" w:w="636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Datos iniciales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V8</w:t>
            </w:r>
          </w:p>
        </w:tc>
        <w:tc>
          <w:tcPr>
            <w:tcW w:type="dxa" w:w="636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Datos de demostración</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V9</w:t>
            </w:r>
          </w:p>
        </w:tc>
        <w:tc>
          <w:tcPr>
            <w:tcW w:type="dxa" w:w="636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Cuarto rol y venta sin existencia disponible</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V10</w:t>
            </w:r>
          </w:p>
        </w:tc>
        <w:tc>
          <w:tcPr>
            <w:tcW w:type="dxa" w:w="636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Plataforma multiempresa, abastecimiento y medios de pago</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Este</w:t>
            </w:r>
          </w:p>
        </w:tc>
      </w:tr>
      <w:tr>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V11</w:t>
            </w:r>
          </w:p>
        </w:tc>
        <w:tc>
          <w:tcPr>
            <w:tcW w:type="dxa" w:w="636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aislamiento pasa a las claves foráneas compuestas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Este</w:t>
            </w:r>
          </w:p>
        </w:tc>
      </w:tr>
      <w:tr>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V12</w:t>
            </w:r>
          </w:p>
        </w:tc>
        <w:tc>
          <w:tcPr>
            <w:tcW w:type="dxa" w:w="636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Configuración tributaria y comercial por empresa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Este</w:t>
            </w:r>
          </w:p>
        </w:tc>
      </w:tr>
      <w:tr>
        <w:tc>
          <w:tcPr>
            <w:tcW w:type="dxa" w:w="131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V13</w:t>
            </w:r>
          </w:p>
        </w:tc>
        <w:tc>
          <w:tcPr>
            <w:tcW w:type="dxa" w:w="636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Logo de la empresa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Este</w:t>
            </w:r>
          </w:p>
        </w:tc>
      </w:tr>
      <w:tr>
        <w:tc>
          <w:tcPr>
            <w:tcW w:type="dxa" w:w="1310"/>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V14</w:t>
            </w:r>
          </w:p>
        </w:tc>
        <w:tc>
          <w:tcPr>
            <w:tcW w:type="dxa" w:w="6364"/>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Miniatura de la imagen de producto</w:t>
            </w:r>
          </w:p>
        </w:tc>
        <w:tc>
          <w:tcPr>
            <w:tcW w:type="dxa" w:w="1684"/>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Este</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«Anterior» indica que la migración existía antes del periodo; las cinco del periodo se incorporaron con la revisión de la especificación y con el trabajo de imágenes. Elaboración propia.</w:t>
      </w:r>
    </w:p>
    <w:p>
      <w:pPr>
        <w:jc w:val="both"/>
        <w:spacing w:line="480" w:lineRule="auto" w:after="0"/>
      </w:pPr>
      <w:r>
        <w:rPr>
          <w:rFonts w:ascii="Times New Roman" w:hAnsi="Times New Roman" w:cs="Times New Roman" w:eastAsia="Times New Roman"/>
          <w:b w:val="0"/>
          <w:i w:val="0"/>
          <w:sz w:val="24"/>
        </w:rPr>
        <w:t>Sobre el esquema resultante, la cadena de integración continua ejecuta seis comprobaciones en cada entrega. Fallar cualquiera de ellas detiene la entrega.</w:t>
      </w:r>
    </w:p>
    <w:p>
      <w:pPr>
        <w:jc w:val="both"/>
        <w:keepNext/>
        <w:spacing w:line="480" w:lineRule="auto" w:after="0"/>
      </w:pPr>
      <w:r>
        <w:rPr>
          <w:rFonts w:ascii="Times New Roman" w:hAnsi="Times New Roman" w:cs="Times New Roman" w:eastAsia="Times New Roman"/>
          <w:b w:val="0"/>
          <w:i w:val="0"/>
          <w:sz w:val="20"/>
        </w:rPr>
        <w:t>Tabla 11</w:t>
      </w:r>
    </w:p>
    <w:p>
      <w:pPr>
        <w:jc w:val="both"/>
        <w:keepNext/>
        <w:spacing w:line="480" w:lineRule="auto" w:after="0"/>
      </w:pPr>
      <w:r>
        <w:rPr>
          <w:rFonts w:ascii="Times New Roman" w:hAnsi="Times New Roman" w:cs="Times New Roman" w:eastAsia="Times New Roman"/>
          <w:b w:val="0"/>
          <w:i w:val="0"/>
          <w:sz w:val="20"/>
        </w:rPr>
        <w:t>Verificaciones automáticas del esquema en cada entrega</w:t>
      </w:r>
    </w:p>
    <w:tbl>
      <w:tblPr>
        <w:tblW w:type="dxa" w:w="9360"/>
        <w:tblLayout w:type="fixed"/>
        <w:tblLook w:firstColumn="1" w:firstRow="1" w:lastColumn="0" w:lastRow="0" w:noHBand="0" w:noVBand="1" w:val="04A0"/>
      </w:tblPr>
      <w:tblGrid>
        <w:gridCol w:w="3120"/>
        <w:gridCol w:w="3120"/>
        <w:gridCol w:w="3120"/>
      </w:tblGrid>
      <w:tr>
        <w:trPr>
          <w:tblHeader/>
        </w:trPr>
        <w:tc>
          <w:tcPr>
            <w:tcW w:type="dxa" w:w="1872"/>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Verificación</w:t>
            </w:r>
          </w:p>
        </w:tc>
        <w:tc>
          <w:tcPr>
            <w:tcW w:type="dxa" w:w="3369"/>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Qué comprueba</w:t>
            </w:r>
          </w:p>
        </w:tc>
        <w:tc>
          <w:tcPr>
            <w:tcW w:type="dxa" w:w="4118"/>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Por qué</w:t>
            </w:r>
          </w:p>
        </w:tc>
      </w:tr>
      <w:tr>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Conteo de objetos</w:t>
            </w:r>
          </w:p>
        </w:tc>
        <w:tc>
          <w:tcPr>
            <w:tcW w:type="dxa" w:w="336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39 tablas, 6 vistas y 4 funciones</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Detecta una migración que no se aplicó o que se aplicó dos veces</w:t>
            </w:r>
          </w:p>
        </w:tc>
      </w:tr>
      <w:tr>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Integridad de la V9</w:t>
            </w:r>
          </w:p>
        </w:tc>
        <w:tc>
          <w:tcPr>
            <w:tcW w:type="dxa" w:w="336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Existe la columna ventas.sin_existencia</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conteo de tablas cuadra con la V9 a medias, porque esa migración no crea tablas sino columnas; esta es la última que crea</w:t>
            </w:r>
          </w:p>
        </w:tc>
      </w:tr>
      <w:tr>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Claves foráneas por empresa</w:t>
            </w:r>
          </w:p>
        </w:tc>
        <w:tc>
          <w:tcPr>
            <w:tcW w:type="dxa" w:w="336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24 restricciones con sufijo _emp</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Veinte provienen de la V11 y cuatro de la V12; si falta alguna, el aislamiento deja de estar en el esquema</w:t>
            </w:r>
          </w:p>
        </w:tc>
      </w:tr>
      <w:tr>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Aislamiento entre empresas</w:t>
            </w:r>
          </w:p>
        </w:tc>
        <w:tc>
          <w:tcPr>
            <w:tcW w:type="dxa" w:w="336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Guion que siembra dos empresas e intenta las operaciones que no deberían ser posibles</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Es la invariante de la que depende el modelo de negocio completo</w:t>
            </w:r>
          </w:p>
        </w:tc>
      </w:tr>
      <w:tr>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Configuración tributaria</w:t>
            </w:r>
          </w:p>
        </w:tc>
        <w:tc>
          <w:tcPr>
            <w:tcW w:type="dxa" w:w="336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Guion que verifica la parametrización por empresa</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Las reglas tributarias se almacenan con fecha de vigencia y no pueden quedar huérfanas de empresa</w:t>
            </w:r>
          </w:p>
        </w:tc>
      </w:tr>
      <w:tr>
        <w:tc>
          <w:tcPr>
            <w:tcW w:type="dxa" w:w="1872"/>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Restricción opcional de ámbito</w:t>
            </w:r>
          </w:p>
        </w:tc>
        <w:tc>
          <w:tcPr>
            <w:tcW w:type="dxa" w:w="3369"/>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 intenta aplicar y se informa el resultado sin detener la entrega</w:t>
            </w:r>
          </w:p>
        </w:tc>
        <w:tc>
          <w:tcPr>
            <w:tcW w:type="dxa" w:w="4118"/>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No se pudo verificar que MySQL la acepte; el registro deja por escrito qué ocurrió en cada ejecución</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La sexta verificación es deliberadamente no bloqueante: declara una invariante que, de no aceptarla el motor, queda a cargo de la aplicación. Elaboración propia a partir del flujo de integración continua.</w:t>
      </w:r>
    </w:p>
    <w:p>
      <w:pPr>
        <w:pStyle w:val="Heading2"/>
        <w:jc w:val="left"/>
        <w:spacing w:line="480" w:lineRule="auto" w:after="0"/>
      </w:pPr>
      <w:r>
        <w:rPr>
          <w:rFonts w:ascii="Times New Roman" w:hAnsi="Times New Roman" w:cs="Times New Roman" w:eastAsia="Times New Roman"/>
          <w:b/>
          <w:i w:val="0"/>
          <w:sz w:val="24"/>
        </w:rPr>
        <w:t>Anexo D. Pruebas automatizadas por clase</w:t>
      </w:r>
    </w:p>
    <w:p>
      <w:pPr>
        <w:jc w:val="both"/>
        <w:spacing w:line="480" w:lineRule="auto" w:after="0"/>
      </w:pPr>
      <w:r>
        <w:rPr>
          <w:rFonts w:ascii="Times New Roman" w:hAnsi="Times New Roman" w:cs="Times New Roman" w:eastAsia="Times New Roman"/>
          <w:b w:val="0"/>
          <w:i w:val="0"/>
          <w:sz w:val="24"/>
        </w:rPr>
        <w:t>Ciento cincuenta métodos de prueba. El reparto refleja dónde está el riesgo: las clases que procesan bytes que manda el cliente —normalización de imágenes, almacén de archivos, formato— concentran treinta y cinco pruebas, casi un tercio de las del backend.</w:t>
      </w:r>
    </w:p>
    <w:p>
      <w:pPr>
        <w:jc w:val="both"/>
        <w:keepNext/>
        <w:spacing w:line="480" w:lineRule="auto" w:after="0"/>
      </w:pPr>
      <w:r>
        <w:rPr>
          <w:rFonts w:ascii="Times New Roman" w:hAnsi="Times New Roman" w:cs="Times New Roman" w:eastAsia="Times New Roman"/>
          <w:b w:val="0"/>
          <w:i w:val="0"/>
          <w:sz w:val="20"/>
        </w:rPr>
        <w:t>Tabla 12</w:t>
      </w:r>
    </w:p>
    <w:p>
      <w:pPr>
        <w:jc w:val="both"/>
        <w:keepNext/>
        <w:spacing w:line="480" w:lineRule="auto" w:after="0"/>
      </w:pPr>
      <w:r>
        <w:rPr>
          <w:rFonts w:ascii="Times New Roman" w:hAnsi="Times New Roman" w:cs="Times New Roman" w:eastAsia="Times New Roman"/>
          <w:b w:val="0"/>
          <w:i w:val="0"/>
          <w:sz w:val="20"/>
        </w:rPr>
        <w:t>Métodos de prueba por clase</w:t>
      </w:r>
    </w:p>
    <w:tbl>
      <w:tblPr>
        <w:tblW w:type="dxa" w:w="9360"/>
        <w:tblLayout w:type="fixed"/>
        <w:tblLook w:firstColumn="1" w:firstRow="1" w:lastColumn="0" w:lastRow="0" w:noHBand="0" w:noVBand="1" w:val="04A0"/>
      </w:tblPr>
      <w:tblGrid>
        <w:gridCol w:w="3120"/>
        <w:gridCol w:w="3120"/>
        <w:gridCol w:w="3120"/>
      </w:tblGrid>
      <w:tr>
        <w:trPr>
          <w:tblHeader/>
        </w:trPr>
        <w:tc>
          <w:tcPr>
            <w:tcW w:type="dxa" w:w="2433"/>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Componente</w:t>
            </w:r>
          </w:p>
        </w:tc>
        <w:tc>
          <w:tcPr>
            <w:tcW w:type="dxa" w:w="5241"/>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Clase o archivo</w:t>
            </w:r>
          </w:p>
        </w:tc>
        <w:tc>
          <w:tcPr>
            <w:tcW w:type="dxa" w:w="1684"/>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Pruebas</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lógica</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NormalizadorImagenesTest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15</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lógica</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AlmacenArchivosTest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14</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lógica</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ServicioImagenesTest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14</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util</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SeguridadTest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12</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lógica</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ServicioProductoTest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11</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lógica</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ServicioSesionTest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11</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lógica</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ServicioAutenticacionTest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8</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config</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InicializadorAdministradorTest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7</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config</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ContextoEmpresaTest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6</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lógica</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FormatoImagenTest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6</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lógica</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ServicioCategoriaTest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6</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lógica</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ServicioProveedorTest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6</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arranque</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BackendApplicationTests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Front · servicios</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api.prueba.js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14</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Front · servicios</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imagenes.prueba.js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9</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Front · servicios</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subidas.prueba.js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6</w:t>
            </w:r>
          </w:p>
        </w:tc>
      </w:tr>
      <w:tr>
        <w:tc>
          <w:tcPr>
            <w:tcW w:type="dxa" w:w="243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Front · servicios</w:t>
            </w:r>
          </w:p>
        </w:tc>
        <w:tc>
          <w:tcPr>
            <w:tcW w:type="dxa" w:w="524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sesion.prueba.js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4</w:t>
            </w:r>
          </w:p>
        </w:tc>
      </w:tr>
      <w:tr>
        <w:tc>
          <w:tcPr>
            <w:tcW w:type="dxa" w:w="2433"/>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Total</w:t>
            </w:r>
          </w:p>
        </w:tc>
        <w:tc>
          <w:tcPr>
            <w:tcW w:type="dxa" w:w="5241"/>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p>
        </w:tc>
        <w:tc>
          <w:tcPr>
            <w:tcW w:type="dxa" w:w="1684"/>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150</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BackendApplicationTests cuenta una sola prueba, pero no es trivial: levanta el contexto contra el MySQL real de la cadena con validación de esquema activa, de modo que falla si una entidad y su tabla discrepan. Elaboración propia.</w:t>
      </w:r>
    </w:p>
    <w:p>
      <w:pPr>
        <w:pStyle w:val="Heading2"/>
        <w:jc w:val="left"/>
        <w:spacing w:line="480" w:lineRule="auto" w:after="0"/>
      </w:pPr>
      <w:r>
        <w:rPr>
          <w:rFonts w:ascii="Times New Roman" w:hAnsi="Times New Roman" w:cs="Times New Roman" w:eastAsia="Times New Roman"/>
          <w:b/>
          <w:i w:val="0"/>
          <w:sz w:val="24"/>
        </w:rPr>
        <w:t>Anexo E. Registro de decisiones de arquitectura</w:t>
      </w:r>
    </w:p>
    <w:p>
      <w:pPr>
        <w:jc w:val="both"/>
        <w:spacing w:line="480" w:lineRule="auto" w:after="0"/>
      </w:pPr>
      <w:r>
        <w:rPr>
          <w:rFonts w:ascii="Times New Roman" w:hAnsi="Times New Roman" w:cs="Times New Roman" w:eastAsia="Times New Roman"/>
          <w:b w:val="0"/>
          <w:i w:val="0"/>
          <w:sz w:val="24"/>
        </w:rPr>
        <w:t>Diecisiete decisiones vigentes. Una decisión no se edita cuando se cambia de opinión: se marca como superada y se escribe otra con el número siguiente, porque el historial es lo que da valor al registro.</w:t>
      </w:r>
    </w:p>
    <w:p>
      <w:pPr>
        <w:jc w:val="both"/>
        <w:keepNext/>
        <w:spacing w:line="480" w:lineRule="auto" w:after="0"/>
      </w:pPr>
      <w:r>
        <w:rPr>
          <w:rFonts w:ascii="Times New Roman" w:hAnsi="Times New Roman" w:cs="Times New Roman" w:eastAsia="Times New Roman"/>
          <w:b w:val="0"/>
          <w:i w:val="0"/>
          <w:sz w:val="20"/>
        </w:rPr>
        <w:t>Tabla 13</w:t>
      </w:r>
    </w:p>
    <w:p>
      <w:pPr>
        <w:jc w:val="both"/>
        <w:keepNext/>
        <w:spacing w:line="480" w:lineRule="auto" w:after="0"/>
      </w:pPr>
      <w:r>
        <w:rPr>
          <w:rFonts w:ascii="Times New Roman" w:hAnsi="Times New Roman" w:cs="Times New Roman" w:eastAsia="Times New Roman"/>
          <w:b w:val="0"/>
          <w:i w:val="0"/>
          <w:sz w:val="20"/>
        </w:rPr>
        <w:t>Decisiones de arquitectura registradas</w:t>
      </w:r>
    </w:p>
    <w:tbl>
      <w:tblPr>
        <w:tblW w:type="dxa" w:w="9360"/>
        <w:tblLayout w:type="fixed"/>
        <w:tblLook w:firstColumn="1" w:firstRow="1" w:lastColumn="0" w:lastRow="0" w:noHBand="0" w:noVBand="1" w:val="04A0"/>
      </w:tblPr>
      <w:tblGrid>
        <w:gridCol w:w="3120"/>
        <w:gridCol w:w="3120"/>
        <w:gridCol w:w="3120"/>
      </w:tblGrid>
      <w:tr>
        <w:trPr>
          <w:tblHeader/>
        </w:trPr>
        <w:tc>
          <w:tcPr>
            <w:tcW w:type="dxa" w:w="748"/>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N.º</w:t>
            </w:r>
          </w:p>
        </w:tc>
        <w:tc>
          <w:tcPr>
            <w:tcW w:type="dxa" w:w="6926"/>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Decisión</w:t>
            </w:r>
          </w:p>
        </w:tc>
        <w:tc>
          <w:tcPr>
            <w:tcW w:type="dxa" w:w="1684"/>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Periodo</w:t>
            </w:r>
          </w:p>
        </w:tc>
      </w:tr>
      <w:tr>
        <w:tc>
          <w:tcPr>
            <w:tcW w:type="dxa" w:w="74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0001</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Arquitectura de tres componentes sobre una API REST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74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0002</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PBKDF2 para derivación de contraseñas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74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0003</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Los precios de venta se calculan en una vista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74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0004</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Los umbrales tributarios se almacenan en UVT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74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0005</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factura electrónica se emite fuera de la transacción de venta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74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0006</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umbral de envío se mide sobre el subtotal</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74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0007</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lectura de listas de precios se abstrae tras una interfaz</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74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0008</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MySQL 9.7 LTS como motor de base de datos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74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0009</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Sistema de diseño de la interfaz</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74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0010</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React y React Native en lugar de Kotlin y Swing</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74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0011</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Aislamiento multiempresa por columna, en una sola base</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74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0012</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Operación sin conexión con cola e idempotencia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74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0013</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Las cantidades son enteras: la presentación es la unidad</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74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0014</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existencia negativa es la deuda de reposición</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74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0015</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Suscripción: un mes gratis y tres estados de empresa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74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0016</w:t>
            </w:r>
          </w:p>
        </w:tc>
        <w:tc>
          <w:tcPr>
            <w:tcW w:type="dxa" w:w="6926"/>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tributación se reparte en dos capas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Anterior</w:t>
            </w:r>
          </w:p>
        </w:tc>
      </w:tr>
      <w:tr>
        <w:tc>
          <w:tcPr>
            <w:tcW w:type="dxa" w:w="748"/>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0017</w:t>
            </w:r>
          </w:p>
        </w:tc>
        <w:tc>
          <w:tcPr>
            <w:tcW w:type="dxa" w:w="6926"/>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Las imágenes se normalizan al subirlas y se sirven por direcciones inmutables</w:t>
            </w:r>
          </w:p>
        </w:tc>
        <w:tc>
          <w:tcPr>
            <w:tcW w:type="dxa" w:w="1684"/>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Este</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El ADR-0017 recoge las cinco decisiones del trabajo de imágenes con sus consecuencias en contra, que son la parte del documento que permite revisarla después. El ADR-0010 quedó desactualizado y la Tabla 7 registra su tratamiento. Elaboración propia.</w:t>
      </w:r>
    </w:p>
    <w:p>
      <w:pPr>
        <w:pStyle w:val="Heading2"/>
        <w:jc w:val="left"/>
        <w:spacing w:line="480" w:lineRule="auto" w:after="0"/>
      </w:pPr>
      <w:r>
        <w:rPr>
          <w:rFonts w:ascii="Times New Roman" w:hAnsi="Times New Roman" w:cs="Times New Roman" w:eastAsia="Times New Roman"/>
          <w:b/>
          <w:i w:val="0"/>
          <w:sz w:val="24"/>
        </w:rPr>
        <w:t>Anexo F. Defectos del periodo: síntoma, causa y corrección</w:t>
      </w:r>
    </w:p>
    <w:p>
      <w:pPr>
        <w:jc w:val="both"/>
        <w:spacing w:line="480" w:lineRule="auto" w:after="0"/>
      </w:pPr>
      <w:r>
        <w:rPr>
          <w:rFonts w:ascii="Times New Roman" w:hAnsi="Times New Roman" w:cs="Times New Roman" w:eastAsia="Times New Roman"/>
          <w:b w:val="0"/>
          <w:i w:val="0"/>
          <w:sz w:val="24"/>
        </w:rPr>
        <w:t>Los cinco defectos del periodo, con el síntoma que presentó el usuario, la causa real y la corrección. La columna de causa es la que justifica este anexo: en cuatro de los cinco casos el síntoma no señalaba hacia el problema.</w:t>
      </w:r>
    </w:p>
    <w:p>
      <w:pPr>
        <w:jc w:val="both"/>
        <w:keepNext/>
        <w:spacing w:line="480" w:lineRule="auto" w:after="0"/>
      </w:pPr>
      <w:r>
        <w:rPr>
          <w:rFonts w:ascii="Times New Roman" w:hAnsi="Times New Roman" w:cs="Times New Roman" w:eastAsia="Times New Roman"/>
          <w:b w:val="0"/>
          <w:i w:val="0"/>
          <w:sz w:val="20"/>
        </w:rPr>
        <w:t>Tabla 14</w:t>
      </w:r>
    </w:p>
    <w:p>
      <w:pPr>
        <w:jc w:val="both"/>
        <w:keepNext/>
        <w:spacing w:line="480" w:lineRule="auto" w:after="0"/>
      </w:pPr>
      <w:r>
        <w:rPr>
          <w:rFonts w:ascii="Times New Roman" w:hAnsi="Times New Roman" w:cs="Times New Roman" w:eastAsia="Times New Roman"/>
          <w:b w:val="0"/>
          <w:i w:val="0"/>
          <w:sz w:val="20"/>
        </w:rPr>
        <w:t>Defectos reportados en uso, causa y corrección</w:t>
      </w:r>
    </w:p>
    <w:tbl>
      <w:tblPr>
        <w:tblW w:type="dxa" w:w="9360"/>
        <w:tblLayout w:type="fixed"/>
        <w:tblLook w:firstColumn="1" w:firstRow="1" w:lastColumn="0" w:lastRow="0" w:noHBand="0" w:noVBand="1" w:val="04A0"/>
      </w:tblPr>
      <w:tblGrid>
        <w:gridCol w:w="3120"/>
        <w:gridCol w:w="3120"/>
        <w:gridCol w:w="3120"/>
      </w:tblGrid>
      <w:tr>
        <w:trPr>
          <w:tblHeader/>
        </w:trPr>
        <w:tc>
          <w:tcPr>
            <w:tcW w:type="dxa" w:w="2527"/>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Síntoma que vio el usuario</w:t>
            </w:r>
          </w:p>
        </w:tc>
        <w:tc>
          <w:tcPr>
            <w:tcW w:type="dxa" w:w="3369"/>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Causa real</w:t>
            </w:r>
          </w:p>
        </w:tc>
        <w:tc>
          <w:tcPr>
            <w:tcW w:type="dxa" w:w="3463"/>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Corrección</w:t>
            </w:r>
          </w:p>
        </w:tc>
      </w:tr>
      <w:tr>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Un archivo WebP se rechaza con «la imagen está dañada o incompleta», estando intacto</w:t>
            </w:r>
          </w:p>
        </w:tc>
        <w:tc>
          <w:tcPr>
            <w:tcW w:type="dxa" w:w="336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almacén admitía el formato porque reconocía su firma, y después la máquina virtual no sabía decodificarlo. Reconocer y saber leer son preguntas distintas</w:t>
            </w:r>
          </w:p>
        </w:tc>
        <w:tc>
          <w:tcPr>
            <w:tcW w:type="dxa" w:w="346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 separan ambas preguntas; la lista de formatos admitidos se deriva de lo que la máquina declara saber leer, y el navegador convierte a PNG lo que el servidor no entiende</w:t>
            </w:r>
          </w:p>
        </w:tc>
      </w:tr>
      <w:tr>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galería marca como principal una fotografía y el catálogo sigue mostrando la anterior</w:t>
            </w:r>
          </w:p>
        </w:tc>
        <w:tc>
          <w:tcPr>
            <w:tcW w:type="dxa" w:w="336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miniatura se pedía por una dirección que nombra un papel y se servía con permiso de caché por siete días. El navegador devolvía los bytes anteriores sin consultar al servidor</w:t>
            </w:r>
          </w:p>
        </w:tc>
        <w:tc>
          <w:tcPr>
            <w:tcW w:type="dxa" w:w="346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miniatura recibe dirección propia e inmutable; la política de caché se deriva de la clase de dirección (Figura 4)</w:t>
            </w:r>
          </w:p>
        </w:tc>
      </w:tr>
      <w:tr>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No se pueden subir varias fotografías desde el catálogo</w:t>
            </w:r>
          </w:p>
        </w:tc>
        <w:tc>
          <w:tcPr>
            <w:tcW w:type="dxa" w:w="336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selección múltiple se colocó solo en la galería, detrás de un enlace de texto. El usuario hace clic en la foto, que es lo natural</w:t>
            </w:r>
          </w:p>
        </w:tc>
        <w:tc>
          <w:tcPr>
            <w:tcW w:type="dxa" w:w="346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recuadro de la tabla admite varias; el bucle vive en un único servicio compartido y es secuencial, porque en paralelo las subidas chocan contra el índice único</w:t>
            </w:r>
          </w:p>
        </w:tc>
      </w:tr>
      <w:tr>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Cualquier fotografía de teléfono se rechaza por tamaño; a veces aparece «error fetch»</w:t>
            </w:r>
          </w:p>
        </w:tc>
        <w:tc>
          <w:tcPr>
            <w:tcW w:type="dxa" w:w="336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tope eran 2 MB y el rechazo ocurría antes de que la normalización pudiera encoger la imagen. El «error fetch» era el contenedor cerrando la conexión al descartar el cuerpo</w:t>
            </w:r>
          </w:p>
        </w:tc>
        <w:tc>
          <w:tcPr>
            <w:tcW w:type="dxa" w:w="346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Tope único de 10 MB en el código, del que se derivan los límites de multipart; el límite del contenedor queda por encima para que sea nuestro código el que rechace y pueda explicarlo</w:t>
            </w:r>
          </w:p>
        </w:tc>
      </w:tr>
      <w:tr>
        <w:tc>
          <w:tcPr>
            <w:tcW w:type="dxa" w:w="2527"/>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Cambiar el logo de la empresa cierra la sesión del usuario</w:t>
            </w:r>
          </w:p>
        </w:tc>
        <w:tc>
          <w:tcPr>
            <w:tcW w:type="dxa" w:w="3369"/>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filtro que identifica al usuario no se ejecutaba en el despacho interno de error, de modo que cualquier fallo se presentaba como un 401. Afectaba a todo el sistema, no solo al logo</w:t>
            </w:r>
          </w:p>
        </w:tc>
        <w:tc>
          <w:tcPr>
            <w:tcW w:type="dxa" w:w="3463"/>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filtro se ejecuta también en el despacho de error, y el usuario recibe la causa real del fallo</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Una fotografía tomada con un teléfono real detectó tres de los cinco. Ninguno lo detectaron las pruebas automatizadas, porque una prueba verifica lo que quien la escribe ya pensó. Elaboración propia.</w:t>
      </w:r>
    </w:p>
    <w:p>
      <w:pPr>
        <w:pStyle w:val="Heading2"/>
        <w:jc w:val="left"/>
        <w:spacing w:line="480" w:lineRule="auto" w:after="0"/>
      </w:pPr>
      <w:r>
        <w:rPr>
          <w:rFonts w:ascii="Times New Roman" w:hAnsi="Times New Roman" w:cs="Times New Roman" w:eastAsia="Times New Roman"/>
          <w:b/>
          <w:i w:val="0"/>
          <w:sz w:val="24"/>
        </w:rPr>
        <w:t>Anexo G. Inventario de pantallas: diseño frente a implementación</w:t>
      </w:r>
    </w:p>
    <w:p>
      <w:pPr>
        <w:jc w:val="both"/>
        <w:spacing w:line="480" w:lineRule="auto" w:after="0"/>
      </w:pPr>
      <w:r>
        <w:rPr>
          <w:rFonts w:ascii="Times New Roman" w:hAnsi="Times New Roman" w:cs="Times New Roman" w:eastAsia="Times New Roman"/>
          <w:b w:val="0"/>
          <w:i w:val="0"/>
          <w:sz w:val="24"/>
        </w:rPr>
        <w:t>El informe de inicio inventarió veintiuna pantallas y registró su estado de diseño. Este anexo añade la columna que importa ahora: si están construidas. Dos lo están por completo y una existe sin haber sido diseñada.</w:t>
      </w:r>
    </w:p>
    <w:p>
      <w:pPr>
        <w:jc w:val="both"/>
        <w:keepNext/>
        <w:spacing w:line="480" w:lineRule="auto" w:after="0"/>
      </w:pPr>
      <w:r>
        <w:rPr>
          <w:rFonts w:ascii="Times New Roman" w:hAnsi="Times New Roman" w:cs="Times New Roman" w:eastAsia="Times New Roman"/>
          <w:b w:val="0"/>
          <w:i w:val="0"/>
          <w:sz w:val="20"/>
        </w:rPr>
        <w:t>Tabla 15</w:t>
      </w:r>
    </w:p>
    <w:p>
      <w:pPr>
        <w:jc w:val="both"/>
        <w:keepNext/>
        <w:spacing w:line="480" w:lineRule="auto" w:after="0"/>
      </w:pPr>
      <w:r>
        <w:rPr>
          <w:rFonts w:ascii="Times New Roman" w:hAnsi="Times New Roman" w:cs="Times New Roman" w:eastAsia="Times New Roman"/>
          <w:b w:val="0"/>
          <w:i w:val="0"/>
          <w:sz w:val="20"/>
        </w:rPr>
        <w:t>Estado de diseño e implementación de las pantallas</w:t>
      </w:r>
    </w:p>
    <w:tbl>
      <w:tblPr>
        <w:tblW w:type="dxa" w:w="9360"/>
        <w:tblLayout w:type="fixed"/>
        <w:tblLook w:firstColumn="1" w:firstRow="1" w:lastColumn="0" w:lastRow="0" w:noHBand="0" w:noVBand="1" w:val="04A0"/>
      </w:tblPr>
      <w:tblGrid>
        <w:gridCol w:w="2340"/>
        <w:gridCol w:w="2340"/>
        <w:gridCol w:w="2340"/>
        <w:gridCol w:w="2340"/>
      </w:tblGrid>
      <w:tr>
        <w:trPr>
          <w:tblHeader/>
        </w:trPr>
        <w:tc>
          <w:tcPr>
            <w:tcW w:type="dxa" w:w="655"/>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ID</w:t>
            </w:r>
          </w:p>
        </w:tc>
        <w:tc>
          <w:tcPr>
            <w:tcW w:type="dxa" w:w="2808"/>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Pantalla</w:t>
            </w:r>
          </w:p>
        </w:tc>
        <w:tc>
          <w:tcPr>
            <w:tcW w:type="dxa" w:w="1684"/>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Diseño</w:t>
            </w:r>
          </w:p>
        </w:tc>
        <w:tc>
          <w:tcPr>
            <w:tcW w:type="dxa" w:w="4212"/>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Implementación</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P-01</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Acceso</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Construida</w:t>
            </w:r>
            <w:r>
              <w:rPr>
                <w:rFonts w:ascii="Times New Roman" w:hAnsi="Times New Roman" w:cs="Times New Roman" w:eastAsia="Times New Roman"/>
                <w:b w:val="0"/>
                <w:i w:val="0"/>
                <w:sz w:val="20"/>
              </w:rPr>
              <w:t xml:space="preserve"> en web</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P-02</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Panel de indicadores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P-03</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Catálogo de productos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Construida</w:t>
            </w:r>
            <w:r>
              <w:rPr>
                <w:rFonts w:ascii="Times New Roman" w:hAnsi="Times New Roman" w:cs="Times New Roman" w:eastAsia="Times New Roman"/>
                <w:b w:val="0"/>
                <w:i w:val="0"/>
                <w:sz w:val="20"/>
              </w:rPr>
              <w:t xml:space="preserve"> en web, con imágenes y precio a crédito</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P-04</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Ficha de producto</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P-05</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Registro y edición de producto</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Parcial: el alta existe en la API, sin pantalla</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P-06</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Gestión de proveedores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Parcial: el alta y la consulta existen en la API, sin pantalla</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P-07</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Importación de lista de precios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P-08</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Configuración de reglas de margen</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P-09</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Generación de cotización</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 en móvil</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P-10</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Lectura de código de barras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Parcial: la consulta por código existe en la API; falta la cámara</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P-11</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Ingresos y egresos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P-12</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Reporte de rotación</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P-13</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Emisión y consulta de facturas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P-14</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Listado y estado de empresas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Por diseñar</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P-15</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Alta y suscripción de empresa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Por diseñar</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P-16</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Datos tributarios nacionales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Por diseñar</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P-17</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Usuarios y permisos de la empresa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Por diseñar</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P-18</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Punto de pago</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Por diseñar</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P-19</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Cierre de caja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Por diseñar</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P-20</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Orden de compra y recepción</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Por diseñar</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P-21</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Estado de sincronización y cola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Por diseñar</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P-22</w:t>
            </w:r>
          </w:p>
        </w:tc>
        <w:tc>
          <w:tcPr>
            <w:tcW w:type="dxa" w:w="2808"/>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Datos de empresa y logo</w:t>
            </w:r>
          </w:p>
        </w:tc>
        <w:tc>
          <w:tcPr>
            <w:tcW w:type="dxa" w:w="1684"/>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Sin diseñar</w:t>
            </w:r>
          </w:p>
        </w:tc>
        <w:tc>
          <w:tcPr>
            <w:tcW w:type="dxa" w:w="4212"/>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Construida</w:t>
            </w:r>
            <w:r>
              <w:rPr>
                <w:rFonts w:ascii="Times New Roman" w:hAnsi="Times New Roman" w:cs="Times New Roman" w:eastAsia="Times New Roman"/>
                <w:b w:val="0"/>
                <w:i w:val="0"/>
                <w:sz w:val="20"/>
              </w:rPr>
              <w:t xml:space="preserve"> en web, sin propuesta previa de diseño</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La P-22 no figura en el inventario del informe de inicio: se construyó para alojar el logo de la empresa, que es uno de los dos requisitos que entraron sin pasar por la especificación. Se numera aquí para que quede inventariada. Elaboración propia.</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45" Type="http://schemas.openxmlformats.org/officeDocument/2006/relationships/fontTable" Target="fontTable.xml"/><Relationship Id="rId47" Type="http://schemas.openxmlformats.org/officeDocument/2006/relationships/image" Target="media/image2.png"/><Relationship Id="rId48" Type="http://schemas.openxmlformats.org/officeDocument/2006/relationships/image" Target="media/image5.png"/><Relationship Id="rId49" Type="http://schemas.openxmlformats.org/officeDocument/2006/relationships/image" Target="media/image6.png"/><Relationship Id="rId50"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SGIP — Informe de Avance N.º 1</dc:title>
  <dc:creator>Jesús Manuel Durán Muñoz</dc:creator>
  <dc:description/>
  <cp:lastModifiedBy>Un-named</cp:lastModifiedBy>
  <cp:revision>1</cp:revision>
  <dcterms:created xsi:type="dcterms:W3CDTF">2026-09-20T01:27:20.953Z</dcterms:created>
  <dcterms:modified xsi:type="dcterms:W3CDTF">2026-09-20T01:27:20.960Z</dcterms:modified>
</cp:coreProperties>
</file>

<file path=docProps/custom.xml><?xml version="1.0" encoding="utf-8"?>
<Properties xmlns="http://schemas.openxmlformats.org/officeDocument/2006/custom-properties" xmlns:vt="http://schemas.openxmlformats.org/officeDocument/2006/docPropsVTypes"/>
</file>