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bCs/>
          <w:i w:val="false"/>
          <w:iCs w:val="false"/>
          <w:sz w:val="24"/>
          <w:szCs w:val="24"/>
        </w:rPr>
        <w:t xml:space="preserve">SGIP — Sistema de Gestión de Inventario de Productos</w:t>
      </w:r>
    </w:p>
    <w:p>
      <w:pPr>
        <w:spacing w:line="480"/>
        <w:jc w:val="center"/>
      </w:pPr>
      <w:r>
        <w:rPr>
          <w:rFonts w:ascii="Times New Roman" w:cs="Times New Roman" w:eastAsia="Times New Roman" w:hAnsi="Times New Roman"/>
          <w:b/>
          <w:bCs/>
          <w:i w:val="false"/>
          <w:iCs w:val="false"/>
          <w:sz w:val="24"/>
          <w:szCs w:val="24"/>
        </w:rPr>
        <w:t xml:space="preserve">Informe de Inicio del Proyecto</w:t>
      </w:r>
    </w:p>
    <w:p>
      <w:pPr>
        <w:spacing w:line="480"/>
        <w:jc w:val="center"/>
      </w:pPr>
      <w:r>
        <w:rPr>
          <w:rFonts w:ascii="Times New Roman" w:cs="Times New Roman" w:eastAsia="Times New Roman" w:hAnsi="Times New Roman"/>
          <w:b w:val="false"/>
          <w:bCs w:val="false"/>
          <w:i w:val="false"/>
          <w:iCs w:val="false"/>
          <w:sz w:val="24"/>
          <w:szCs w:val="24"/>
        </w:rPr>
        <w:t xml:space="preserve">Plataforma de gestión de inventario, precios y comercialización para Black Steel Parts</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Jesús Manuel Durán Muñoz</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Servicio Nacional de Aprendizaje (SENA)</w:t>
      </w:r>
    </w:p>
    <w:p>
      <w:pPr>
        <w:spacing w:line="480"/>
        <w:jc w:val="center"/>
      </w:pPr>
      <w:r>
        <w:rPr>
          <w:rFonts w:ascii="Times New Roman" w:cs="Times New Roman" w:eastAsia="Times New Roman" w:hAnsi="Times New Roman"/>
          <w:b w:val="false"/>
          <w:bCs w:val="false"/>
          <w:i w:val="false"/>
          <w:iCs w:val="false"/>
          <w:sz w:val="24"/>
          <w:szCs w:val="24"/>
        </w:rPr>
        <w:t xml:space="preserve">Centro Industrial de Mantenimiento Integral (CIMI)</w:t>
      </w:r>
    </w:p>
    <w:p>
      <w:pPr>
        <w:spacing w:line="480"/>
        <w:jc w:val="center"/>
      </w:pPr>
      <w:r>
        <w:rPr>
          <w:rFonts w:ascii="Times New Roman" w:cs="Times New Roman" w:eastAsia="Times New Roman" w:hAnsi="Times New Roman"/>
          <w:b w:val="false"/>
          <w:bCs w:val="false"/>
          <w:i w:val="false"/>
          <w:iCs w:val="false"/>
          <w:sz w:val="24"/>
          <w:szCs w:val="24"/>
        </w:rPr>
        <w:t xml:space="preserve">Tecnología en Análisis y Desarrollo de Software</w:t>
      </w:r>
    </w:p>
    <w:p>
      <w:pPr>
        <w:spacing w:line="480"/>
        <w:jc w:val="center"/>
      </w:pPr>
      <w:r>
        <w:rPr>
          <w:rFonts w:ascii="Times New Roman" w:cs="Times New Roman" w:eastAsia="Times New Roman" w:hAnsi="Times New Roman"/>
          <w:b w:val="false"/>
          <w:bCs w:val="false"/>
          <w:i w:val="false"/>
          <w:iCs w:val="false"/>
          <w:sz w:val="24"/>
          <w:szCs w:val="24"/>
        </w:rPr>
        <w:t xml:space="preserve">Ficha 3234206</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Instructora: Yeimi Barrera</w:t>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pPr>
      <w:r>
        <w:rPr>
          <w:rFonts w:ascii="Times New Roman" w:cs="Times New Roman" w:eastAsia="Times New Roman" w:hAnsi="Times New Roman"/>
          <w:b w:val="false"/>
          <w:bCs w:val="false"/>
          <w:i w:val="false"/>
          <w:iCs w:val="false"/>
          <w:sz w:val="24"/>
          <w:szCs w:val="24"/>
        </w:rPr>
        <w:t xml:space="preserve"/>
      </w:r>
    </w:p>
    <w:p>
      <w:pPr>
        <w:spacing w:line="480"/>
        <w:jc w:val="center"/>
      </w:pPr>
      <w:r>
        <w:rPr>
          <w:rFonts w:ascii="Times New Roman" w:cs="Times New Roman" w:eastAsia="Times New Roman" w:hAnsi="Times New Roman"/>
          <w:b w:val="false"/>
          <w:bCs w:val="false"/>
          <w:i w:val="false"/>
          <w:iCs w:val="false"/>
          <w:sz w:val="24"/>
          <w:szCs w:val="24"/>
        </w:rPr>
        <w:t xml:space="preserve">Bucaramanga, Santander</w:t>
      </w:r>
    </w:p>
    <w:p>
      <w:pPr>
        <w:spacing w:line="480"/>
        <w:jc w:val="center"/>
      </w:pPr>
      <w:r>
        <w:rPr>
          <w:rFonts w:ascii="Times New Roman" w:cs="Times New Roman" w:eastAsia="Times New Roman" w:hAnsi="Times New Roman"/>
          <w:b w:val="false"/>
          <w:bCs w:val="false"/>
          <w:i w:val="false"/>
          <w:iCs w:val="false"/>
          <w:sz w:val="24"/>
          <w:szCs w:val="24"/>
        </w:rPr>
        <w:t xml:space="preserve">2026</w:t>
      </w:r>
    </w:p>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Identificación del Proyecto</w:t>
      </w:r>
    </w:p>
    <w:p>
      <w:pPr>
        <w:spacing w:line="480"/>
      </w:pPr>
      <w:r>
        <w:rPr>
          <w:rFonts w:ascii="Times New Roman" w:cs="Times New Roman" w:eastAsia="Times New Roman" w:hAnsi="Times New Roman"/>
          <w:b w:val="false"/>
          <w:bCs w:val="false"/>
          <w:i w:val="false"/>
          <w:iCs w:val="false"/>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Nombre del proyecto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 — Sistema de Gestión de Inventario de Productos</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 de documento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Informe de inicio del proyecto</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Versión del documento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4.0</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Operador de la plataforma</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Black Steel Parts (BSP) — distribución de tecnología</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Aprendiz</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Jesús Manuel Durán Muñoz</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Programa de formación</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Tecnología en Análisis y Desarrollo de Software</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Número de ficha</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3234206</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Centro de formación</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Centro Industrial de Mantenimiento Integral (CIMI)</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Regional</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Santander</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Instructor</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Pedro Pablo Vega</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Modalidad de trabajo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Individual</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Metodología de desarrollo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Scrum adaptado a equipo unipersonal</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Ciudad</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Bucaramanga, Santander</w:t>
            </w:r>
          </w:p>
        </w:tc>
      </w:tr>
      <w:t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Estado</w:t>
            </w:r>
          </w:p>
        </w:tc>
        <w:tc>
          <w:tcPr>
            <w:tcW w:type="dxa" w:w="6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Fase de inicio — replanteamiento como plataforma multiempresa</w:t>
            </w:r>
          </w:p>
        </w:tc>
      </w:tr>
    </w:tbl>
    <w:p>
      <w:r>
        <w:br w:type="page"/>
      </w:r>
    </w:p>
    <w:p>
      <w:pPr>
        <w:pStyle w:val="Heading1"/>
        <w:spacing w:after="0" w:before="0" w:line="480"/>
        <w:jc w:val="center"/>
      </w:pPr>
      <w:r>
        <w:rPr>
          <w:rFonts w:ascii="Times New Roman" w:hAnsi="Times New Roman"/>
          <w:sz w:val="24"/>
        </w:rPr>
        <w:t>Control de Cambios</w:t>
      </w:r>
    </w:p>
    <w:p>
      <w:pPr>
        <w:spacing w:after="0" w:line="480"/>
        <w:jc w:val="both"/>
      </w:pPr>
      <w:r>
        <w:rPr>
          <w:rFonts w:ascii="Times New Roman" w:hAnsi="Times New Roman"/>
          <w:sz w:val="24"/>
        </w:rPr>
        <w:t>La versión 3 revisó la especificación de requisitos a partir de la retroalimentación recibida sobre la versión 2. La versión 4 replantea el producto: el SGIP deja de ser un sistema para Black Steel Parts y pasa a ser una plataforma que BSP opera como servicio para pequeños comercios. Ese cambio alcanza a casi todo el documento, y de él se derivan el módulo de plataforma, el aislamiento entre empresas, la suscripción y la operación sin conexión. La tabla siguiente registra qué se modificó en cada versión y por qué, de modo que la revisión pueda contrastarse sin releer el informe completo.</w:t>
      </w:r>
    </w:p>
    <w:p>
      <w:pPr>
        <w:spacing w:after="0" w:line="480"/>
        <w:jc w:val="both"/>
      </w:pPr>
      <w:r>
        <w:rPr>
          <w:rFonts w:ascii="Times New Roman" w:hAnsi="Times New Roman"/>
          <w:sz w:val="20"/>
        </w:rPr>
        <w:t>Tabla 1</w:t>
      </w:r>
    </w:p>
    <w:p>
      <w:pPr>
        <w:spacing w:after="0" w:line="480"/>
        <w:jc w:val="both"/>
      </w:pPr>
      <w:r>
        <w:rPr>
          <w:rFonts w:ascii="Times New Roman" w:hAnsi="Times New Roman"/>
          <w:sz w:val="20"/>
        </w:rPr>
        <w:t>Cambios introducidos en las versiones 3 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3100"/>
        <w:gridCol w:w="3560"/>
      </w:tblGrid>
      <w:tr>
        <w:trPr>
          <w:tblHeader/>
          <w:tblHeader/>
          <w:tblHeader/>
          <w:tblHeader/>
          <w:tblHeader/>
        </w:trPr>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Versión</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Aspecto</w:t>
            </w:r>
          </w:p>
        </w:tc>
        <w:tc>
          <w:tcPr>
            <w:tcW w:type="dxa" w:w="3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Situación anterior</w:t>
            </w:r>
          </w:p>
        </w:tc>
        <w:tc>
          <w:tcPr>
            <w:tcW w:type="dxa" w:w="3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Resolución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Numeración de requisitos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La secuencia saltaba de RF-55 a RF-58 y regresaba a RF-05.</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Numeración continua y sin saltos, con toda referencia cruzada del informe actualizada. La versión 4 volvió a renumerar al incorporar el módulo de plataforma; los identificadores de esta tabla ya están expresados en la numeración vigente.</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Separación de reglas de negocio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Políticas comerciales como el envío sin costo figuraban entre los requisitos funcionales, lo que sugería que modificarlas exigía reprogramar.</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Nuevo catálogo de doce reglas de negocio (Tabla 11) con su parámetro de control, su valor vigente y el requisito funcional que las aplica.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Criterios de aceptación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Varios criterios eran narrativos y no verificables, por ejemplo «el producto queda consultable».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criterio indica magnitud, instrumento de medida y condición de error: códigos de respuesta, percentiles, volúmenes de prueba y comportamiento ante fallo.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Jerarquía de prioridades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Veintidós de treinta y siete requisitos eran de prioridad alta, lo que impedía distinguir lo crítico.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Veinte de prioridad alta equivalen al producto mínimo viable, quince de media a la primera iteración posterior y dos de baja a la segunda. Prioridad y versión de entrega quedan atadas.</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Venta sin existencia disponible</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necesidad, planteada por la empresa, no figuraba en ningún requisito.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Nuevo RF-42, exclusivo del administrador, con la regla RN-13 que lo gobierna.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Detalle técnico en requisitos no funcionales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RNF-06 fijaba PBKDF2 con ciento veinte mil iteraciones y sal de dieciséis bytes, y anticipaba la migración a Argon2id.</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requisito enuncia la cualidad exigida; el algoritmo y sus parámetros pasan a la decisión de arquitectura ADR-0002.</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Criterios no funcionales ambiguos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«Cinco interacciones», «horario laboral», «cobertura del setenta por ciento» y «Android 10 o superior» carecían de definición operativa.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 define toque efectivo, se fija la franja de 8:00 a 18:00 de lunes a viernes con tope de indisponibilidad, se nombra JaCoCo y los paquetes medidos, y se enumeran los niveles de interfaz y el dispositivo de prueba.</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Localización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El RNF-16 mezclaba el formato regional con la parametrización tributaria.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El requisito no funcional se limita al formato regional; la parametrización se especifica en el RF-05, que es una función de configuración.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Paleta cromática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identidad visual documentaba la paleta anterior, con el rojo corporativo como color de acción.</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 documenta la paleta Aurora Mist, la medición de contraste que condicionó su reparto y la razón por la que fue necesario añadir cuatro colores de estado.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Front y aplicación móvil</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arquitectura documentaba una aplicación Android nativa en Kotlin y un módulo administrativo en Java Swing.</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front web se construye con HTML, CSS, JavaScript y React, y la aplicación móvil con React Native. Swing deja de formar parte de la solución y queda como componente de la fase previa. Se regeneraron los diagramas de componentes y de despliegue.</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Esquema de roles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Tres roles: administrador, vendedor y cliente.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Cuatro roles. El super administrador configura la aplicación y administra usuarios y accesos sin tocar el código; el administrador opera inventario, precios, ventas y descuentos. Se regeneró el diagrama de casos de uso de seguridad y se añadieron CU-19 y dos pantallas por diseñar.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Disponibilidad</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sz w:val="20"/>
              </w:rPr>
              <w:t>El RNF-11 comprometía el 99 % en una franja laboral de 8:00 a 18:00, de lunes a viernes.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Al tratarse de una aplicación móvil de consulta permanente, el compromiso pasa a 99 % de disponibilidad continua, sin franja acotada, con un tope de 7 horas 12 minutos de indisponibilidad mensual.</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Paleta en las figuras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Las trece pantallas del capítulo 12 seguían ilustradas con la paleta anterior, pese a que el texto ya documentaba Aurora Mist.</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Las figuras de las pantallas se recolorearon a partir de sus fuentes vectoriales. Se eliminó la captura de la pantalla implementada en la fase previa, que conservaba la paleta anterior y ya no representa la solución.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Reparto de canales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Todos los roles podían usar indistintamente el móvil y el escritorio.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aplicación móvil atiende solo a vendedor y cliente. El super administrador y el administrador operan exclusivamente desde el ordenador, donde también están disponibles las funciones de vendedor y cliente. Se añadió la versión móvil de la pantalla de acceso (Figura 24).</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Esquema de base de datos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semilla creaba tres roles. Además, la restricción ck_productos_existencia impedía que la existencia bajara de cero, y la columna generada estado_stock clasificaba por igualdad con cero.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Migración V9: añade el rol SUPER_ADMIN, levanta la restricción de existencia con un piso de −9999, corrige la columna generada para que una existencia negativa quede como AGOTADO, y añade a ventas las columnas que registran quién autorizó la venta sin existencia y si sigue pendiente de reposición.</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Administración de las reglas de negocio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Tabla 11 citaba claves de parámetro que no existían en el esquema.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regla indica ahora su mecanismo real: tabla con fecha de vigencia para las que admiten varias combinaciones (márgenes, tratamientos de impuesto) y clave de parámetro para las de valor único.</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Naturaleza del producto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 sistema de inventario y comercialización para Black Steel Parts.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Una plataforma multiempresa que BSP opera como servicio para pequeños comercios. Cada empresa usuaria tiene su catálogo, sus clientes, sus precios y sus usuarios.</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Rol de super administrador</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Configuraba parámetros tributarios y comerciales del sistema.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Pasa a ser rol de plataforma: registra, activa y suspende empresas, administra el periodo de prueba y mantiene los datos tributarios nacionales. No accede a datos operativos de ninguna empresa (RN-17).</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Administración de usuarios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gestión de usuarios y roles pertenecía al super administrador.</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empresa administra sus propios usuarios y permisos (RF-12, CU-07).</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Aislamiento de datos</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No existía: el esquema asumía un solo negocio.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Toda consulta y toda escritura quedan acotadas a la empresa del usuario (RF-09, RN-16), y el aislamiento se verifica de forma automática en cada entrega (RNF-07).</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Suscripción y suspensión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No contemplada.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 mes gratuito desde el alta y paso automático a modo de solo consulta al vencer (RF-04, RN-14). La empresa suspendida conserva acceso de lectura a toda su información: no se borra ni se oculta nada (RN-15).</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Operación sin conexión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Solo estaba prevista la consulta del catálogo sin red, con prioridad baja.</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clientes de escritorio y móvil registran ventas sin conexión, encolan las operaciones con clave de idempotencia y sincronizan al recuperar la red (RF-51 a RF-56). Una venta registrada sin conexión nunca se rechaza al sincronizar: se acepta, la existencia queda en negativo y se registra el descuadre (RN-19).</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Facturación electrónica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Requisito de prioridad alta, dentro del producto mínimo viable.</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Baja a prioridad media y sale del MVP (RF-46, RF-47). Es la integración más riesgosa y no es necesaria para que un comercio empiece a operar.</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Cantidades y presentación</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catálogo no distinguía presentaciones.</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presentación forma parte de la identidad del producto, de modo que «Arroz Diana 500 g» y «Arroz Diana 1 kg» son referencias distintas. Las cantidades siguen siendo enteras y no hacen falta decimales.</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Base de la regla de ganancia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factor era siempre recargo sobre el costo, sin decirlo.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empresa elige entre recargo sobre el costo y margen sobre el precio de venta, y la interfaz indica cuál aplica (RF-32, RN-04).</w:t>
            </w:r>
          </w:p>
        </w:tc>
      </w:tr>
      <w:t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Punto de pago</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No existía: la venta se concebía desde la cotización.</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Medios de pago configurables, límite de descuento por rol y cierre de caja por turno (RF-43 a RF-45, RN-18).</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Compras</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El ingreso de mercancía era un movimiento suelto.</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Orden de compra y recepción separadas, con entregas parciales (RF-22, RF-23). Una orden no recibida no suma al inventario.</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Venta a granel</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alcance no decía nada sobre la venta por peso, de modo que quedaba abierto a interpretación.</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excluye de forma explícita. El inventario cuenta unidades enteras y la presentación forma parte de la identidad del producto, así que «Arroz Diana 500 g» y «Arroz Diana 1 kg» son referencias distintas. Vender producto suelto pesado en báscula exigiría cantidades fraccionarias en inventario, cotización y venta.</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Diagramas estructurales</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texto describía la plataforma multiempresa con operación sin conexión, pero las figuras seguían mostrando el modelo de la versión 3.</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regeneraron el diagrama de casos de uso de plataforma y seguridad, el de componentes y el de despliegue. Los tres recogen los cuatro roles, el filtro de empresa, el almacén local de los dispositivos y el servicio de sincronización.</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Modelos entidad-relación</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Las cinco figuras del capítulo 10 seguían mostrando las veinticuatro entidades de la versión 3, sin empresa ni sincronización.</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regeneraron las cuatro vistas por dominio y el modelo completo. Incorporan empresas y suscripciones, la columna de empresa en las entidades de negocio, las órdenes de compra con recepción, los medios de pago, el cierre de caja y la cola de sincronización con sus descuadres.</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Varios proveedores por producto</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RF-21 exigía asociar varios proveedores a un mismo producto, pero el modelo de datos no tenía dónde guardar esa relación.</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añade la entidad producto_proveedor, con la referencia, el costo y las condiciones de cada proveedor. Evita duplicar el producto en el catálogo, que era el motivo del requisito.</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Migración del esquema</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El modelo de datos de la versión 4 estaba documentado, pero no existía la migración que lo construyera.</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Se escribió la migración V10, que crea las once tablas nuevas, añade empresa_id a las doce tablas de negocio y traslada la unicidad de código, categoría, proveedor y cliente al ámbito de cada empresa. La cadena completa de V1 a V10 se ejecutó sobre un servidor real y se verificaron cinco reglas de negocio con sus códigos de error.</w:t>
            </w:r>
          </w:p>
        </w:tc>
      </w:tr>
      <w:t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4.0</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Defecto en la migración V9</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Al borrar la columna generada estado_stock, el índice ix_productos_estado sobrevivía sobre las columnas restantes, de modo que el CREATE INDEX posterior chocaba con un nombre duplicado.</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sz w:val="20"/>
              </w:rPr>
              <w:t>La migración se detenía ahí y dejaba el esquema a medias: las columnas de venta sin existencia y sus parámetros no llegaban a crearse. Se corrige retirando el índice antes de borrar la columna. El defecto apareció al ejecutar la migración, no al revisarla.</w:t>
            </w:r>
          </w:p>
        </w:tc>
      </w:tr>
    </w:tbl>
    <w:p>
      <w:pPr>
        <w:pStyle w:val="Heading1"/>
        <w:spacing w:after="0" w:before="0" w:line="480"/>
        <w:jc w:val="center"/>
      </w:pPr>
      <w:r>
        <w:rPr>
          <w:rFonts w:ascii="Times New Roman" w:cs="Times New Roman" w:eastAsia="Times New Roman" w:hAnsi="Times New Roman"/>
          <w:b/>
          <w:bCs/>
          <w:i w:val="false"/>
          <w:iCs w:val="false"/>
          <w:sz w:val="24"/>
          <w:szCs w:val="24"/>
        </w:rPr>
        <w:t xml:space="preserve">Tabla de Contenido</w:t>
      </w:r>
    </w:p>
    <w:p>
      <w:pPr>
        <w:spacing w:line="480"/>
      </w:pPr>
      <w:r>
        <w:rPr>
          <w:rFonts w:ascii="Times New Roman" w:cs="Times New Roman" w:eastAsia="Times New Roman" w:hAnsi="Times New Roman"/>
          <w:b w:val="false"/>
          <w:bCs w:val="false"/>
          <w:i w:val="false"/>
          <w:iCs w:val="false"/>
          <w:sz w:val="24"/>
          <w:szCs w:val="24"/>
        </w:rPr>
        <w:t xml:space="preserve"/>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Resumen</w:t>
      </w:r>
    </w:p>
    <w:p>
      <w:pPr>
        <w:spacing w:after="0" w:line="480"/>
        <w:jc w:val="both"/>
      </w:pPr>
      <w:r>
        <w:rPr>
          <w:rFonts w:ascii="Times New Roman" w:hAnsi="Times New Roman"/>
          <w:sz w:val="24"/>
        </w:rPr>
        <w:t>El presente informe documenta la fase de inicio del proyecto SGIP, una plataforma de gestión de inventario y comercialización que Black Steel Parts opera como servicio para pequeños comercios: tiendas de barrio, minimercados y negocios que administran productos físicos. Cada empresa usuaria dispone de su propio catálogo, sus clientes, sus precios y sus usuarios, sin ver los de ninguna otra. El sistema se estructura en cuatro componentes: un servicio backend en Java que expone la lógica de negocio mediante una interfaz de programación de aplicaciones de tipo REST, un front web en React, una aplicación de escritorio y una aplicación móvil en React Native; estas dos últimas operan sin conexión y sincronizan al recuperar la red. El aporte diferencial reside en el módulo de actualización automática de precios, que consume listas de proveedores en hoja de cálculo y por servicio web, aplica reglas de margen configurables por cada empresa y mantiene el catálogo alineado con el costo real de reposición sin intervención manual. El acceso se organiza en cuatro roles: un super administrador de plataforma, que administra el ciclo de vida de las empresas y los datos tributarios nacionales, y tres roles internos de cada negocio. El documento presenta el planteamiento del problema, la justificación, los objetivos, el alcance, el marco referencial, la metodología de trabajo bajo Scrum, el análisis de requisitos, el modelado preliminar del sistema, el diseño de la base de datos y el plan de trabajo por iteraciones.</w:t>
      </w:r>
    </w:p>
    <w:p>
      <w:pPr>
        <w:spacing w:line="480"/>
      </w:pPr>
      <w:r>
        <w:rPr>
          <w:rFonts w:ascii="Times New Roman" w:cs="Times New Roman" w:eastAsia="Times New Roman" w:hAnsi="Times New Roman"/>
          <w:b w:val="false"/>
          <w:bCs w:val="false"/>
          <w:i w:val="false"/>
          <w:iCs w:val="false"/>
          <w:sz w:val="24"/>
          <w:szCs w:val="24"/>
        </w:rPr>
        <w:t xml:space="preserve"/>
      </w:r>
    </w:p>
    <w:p>
      <w:pPr>
        <w:spacing w:after="0" w:line="480"/>
        <w:jc w:val="both"/>
      </w:pPr>
      <w:r>
        <w:rPr>
          <w:rFonts w:ascii="Times New Roman" w:hAnsi="Times New Roman"/>
          <w:sz w:val="24"/>
        </w:rPr>
        <w:t>Palabras clave: gestión de inventario, plataforma multiempresa, punto de venta, API REST, operación sin conexión, automatización de precios, Scrum, Java, React, React Native.</w:t>
      </w:r>
    </w:p>
    <w:p>
      <w:r>
        <w:br w:type="page"/>
      </w:r>
    </w:p>
    <w:p>
      <w:pPr>
        <w:pStyle w:val="Heading1"/>
        <w:spacing w:after="0" w:before="0" w:line="480"/>
        <w:jc w:val="center"/>
      </w:pPr>
      <w:r>
        <w:rPr>
          <w:rFonts w:ascii="Times New Roman" w:cs="Times New Roman" w:eastAsia="Times New Roman" w:hAnsi="Times New Roman"/>
          <w:b/>
          <w:bCs/>
          <w:i w:val="false"/>
          <w:iCs w:val="false"/>
          <w:sz w:val="24"/>
          <w:szCs w:val="24"/>
        </w:rPr>
        <w:t xml:space="preserve">1. Introducción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distribución de equipos de tecnología en Colombia opera con márgenes estrechos sobre productos de alto valor unitario. Un servidor, un televisor de gran formato o un lote de equipos de red representan sumas que hacen que un error de un punto porcentual en el cálculo del precio de venta se traduzca en pérdidas materiales. A esa sensibilidad se suma la volatilidad del costo de reposición: los proveedores actualizan sus listas de precios con frecuencia semanal y, en ocasiones, diaria, y cada actualización obliga a recalcular el precio de venta de decenas o centenares de referencias.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Black Steel Parts enfrenta esta situación con hojas de cálculo desconectadas del proceso de venta. El resultado es un desfase permanente entre lo que el sistema informal dice y lo que la operación real contiene: ventas comprometidas sobre existencias agotadas, precios desactualizados frente al costo actual del proveedor y ausencia total de trazabilidad sobre los movimientos de mercancía.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de Gestión de Inventario de Productos, en adelante SGIP, responde a esa problemática mediante una plataforma que centraliza el catálogo, automatiza la actualización de precios a partir de las listas que envían los proveedores, controla las existencias en tiempo real y soporta el ciclo comercial completo desde la cotización hasta la factura electrónica.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Este documento corresponde a la fase de inicio del proyecto. Su propósito es delimitar el problema, establecer los objetivos, definir el alcance con precisión suficiente para que sea verificable, y dejar planteados los requisitos, el modelo de datos y el plan de trabajo que guiarán las fases posteriores. No documenta un sistema terminado: documenta el punto de partida sobre el cual se construirá.</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 Antecedentes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cuenta con una fase previa desarrollada durante el nivel Técnico, consistente en una aplicación de escritorio en Java con interfaz Swing que implementa el núcleo del dominio: gestión de productos, cálculo de precios por forma de pago, control de existencias y registro de movimientos. Esa fase produjo un modelo de datos relacional en tercera forma normal, un conjunto de reglas de negocio validadas y una suite de pruebas unitarias.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presente proyecto no descarta ese trabajo. Lo reencuadra: el dominio, las reglas y el esquema de base de datos se conservan y se exponen mediante una interfaz de programación de aplicaciones, de modo que puedan ser consumidos por la aplicación móvil. La aplicación de escritorio existente se conserva como módulo administrativo.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2. Planteamiento del Problema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2.1 Descripción de la situación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proceso comercial de Black Steel Parts atraviesa cuatro puntos de falla identificados durante el levantamiento de información.</w:t>
      </w:r>
    </w:p>
    <w:p>
      <w:pPr>
        <w:pStyle w:val="Heading3"/>
        <w:spacing w:after="0" w:before="240" w:line="480"/>
        <w:jc w:val="left"/>
      </w:pPr>
      <w:r>
        <w:rPr>
          <w:rFonts w:ascii="Times New Roman" w:cs="Times New Roman" w:eastAsia="Times New Roman" w:hAnsi="Times New Roman"/>
          <w:b/>
          <w:bCs/>
          <w:i/>
          <w:iCs/>
          <w:sz w:val="24"/>
          <w:szCs w:val="24"/>
        </w:rPr>
        <w:t xml:space="preserve">Desfase entre existencias registradas y existencias reales.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vendedor consulta un archivo de hoja de cálculo, cotiza al cliente y cierra la venta. La actualización del inventario ocurre después, cuando alguien dispone de tiempo. Entre ambos momentos transcurren horas y en ocasiones días, lapso en el cual el sistema informal reporta unidades que ya no existen. La consecuencia visible es el compromiso de venta sobre mercancía agotada, que se descubre únicamente en el momento del despacho.</w:t>
      </w:r>
    </w:p>
    <w:p>
      <w:pPr>
        <w:pStyle w:val="Heading3"/>
        <w:spacing w:after="0" w:before="240" w:line="480"/>
        <w:jc w:val="left"/>
      </w:pPr>
      <w:r>
        <w:rPr>
          <w:rFonts w:ascii="Times New Roman" w:cs="Times New Roman" w:eastAsia="Times New Roman" w:hAnsi="Times New Roman"/>
          <w:b/>
          <w:bCs/>
          <w:i/>
          <w:iCs/>
          <w:sz w:val="24"/>
          <w:szCs w:val="24"/>
        </w:rPr>
        <w:t xml:space="preserve">Cálculo manual de precios sobre costos variables.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precio de venta se obtiene aplicando un margen sobre el costo de compra. Cuando ese cálculo se realiza a mano, varias veces al día y sobre productos cuyo valor unitario supera los diez millones de pesos, el error es estadísticamente inevitable. Un punto porcentual de desviación sobre un equipo de dieciocho millones de pesos representa ciento ochenta mil pesos por unidad.</w:t>
      </w:r>
    </w:p>
    <w:p>
      <w:pPr>
        <w:pStyle w:val="Heading3"/>
        <w:spacing w:after="0" w:before="240" w:line="480"/>
        <w:jc w:val="left"/>
      </w:pPr>
      <w:r>
        <w:rPr>
          <w:rFonts w:ascii="Times New Roman" w:cs="Times New Roman" w:eastAsia="Times New Roman" w:hAnsi="Times New Roman"/>
          <w:b/>
          <w:bCs/>
          <w:i/>
          <w:iCs/>
          <w:sz w:val="24"/>
          <w:szCs w:val="24"/>
        </w:rPr>
        <w:t xml:space="preserve">Desactualización frente a las listas de proveedores.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proveedores remiten sus listas de precios en formatos heterogéneos: archivos de hoja de cálculo con estructuras distintas entre sí, portales web de consulta y, en algunos casos, servicios web. La incorporación de esas listas al catálogo interno es manual, lo que introduce demora y error de transcripción. El catálogo opera de forma permanente con costos desactualizados.</w:t>
      </w:r>
    </w:p>
    <w:p>
      <w:pPr>
        <w:pStyle w:val="Heading3"/>
        <w:spacing w:after="0" w:before="240" w:line="480"/>
        <w:jc w:val="left"/>
      </w:pPr>
      <w:r>
        <w:rPr>
          <w:rFonts w:ascii="Times New Roman" w:cs="Times New Roman" w:eastAsia="Times New Roman" w:hAnsi="Times New Roman"/>
          <w:b/>
          <w:bCs/>
          <w:i/>
          <w:iCs/>
          <w:sz w:val="24"/>
          <w:szCs w:val="24"/>
        </w:rPr>
        <w:t xml:space="preserve">Ausencia de trazabilidad.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Cuando se detecta un faltante de mercancía no existe mecanismo para reconstruir su origen. No es posible determinar si la unidad se vendió, se devolvió, nunca ingresó del proveedor o se registró de forma errónea.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2.2 Formulación del problema</w:t>
      </w:r>
    </w:p>
    <w:p>
      <w:pPr>
        <w:spacing w:after="0" w:line="480"/>
        <w:jc w:val="both"/>
      </w:pPr>
      <w:r>
        <w:rPr>
          <w:rFonts w:ascii="Times New Roman" w:cs="Times New Roman" w:eastAsia="Times New Roman" w:hAnsi="Times New Roman"/>
          <w:b w:val="false"/>
          <w:bCs w:val="false"/>
          <w:i w:val="false"/>
          <w:iCs w:val="false"/>
          <w:sz w:val="24"/>
          <w:szCs w:val="24"/>
        </w:rPr>
        <w:t xml:space="preserve">¿De qué manera puede automatizarse la gestión de inventario, la actualización de precios a partir de listas de proveedores y la emisión de cotizaciones y facturas electrónicas en Black Steel Parts, mediante un sistema accesible desde dispositivos móviles que garantice trazabilidad e integridad de la información?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2.3 Sistematización del problema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¿Cuáles son los requisitos funcionales y no funcionales que debe satisfacer el sistema para cubrir el ciclo comercial completo de la empresa?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estructura debe tener el modelo de datos para soportar múltiples proveedores, listas de precios con vigencia y reglas de margen diferenciadas, conservando la integridad referencial?</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¿Cómo debe diseñarse el módulo de importación para procesar archivos de hoja de cálculo con estructuras heterogéneas y servicios web de distintos proveedores bajo una interfaz común?</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arquitectura permite que una aplicación móvil, un módulo de escritorio y eventuales clientes adicionales consuman la misma lógica de negocio sin duplicarla?</w:t>
      </w:r>
    </w:p>
    <w:p>
      <w:pPr>
        <w:pStyle w:val="ListParagraph"/>
        <w:numPr>
          <w:ilvl w:val="0"/>
          <w:numId w:val="2"/>
        </w:numPr>
        <w:spacing w:after="0" w:line="480"/>
        <w:jc w:val="both"/>
      </w:pPr>
      <w:r>
        <w:rPr>
          <w:rFonts w:ascii="Times New Roman" w:cs="Times New Roman" w:eastAsia="Times New Roman" w:hAnsi="Times New Roman"/>
          <w:b w:val="false"/>
          <w:bCs w:val="false"/>
          <w:i w:val="false"/>
          <w:iCs w:val="false"/>
          <w:sz w:val="24"/>
          <w:szCs w:val="24"/>
        </w:rPr>
        <w:t xml:space="preserve">¿Qué condiciones normativas y técnicas debe cumplir el sistema para emitir factura electrónica válida ante la Dirección de Impuestos y Aduanas Nacionales?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3. Justificación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justificación del proyecto se sostiene sobre tres dimensiones: la operativa, la tecnológica y la formativa.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3.1 Justificación operativa</w:t>
      </w:r>
    </w:p>
    <w:p>
      <w:pPr>
        <w:spacing w:after="0" w:line="480"/>
        <w:ind w:firstLine="720"/>
        <w:jc w:val="both"/>
      </w:pPr>
      <w:r>
        <w:rPr>
          <w:rFonts w:ascii="Times New Roman" w:hAnsi="Times New Roman"/>
          <w:sz w:val="24"/>
        </w:rPr>
        <w:t>Cada uno de los problemas descritos tiene un mecanismo de solución directo y verificable dentro del sistema propuesto. La Tabla 2 establece esa correspondencia.</w:t>
      </w:r>
    </w:p>
    <w:p>
      <w:pPr>
        <w:spacing w:after="0" w:before="240" w:line="240"/>
      </w:pPr>
      <w:r>
        <w:rPr>
          <w:rFonts w:ascii="Times New Roman" w:hAnsi="Times New Roman"/>
          <w:sz w:val="22"/>
        </w:rPr>
        <w:t>Tabla 2</w:t>
      </w:r>
    </w:p>
    <w:p>
      <w:pPr>
        <w:spacing w:after="120" w:line="240"/>
      </w:pPr>
      <w:r>
        <w:rPr>
          <w:rFonts w:ascii="Times New Roman" w:cs="Times New Roman" w:eastAsia="Times New Roman" w:hAnsi="Times New Roman"/>
          <w:b w:val="false"/>
          <w:bCs w:val="false"/>
          <w:i/>
          <w:iCs/>
          <w:sz w:val="22"/>
          <w:szCs w:val="22"/>
        </w:rPr>
        <w:t xml:space="preserve">Correspondencia entre problemas identificados y mecanismos de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Problema</w:t>
            </w:r>
          </w:p>
        </w:tc>
        <w:tc>
          <w:tcPr>
            <w:tcW w:type="dxa" w:w="4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Mecanismo del SGIP</w:t>
            </w:r>
          </w:p>
        </w:tc>
        <w:tc>
          <w:tcPr>
            <w:tcW w:type="dxa" w:w="29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Resultado esperado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Existencias desactualizadas</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Descuento automático al confirmar cada venta dentro de una transacción atómica</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 consistente en todo momento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el cálculo de márgenes</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 derivados por el sistema a partir de reglas configurables</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Eliminación del cálculo manual</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Costos desalineados del proveedor</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 programada de listas de precios y recálculo automático</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alineado con el costo de reposición</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Capital inmovilizado no detectado</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 de rotación con indicador de capital retenido</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Identificación temprana de referencias sin movimiento</w:t>
            </w:r>
          </w:p>
        </w:tc>
      </w:tr>
      <w:tr>
        <w:trPr>
          <w:cantSplit/>
        </w:trPr>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Ausencia de trazabilidad</w:t>
            </w:r>
          </w:p>
        </w:tc>
        <w:tc>
          <w:tcPr>
            <w:tcW w:type="dxa" w:w="4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movimientos con existencia anterior y posterior</w:t>
            </w:r>
          </w:p>
        </w:tc>
        <w:tc>
          <w:tcPr>
            <w:tcW w:type="dxa" w:w="2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Reconstrucción completa del historial de cada referencia</w:t>
            </w:r>
          </w:p>
        </w:tc>
      </w:tr>
      <w:tr>
        <w:trPr>
          <w:cantSplit/>
        </w:trPr>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 y facturación manuales</w:t>
            </w:r>
          </w:p>
        </w:tc>
        <w:tc>
          <w:tcPr>
            <w:tcW w:type="dxa" w:w="4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Generación de cotización formal y emisión de factura electrónica</w:t>
            </w:r>
          </w:p>
        </w:tc>
        <w:tc>
          <w:tcPr>
            <w:tcW w:type="dxa" w:w="2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Reducción del tiempo de cierre comercial</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3.2 Justificación tecnológica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separación entre lógica de negocio y canales de acceso mediante una interfaz de programación de aplicaciones responde a una necesidad concreta, no a una preferencia estilística. La empresa requiere que la misma información sea consultada desde el punto de venta, desde el teléfono de un vendedor en visita a cliente y desde el escritorio administrativo. Duplicar la lógica en cada canal multiplicaría el costo de mantenimiento y garantizaría divergencias de comportamiento entre ellos.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módulo de importación de listas de proveedores constituye el componente de mayor valor técnico del proyecto. Resolver la heterogeneidad de formatos bajo una interfaz común exige aplicar patrones de diseño, validación de datos de origen no confiable y control de versiones de precios con vigencia temporal. Se trata de un problema real de integración de datos, no de un ejercicio académico.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3.3 Justificación formativa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articula los resultados de aprendizaje del programa de Tecnología en Análisis y Desarrollo de Software en un producto único: análisis y especificación de requisitos, modelado con lenguaje unificado de modelado, diseño y normalización de bases de datos, programación orientada a objetos, desarrollo de servicios web, desarrollo de aplicaciones móviles, pruebas de software y aplicación de una metodología ágil. La existencia de un cliente real con una necesidad verificable permite contrastar las decisiones de diseño contra restricciones concretas en lugar de supuestos.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4. Objetivos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4.1 Objetivo general</w:t>
      </w:r>
    </w:p>
    <w:p>
      <w:pPr>
        <w:spacing w:after="0" w:line="480"/>
        <w:jc w:val="both"/>
      </w:pPr>
      <w:r>
        <w:rPr>
          <w:rFonts w:ascii="Times New Roman" w:hAnsi="Times New Roman"/>
          <w:sz w:val="24"/>
        </w:rPr>
        <w:t>Desarrollar el Sistema de Gestión de Inventario de Productos (SGIP) como plataforma multiempresa operada por Black Steel Parts, compuesta por un servicio backend con interfaz de programación de aplicaciones de tipo REST, un front web en React y clientes de escritorio y móvil capaces de operar sin conexión, que automatice la actualización de precios a partir de listas de proveedores, el control de existencias, el registro de ventas en punto de pago y la emisión de factura electrónica, garantizando que cada empresa usuaria opere de forma aislada.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4.2 Objetivos específicos</w:t>
      </w:r>
    </w:p>
    <w:p>
      <w:pPr>
        <w:pStyle w:val="ListParagraph"/>
        <w:numPr>
          <w:ilvl w:val="0"/>
          <w:numId w:val="3"/>
        </w:numPr>
        <w:spacing w:after="0" w:line="480"/>
        <w:jc w:val="both"/>
      </w:pPr>
      <w:r>
        <w:rPr>
          <w:rFonts w:ascii="Times New Roman" w:hAnsi="Times New Roman"/>
          <w:sz w:val="24"/>
        </w:rPr>
        <w:t>Analizar los procesos de inventario, compra y venta del comercio minorista pequeño para especificar los requisitos funcionales y no funcionales de la plataforma.</w:t>
      </w:r>
    </w:p>
    <w:p>
      <w:pPr>
        <w:pStyle w:val="ListParagraph"/>
        <w:numPr>
          <w:ilvl w:val="0"/>
          <w:numId w:val="3"/>
        </w:numPr>
        <w:spacing w:after="0" w:line="480"/>
        <w:jc w:val="both"/>
      </w:pPr>
      <w:r>
        <w:rPr>
          <w:rFonts w:ascii="Times New Roman" w:hAnsi="Times New Roman"/>
          <w:sz w:val="24"/>
        </w:rPr>
        <w:t>Diseñar el modelo de datos multiempresa y la arquitectura en capas de la solución, definiendo los contratos de la interfaz de programación de aplicaciones y la estrategia de aislamiento entre empresas.</w:t>
      </w:r>
    </w:p>
    <w:p>
      <w:pPr>
        <w:pStyle w:val="ListParagraph"/>
        <w:numPr>
          <w:ilvl w:val="0"/>
          <w:numId w:val="3"/>
        </w:numPr>
        <w:spacing w:after="0" w:line="480"/>
        <w:jc w:val="both"/>
      </w:pPr>
      <w:r>
        <w:rPr>
          <w:rFonts w:ascii="Times New Roman" w:hAnsi="Times New Roman"/>
          <w:sz w:val="24"/>
        </w:rPr>
        <w:t>Implementar el módulo de plataforma, que administra el alta, la activación y la suspensión de empresas, el periodo de prueba y los datos tributarios de alcance nacional.</w:t>
      </w:r>
    </w:p>
    <w:p>
      <w:pPr>
        <w:pStyle w:val="ListParagraph"/>
        <w:numPr>
          <w:ilvl w:val="0"/>
          <w:numId w:val="3"/>
        </w:numPr>
        <w:spacing w:after="0" w:line="480"/>
        <w:jc w:val="both"/>
      </w:pPr>
      <w:r>
        <w:rPr>
          <w:rFonts w:ascii="Times New Roman" w:hAnsi="Times New Roman"/>
          <w:sz w:val="24"/>
        </w:rPr>
        <w:t>Construir el catálogo, el abastecimiento y el motor de precios, incluido el módulo de importación de listas capaz de procesar archivos de hoja de cálculo y servicios web de distintos proveedores.</w:t>
      </w:r>
    </w:p>
    <w:p>
      <w:pPr>
        <w:pStyle w:val="ListParagraph"/>
        <w:numPr>
          <w:ilvl w:val="0"/>
          <w:numId w:val="3"/>
        </w:numPr>
        <w:spacing w:after="0" w:line="480"/>
        <w:jc w:val="both"/>
      </w:pPr>
      <w:r>
        <w:rPr>
          <w:rFonts w:ascii="Times New Roman" w:hAnsi="Times New Roman"/>
          <w:sz w:val="24"/>
        </w:rPr>
        <w:t>Desarrollar el front web en React y los clientes de escritorio y móvil en React Native, con el flujo de venta en punto de pago y la lectura de códigos de barras.</w:t>
      </w:r>
    </w:p>
    <w:p>
      <w:pPr>
        <w:pStyle w:val="ListParagraph"/>
        <w:numPr>
          <w:ilvl w:val="0"/>
          <w:numId w:val="3"/>
        </w:numPr>
        <w:spacing w:after="0" w:line="480"/>
        <w:jc w:val="both"/>
      </w:pPr>
      <w:r>
        <w:rPr>
          <w:rFonts w:ascii="Times New Roman" w:hAnsi="Times New Roman"/>
          <w:sz w:val="24"/>
        </w:rPr>
        <w:t>Implementar la operación sin conexión y la sincronización de los dispositivos, resolviendo los descuadres de existencia sin rechazar ventas ya cobradas.</w:t>
      </w:r>
    </w:p>
    <w:p>
      <w:pPr>
        <w:pStyle w:val="ListParagraph"/>
        <w:numPr>
          <w:ilvl w:val="0"/>
          <w:numId w:val="3"/>
        </w:numPr>
        <w:spacing w:after="0" w:line="480"/>
        <w:jc w:val="both"/>
      </w:pPr>
      <w:r>
        <w:rPr>
          <w:rFonts w:ascii="Times New Roman" w:hAnsi="Times New Roman"/>
          <w:sz w:val="24"/>
        </w:rPr>
        <w:t>Integrar la emisión de factura electrónica a través de un proveedor tecnológico autorizado por la Dirección de Impuestos y Aduanas Nacionales.</w:t>
      </w:r>
    </w:p>
    <w:p>
      <w:pPr>
        <w:pStyle w:val="ListParagraph"/>
        <w:numPr>
          <w:ilvl w:val="0"/>
          <w:numId w:val="3"/>
        </w:numPr>
        <w:spacing w:after="0" w:line="480"/>
        <w:jc w:val="both"/>
      </w:pPr>
      <w:r>
        <w:rPr>
          <w:rFonts w:ascii="Times New Roman" w:hAnsi="Times New Roman"/>
          <w:sz w:val="24"/>
        </w:rPr>
        <w:t>Validar la plataforma mediante pruebas unitarias, de integración, de aislamiento entre empresas y de aceptación con el usuario final, documentando los resultados.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5. Alcance y Delimitación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5.1 Alcance funcional</w:t>
      </w:r>
    </w:p>
    <w:p>
      <w:pPr>
        <w:spacing w:after="0" w:line="480"/>
        <w:ind w:firstLine="720"/>
        <w:jc w:val="both"/>
      </w:pPr>
      <w:r>
        <w:rPr>
          <w:rFonts w:ascii="Times New Roman" w:hAnsi="Times New Roman"/>
          <w:sz w:val="24"/>
        </w:rPr>
        <w:t>La plataforma, en la versión objeto de este proyecto, comprende las siguientes capacidades:</w:t>
      </w:r>
    </w:p>
    <w:p>
      <w:pPr>
        <w:pStyle w:val="ListParagraph"/>
        <w:numPr>
          <w:ilvl w:val="0"/>
          <w:numId w:val="4"/>
        </w:numPr>
        <w:spacing w:after="0" w:line="480"/>
        <w:jc w:val="both"/>
      </w:pPr>
      <w:r>
        <w:rPr>
          <w:rFonts w:ascii="Times New Roman" w:hAnsi="Times New Roman"/>
          <w:sz w:val="24"/>
        </w:rPr>
        <w:t>Alta, activación y suspensión de empresas usuarias, con periodo de prueba de un mes y paso automático a modo de solo consulta al vencer.</w:t>
      </w:r>
    </w:p>
    <w:p>
      <w:pPr>
        <w:pStyle w:val="ListParagraph"/>
        <w:numPr>
          <w:ilvl w:val="0"/>
          <w:numId w:val="4"/>
        </w:numPr>
        <w:spacing w:after="0" w:line="480"/>
        <w:jc w:val="both"/>
      </w:pPr>
      <w:r>
        <w:rPr>
          <w:rFonts w:ascii="Times New Roman" w:hAnsi="Times New Roman"/>
          <w:sz w:val="24"/>
        </w:rPr>
        <w:t>Aislamiento de los datos de cada empresa, aplicado en la consulta y verificado de forma automática en cada entrega.</w:t>
      </w:r>
    </w:p>
    <w:p>
      <w:pPr>
        <w:pStyle w:val="ListParagraph"/>
        <w:numPr>
          <w:ilvl w:val="0"/>
          <w:numId w:val="4"/>
        </w:numPr>
        <w:spacing w:after="0" w:line="480"/>
        <w:jc w:val="both"/>
      </w:pPr>
      <w:r>
        <w:rPr>
          <w:rFonts w:ascii="Times New Roman" w:hAnsi="Times New Roman"/>
          <w:sz w:val="24"/>
        </w:rPr>
        <w:t>Autenticación con cuatro roles y administración de los usuarios de cada empresa por su propio administrador.</w:t>
      </w:r>
    </w:p>
    <w:p>
      <w:pPr>
        <w:pStyle w:val="ListParagraph"/>
        <w:numPr>
          <w:ilvl w:val="0"/>
          <w:numId w:val="4"/>
        </w:numPr>
        <w:spacing w:after="0" w:line="480"/>
        <w:jc w:val="both"/>
      </w:pPr>
      <w:r>
        <w:rPr>
          <w:rFonts w:ascii="Times New Roman" w:hAnsi="Times New Roman"/>
          <w:sz w:val="24"/>
        </w:rPr>
        <w:t>Catálogo de productos por empresa, con presentación, código interno, categorías y varios proveedores por referencia.</w:t>
      </w:r>
    </w:p>
    <w:p>
      <w:pPr>
        <w:pStyle w:val="ListParagraph"/>
        <w:numPr>
          <w:ilvl w:val="0"/>
          <w:numId w:val="4"/>
        </w:numPr>
        <w:spacing w:after="0" w:line="480"/>
        <w:jc w:val="both"/>
      </w:pPr>
      <w:r>
        <w:rPr>
          <w:rFonts w:ascii="Times New Roman" w:hAnsi="Times New Roman"/>
          <w:sz w:val="24"/>
        </w:rPr>
        <w:t>Registro de órdenes de compra y de recepciones, totales o parciales, con ingreso automático de existencias.</w:t>
      </w:r>
    </w:p>
    <w:p>
      <w:pPr>
        <w:pStyle w:val="ListParagraph"/>
        <w:numPr>
          <w:ilvl w:val="0"/>
          <w:numId w:val="4"/>
        </w:numPr>
        <w:spacing w:after="0" w:line="480"/>
        <w:jc w:val="both"/>
      </w:pPr>
      <w:r>
        <w:rPr>
          <w:rFonts w:ascii="Times New Roman" w:hAnsi="Times New Roman"/>
          <w:sz w:val="24"/>
        </w:rPr>
        <w:t>Importación de listas de precios desde archivos de hoja de cálculo y desde servicios web de proveedores.</w:t>
      </w:r>
    </w:p>
    <w:p>
      <w:pPr>
        <w:pStyle w:val="ListParagraph"/>
        <w:numPr>
          <w:ilvl w:val="0"/>
          <w:numId w:val="4"/>
        </w:numPr>
        <w:spacing w:after="0" w:line="480"/>
        <w:jc w:val="both"/>
      </w:pPr>
      <w:r>
        <w:rPr>
          <w:rFonts w:ascii="Times New Roman" w:hAnsi="Times New Roman"/>
          <w:sz w:val="24"/>
        </w:rPr>
        <w:t>Motor de reglas de margen configurable por empresa, categoría, proveedor y forma de pago, expresable como recargo sobre el costo o como margen sobre el precio.</w:t>
      </w:r>
    </w:p>
    <w:p>
      <w:pPr>
        <w:pStyle w:val="ListParagraph"/>
        <w:numPr>
          <w:ilvl w:val="0"/>
          <w:numId w:val="4"/>
        </w:numPr>
        <w:spacing w:after="0" w:line="480"/>
        <w:jc w:val="both"/>
      </w:pPr>
      <w:r>
        <w:rPr>
          <w:rFonts w:ascii="Times New Roman" w:hAnsi="Times New Roman"/>
          <w:sz w:val="24"/>
        </w:rPr>
        <w:t>Recálculo automático del precio de venta al actualizarse el costo de reposición.</w:t>
      </w:r>
    </w:p>
    <w:p>
      <w:pPr>
        <w:pStyle w:val="ListParagraph"/>
        <w:numPr>
          <w:ilvl w:val="0"/>
          <w:numId w:val="4"/>
        </w:numPr>
        <w:spacing w:after="0" w:line="480"/>
        <w:jc w:val="both"/>
      </w:pPr>
      <w:r>
        <w:rPr>
          <w:rFonts w:ascii="Times New Roman" w:hAnsi="Times New Roman"/>
          <w:sz w:val="24"/>
        </w:rPr>
        <w:t>Control de existencias en unidades enteras, con descuento automático, alertas de nivel mínimo y auditoría de todos los movimientos.</w:t>
      </w:r>
    </w:p>
    <w:p>
      <w:pPr>
        <w:pStyle w:val="ListParagraph"/>
        <w:numPr>
          <w:ilvl w:val="0"/>
          <w:numId w:val="4"/>
        </w:numPr>
        <w:spacing w:after="0" w:line="480"/>
        <w:jc w:val="both"/>
      </w:pPr>
      <w:r>
        <w:rPr>
          <w:rFonts w:ascii="Times New Roman" w:hAnsi="Times New Roman"/>
          <w:sz w:val="24"/>
        </w:rPr>
        <w:t>Registro de ventas en punto de pago, con medios de pago configurables, límites de descuento por rol y cierre de caja por turno.</w:t>
      </w:r>
    </w:p>
    <w:p>
      <w:pPr>
        <w:pStyle w:val="ListParagraph"/>
        <w:numPr>
          <w:ilvl w:val="0"/>
          <w:numId w:val="4"/>
        </w:numPr>
        <w:spacing w:after="0" w:line="480"/>
        <w:jc w:val="both"/>
      </w:pPr>
      <w:r>
        <w:rPr>
          <w:rFonts w:ascii="Times New Roman" w:hAnsi="Times New Roman"/>
          <w:sz w:val="24"/>
        </w:rPr>
        <w:t>Generación de cotizaciones con vigencia en días hábiles y exportación a documento portátil.</w:t>
      </w:r>
    </w:p>
    <w:p>
      <w:pPr>
        <w:pStyle w:val="ListParagraph"/>
        <w:numPr>
          <w:ilvl w:val="0"/>
          <w:numId w:val="4"/>
        </w:numPr>
        <w:spacing w:after="0" w:line="480"/>
        <w:jc w:val="both"/>
      </w:pPr>
      <w:r>
        <w:rPr>
          <w:rFonts w:ascii="Times New Roman" w:hAnsi="Times New Roman"/>
          <w:sz w:val="24"/>
        </w:rPr>
        <w:t>Emisión de factura electrónica mediante proveedor tecnológico autorizado.</w:t>
      </w:r>
    </w:p>
    <w:p>
      <w:pPr>
        <w:pStyle w:val="ListParagraph"/>
        <w:numPr>
          <w:ilvl w:val="0"/>
          <w:numId w:val="4"/>
        </w:numPr>
        <w:spacing w:after="0" w:line="480"/>
        <w:jc w:val="both"/>
      </w:pPr>
      <w:r>
        <w:rPr>
          <w:rFonts w:ascii="Times New Roman" w:hAnsi="Times New Roman"/>
          <w:sz w:val="24"/>
        </w:rPr>
        <w:t>Operación sin conexión de los clientes de escritorio y móvil, con cola de operaciones y sincronización al recuperar la red.</w:t>
      </w:r>
    </w:p>
    <w:p>
      <w:pPr>
        <w:pStyle w:val="ListParagraph"/>
        <w:numPr>
          <w:ilvl w:val="0"/>
          <w:numId w:val="4"/>
        </w:numPr>
        <w:spacing w:after="0" w:line="480"/>
        <w:jc w:val="both"/>
      </w:pPr>
      <w:r>
        <w:rPr>
          <w:rFonts w:ascii="Times New Roman" w:hAnsi="Times New Roman"/>
          <w:sz w:val="24"/>
        </w:rPr>
        <w:t>Reportes de existencias, rotación, ventas, compras e ingresos y egresos.</w:t>
      </w:r>
    </w:p>
    <w:p>
      <w:pPr>
        <w:pStyle w:val="ListParagraph"/>
        <w:numPr>
          <w:ilvl w:val="0"/>
          <w:numId w:val="4"/>
        </w:numPr>
        <w:spacing w:after="0" w:line="480"/>
        <w:jc w:val="both"/>
      </w:pPr>
      <w:r>
        <w:rPr>
          <w:rFonts w:ascii="Times New Roman" w:hAnsi="Times New Roman"/>
          <w:sz w:val="24"/>
        </w:rPr>
        <w:t>Interfaz de programación de aplicaciones de tipo REST documentada como contrato entre componentes.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5.2 Fuera del alcance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siguientes capacidades se excluyen de forma explícita de la versión actual y se documentan como trabajo futuro: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Integración con pasarelas de pago en línea.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Operación con múltiples bodegas o sucursales.</w:t>
      </w:r>
    </w:p>
    <w:p>
      <w:pPr>
        <w:pStyle w:val="ListParagraph"/>
        <w:numPr>
          <w:ilvl w:val="0"/>
          <w:numId w:val="4"/>
        </w:numPr>
        <w:spacing w:after="0" w:line="480"/>
        <w:jc w:val="both"/>
      </w:pPr>
      <w:r>
        <w:rPr>
          <w:rFonts w:ascii="Times New Roman" w:hAnsi="Times New Roman"/>
          <w:sz w:val="24"/>
        </w:rPr>
        <w:t>Venta a granel o por cantidad medible. La versión actual cuenta unidades enteras: la presentación forma parte de la identidad del producto, de modo que «Arroz Diana 500 g» es una referencia y «Arroz Diana 1 kg» es otra. Vender producto suelto pesado en báscula exigiría cantidades fraccionarias en inventario, cotización y venta, y la lectura de etiquetas de báscula con peso incorporado en el código.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Aplicación para el sistema operativo iOS.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Portal web público de comercio electrónico dirigido a consumidor final.</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Módulo contable y de nómina.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Lectura de códigos de barras mediante hardware dedicado; la versión actual contempla únicamente la cámara del dispositivo móvil.</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Desarrollo propio del componente de firma y validación ante la Dirección de Impuestos y Aduanas Nacionales, que se resuelve mediante proveedor autorizado.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5.3 Supuestos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empresa opera con un único punto de venta y una sola bodega.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Los valores monetarios se expresan en pesos colombianos.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Los proveedores mantienen la estructura de sus listas de precios de forma razonablemente estable entre envíos.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empresa cuenta o contará con habilitación como facturador electrónico ante la autoridad tributaria.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servidor de base de datos opera en red local o en un proveedor de infraestructura en la nube con conectividad permanente.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5.4 Restricciones</w:t>
      </w:r>
    </w:p>
    <w:p>
      <w:pPr>
        <w:spacing w:after="0" w:before="240" w:line="240"/>
      </w:pPr>
      <w:r>
        <w:rPr>
          <w:rFonts w:ascii="Times New Roman" w:hAnsi="Times New Roman"/>
          <w:sz w:val="22"/>
        </w:rPr>
        <w:t>Tabla 3</w:t>
      </w:r>
    </w:p>
    <w:p>
      <w:pPr>
        <w:spacing w:after="120" w:line="240"/>
      </w:pPr>
      <w:r>
        <w:rPr>
          <w:rFonts w:ascii="Times New Roman" w:cs="Times New Roman" w:eastAsia="Times New Roman" w:hAnsi="Times New Roman"/>
          <w:b w:val="false"/>
          <w:bCs w:val="false"/>
          <w:i/>
          <w:iCs/>
          <w:sz w:val="22"/>
          <w:szCs w:val="22"/>
        </w:rPr>
        <w:t xml:space="preserve">Restricciones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w:t>
            </w:r>
          </w:p>
        </w:tc>
        <w:tc>
          <w:tcPr>
            <w:tcW w:type="dxa" w:w="7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Restricción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Temporal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desarrollo debe completarse dentro del calendario académico del programa de formación.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 recurso</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proyecto es individual; una sola persona asume los roles de análisis, desarrollo y pruebas.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Tecnológica</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backend debe desarrollarse en Java por alineación con el programa de formación y con la fase previa.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Normativa</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emisión de factura electrónica depende de la habilitación de la empresa ante la autoridad tributaria, trámite externo al proyecto.</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Presupuestal</w:t>
            </w:r>
          </w:p>
        </w:tc>
        <w:tc>
          <w:tcPr>
            <w:tcW w:type="dxa" w:w="7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proyecto no contempla adquisición de licencias de software comercial; se utilizan herramientas libres o de uso gratuito para estudiantes.</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6. Marco Referencial</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6.1 Marco teórico</w:t>
      </w:r>
    </w:p>
    <w:p>
      <w:pPr>
        <w:pStyle w:val="Heading3"/>
        <w:spacing w:after="0" w:before="240" w:line="480"/>
        <w:jc w:val="left"/>
      </w:pPr>
      <w:r>
        <w:rPr>
          <w:rFonts w:ascii="Times New Roman" w:cs="Times New Roman" w:eastAsia="Times New Roman" w:hAnsi="Times New Roman"/>
          <w:b/>
          <w:bCs/>
          <w:i/>
          <w:iCs/>
          <w:sz w:val="24"/>
          <w:szCs w:val="24"/>
        </w:rPr>
        <w:t xml:space="preserve">Gestión de inventarios.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gestión de inventarios estudia el equilibrio entre el costo de mantener existencias y el costo de no tenerlas. En una distribuidora de tecnología ese equilibrio es particularmente delicado, porque los productos sufren obsolescencia acelerada: una referencia que permanece seis meses en bodega pierde valor de mercado con independencia de su estado físico. Los indicadores de rotación y de capital inmovilizado, que el sistema propuesto incorpora, provienen de este cuerpo teórico.</w:t>
      </w:r>
    </w:p>
    <w:p>
      <w:pPr>
        <w:pStyle w:val="Heading3"/>
        <w:spacing w:after="0" w:before="240" w:line="480"/>
        <w:jc w:val="left"/>
      </w:pPr>
      <w:r>
        <w:rPr>
          <w:rFonts w:ascii="Times New Roman" w:cs="Times New Roman" w:eastAsia="Times New Roman" w:hAnsi="Times New Roman"/>
          <w:b/>
          <w:bCs/>
          <w:i/>
          <w:iCs/>
          <w:sz w:val="24"/>
          <w:szCs w:val="24"/>
        </w:rPr>
        <w:t xml:space="preserve">Ingeniería de software y ciclo de vida.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Sommerville (2016) sostiene que la elección del modelo de proceso debe responder a la estabilidad de los requisitos. En este proyecto los requisitos del núcleo de inventario están consolidados, mientras que los del módulo de importación y los de la aplicación móvil dependen de hallazgos que solo aparecerán durante el desarrollo. Esa asimetría justifica un enfoque iterativo e incremental antes que uno secuencial.</w:t>
      </w:r>
    </w:p>
    <w:p>
      <w:pPr>
        <w:pStyle w:val="Heading3"/>
        <w:spacing w:after="0" w:before="240" w:line="480"/>
        <w:jc w:val="left"/>
      </w:pPr>
      <w:r>
        <w:rPr>
          <w:rFonts w:ascii="Times New Roman" w:cs="Times New Roman" w:eastAsia="Times New Roman" w:hAnsi="Times New Roman"/>
          <w:b/>
          <w:bCs/>
          <w:i/>
          <w:iCs/>
          <w:sz w:val="24"/>
          <w:szCs w:val="24"/>
        </w:rPr>
        <w:t xml:space="preserve">Arquitectura en capas y separación de responsabilidades.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Martin (2017) plantea que las dependencias de un sistema deben apuntar siempre hacia las políticas de negocio y nunca hacia los detalles de implementación. Aplicado a este proyecto, significa que el dominio no debe conocer ni la base de datos ni la interfaz gráfica ni el protocolo de transporte. La consecuencia práctica es verificable: la lógica de negocio puede probarse sin levantar un servidor ni instanciar una ventana.</w:t>
      </w:r>
    </w:p>
    <w:p>
      <w:pPr>
        <w:pStyle w:val="Heading3"/>
        <w:spacing w:after="0" w:before="240" w:line="480"/>
        <w:jc w:val="left"/>
      </w:pPr>
      <w:r>
        <w:rPr>
          <w:rFonts w:ascii="Times New Roman" w:cs="Times New Roman" w:eastAsia="Times New Roman" w:hAnsi="Times New Roman"/>
          <w:b/>
          <w:bCs/>
          <w:i/>
          <w:iCs/>
          <w:sz w:val="24"/>
          <w:szCs w:val="24"/>
        </w:rPr>
        <w:t xml:space="preserve">Servicios web de tipo REST.</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transferencia de estado representacional define un estilo arquitectónico basado en recursos identificados por localizadores uniformes, operaciones estandarizadas del protocolo de transferencia de hipertexto y ausencia de estado entre peticiones. Ese estilo permite que clientes heterogéneos, en este caso una aplicación móvil y un módulo de escritorio, consuman la misma lógica sin acoplarse a su implementación.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6.2 Marco conceptual</w:t>
      </w:r>
    </w:p>
    <w:p>
      <w:pPr>
        <w:spacing w:after="0" w:before="240" w:line="240"/>
      </w:pPr>
      <w:r>
        <w:rPr>
          <w:rFonts w:ascii="Times New Roman" w:hAnsi="Times New Roman"/>
          <w:sz w:val="22"/>
        </w:rPr>
        <w:t>Tabla 4</w:t>
      </w:r>
    </w:p>
    <w:p>
      <w:pPr>
        <w:spacing w:after="120" w:line="240"/>
      </w:pPr>
      <w:r>
        <w:rPr>
          <w:rFonts w:ascii="Times New Roman" w:cs="Times New Roman" w:eastAsia="Times New Roman" w:hAnsi="Times New Roman"/>
          <w:b w:val="false"/>
          <w:bCs w:val="false"/>
          <w:i/>
          <w:iCs/>
          <w:sz w:val="22"/>
          <w:szCs w:val="22"/>
        </w:rPr>
        <w:t xml:space="preserve">Definición de términos clave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Término</w:t>
            </w:r>
          </w:p>
        </w:tc>
        <w:tc>
          <w:tcPr>
            <w:tcW w:type="dxa" w:w="7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Definición operativa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 de reposición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que la empresa debe pagar al proveedor para adquirir nuevamente una unidad del producto.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 de margen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Expresión configurable que determina el precio de venta a partir del costo, en función de la categoría, el proveedor y la forma de pago.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Lista de precios</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Conjunto de costos remitido por un proveedor, con fecha de vigencia y estado de aplicación.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 crítica</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Condición de un producto cuya cantidad disponible alcanzó o descendió del umbral mínimo configurado.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Movimiento de inventario</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auditoría de todo cambio en la cantidad disponible, con su valor anterior y posterior.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Cotización</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Oferta comercial formal con vigencia determinada, que no compromete existencias hasta su conversión en pedido.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API REST</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Interfaz de programación de aplicaciones que expone los recursos del sistema mediante el protocolo de transferencia de hipertexto.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 tecnológico</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Entidad autorizada por la administración tributaria para transmitir y validar documentos electrónicos en nombre del facturador.</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CUFE</w:t>
            </w:r>
          </w:p>
        </w:tc>
        <w:tc>
          <w:tcPr>
            <w:tcW w:type="dxa" w:w="7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Código único de factura electrónica que identifica de forma inequívoca cada documento validado.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Tercera forma normal</w:t>
            </w:r>
          </w:p>
        </w:tc>
        <w:tc>
          <w:tcPr>
            <w:tcW w:type="dxa" w:w="7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Estado de un modelo relacional en el que ningún atributo no clave depende de otro atributo no clave.</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6.3 Marco tecnológico</w:t>
      </w:r>
    </w:p>
    <w:p>
      <w:pPr>
        <w:spacing w:after="0" w:before="240" w:line="240"/>
      </w:pPr>
      <w:r>
        <w:rPr>
          <w:rFonts w:ascii="Times New Roman" w:hAnsi="Times New Roman"/>
          <w:sz w:val="22"/>
        </w:rPr>
        <w:t>Tabla 5</w:t>
      </w:r>
    </w:p>
    <w:p>
      <w:pPr>
        <w:spacing w:after="120" w:line="240"/>
      </w:pPr>
      <w:r>
        <w:rPr>
          <w:rFonts w:ascii="Times New Roman" w:cs="Times New Roman" w:eastAsia="Times New Roman" w:hAnsi="Times New Roman"/>
          <w:b w:val="false"/>
          <w:bCs w:val="false"/>
          <w:i/>
          <w:iCs/>
          <w:sz w:val="22"/>
          <w:szCs w:val="22"/>
        </w:rPr>
        <w:t xml:space="preserve">Tecnologías previstas para el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Componente</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Tecnología</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Justificación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Lenguaje del backend</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17</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Alineación con el programa de formación y con el dominio del aprendiz.</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Servicio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Spring Boot 3</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Reduce el código de infraestructura y ofrece soporte de seguridad y persistencia.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Base de datos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MySQL 9.7 LTS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Motor relacional con soporte de columnas generadas, restricciones de verificación y vistas.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Front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sobre HTML, CSS y JavaScript</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Interfaz por componentes reutilizables, compartidos con los clientes de escritorio y móvil.</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Empaquetado del front</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Vite</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Compilación rápida y salida estática que el mismo servidor del backend entrega.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de escritorio</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Empaquetado del front web en contenedor de escritorio</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Permite operar sin conexión en el mostrador reutilizando la misma interfaz del front web.</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móvil</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Native</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Comparte lenguaje y componentes con el front web, y conserva acceso nativo a la cámara.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Base de datos local</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SQLite en escritorio e IndexedDB en móvil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Guarda catálogo, precios y cola de operaciones mientras no hay red.</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 HTTP</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Axios sobre la API fetch</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único cliente para los tres frentes, con interceptores comunes de token y de reintento.</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Lectura de hojas de cálculo</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Apache POI</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Procesa archivos de hoja de cálculo de distintos proveedores.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JUnit 5 y Mockito en el backend; Vitest y Testing Library en el front</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Pruebas unitarias y de integración en ambos lados del contrato.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Control de versiones</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Git y GitHub</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Historial del proyecto y soporte para integración continua.</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Integración continua</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GitHub Actions</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Compilación, pruebas y batería de aislamiento entre empresas en cada envío.</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Documentación de la API</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OpenAPI y Swagger UI</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Contrato legible por humanos y por máquinas entre backend y clientes.</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Prototipado de interfaz</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Figma</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Diseño de pantallas y sistema de componentes previo a la implementación.</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6.4 Marco legal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desarrollo y la operación del sistema se enmarcan en la normativa colombiana vigente que se relaciona a continuación. La verificación de la vigencia de cada norma al momento del despliegue es responsabilidad del equipo de proyecto, dado que la reglamentación tributaria y de protección de datos se actualiza con frecuencia.</w:t>
      </w:r>
    </w:p>
    <w:p>
      <w:pPr>
        <w:spacing w:after="0" w:before="240" w:line="240"/>
      </w:pPr>
      <w:r>
        <w:rPr>
          <w:rFonts w:ascii="Times New Roman" w:hAnsi="Times New Roman"/>
          <w:sz w:val="22"/>
        </w:rPr>
        <w:t>Tabla 6</w:t>
      </w:r>
    </w:p>
    <w:p>
      <w:pPr>
        <w:spacing w:after="120" w:line="240"/>
      </w:pPr>
      <w:r>
        <w:rPr>
          <w:rFonts w:ascii="Times New Roman" w:cs="Times New Roman" w:eastAsia="Times New Roman" w:hAnsi="Times New Roman"/>
          <w:b w:val="false"/>
          <w:bCs w:val="false"/>
          <w:i/>
          <w:iCs/>
          <w:sz w:val="22"/>
          <w:szCs w:val="22"/>
        </w:rPr>
        <w:t xml:space="preserve">Marco normativo aplicable al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Norma</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Materia</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Implicación para el sistema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1581 de 2012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Protección de datos personales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Obliga a obtener autorización del titular, informar la finalidad del tratamiento y garantizar los derechos de acceso, rectificación y supresión sobre los datos de clientes y usuarios.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Decreto 1074 de 2015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Reglamentación del régimen de datos personales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Establece las condiciones de la política de tratamiento y el registro de bases de datos.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1273 de 2009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Delitos informáticos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Fundamenta los controles de acceso, el cifrado de credenciales y el registro de auditoría de accesos.</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527 de 1999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Comercio electrónico y firma digital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Otorga validez jurídica a los mensajes de datos y a los documentos electrónicos generados por el sistema.</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Resolución DIAN 000165 de 2023</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Sistema de facturación electrónica</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Define los requisitos técnicos y de contenido de la factura electrónica de venta y del documento soporte.</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1480 de 2011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del Consumidor</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Determina las obligaciones de información de precio, garantía y condiciones de la oferta comercial.</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numerales 5 y 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Bienes excluidos del impuesto sobre las ventas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Excluye del impuesto los computadores personales cuyo valor no exceda 50 UVT y los dispositivos móviles inteligentes cuyo valor no exceda 22 UVT. Obliga a que el cálculo del impuesto dependa de la categoría y del precio de venta, no de una tarifa única.</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Ley 23 de 1982 y Decisión Andina 351 de 1993</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Derechos de autor sobre soporte lógico</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Regula la titularidad del código fuente producido y el uso de bibliotecas de terceros según su licencia.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normativa tributaria se actualiza periódicamente. Antes del despliegue en producción debe verificarse la vigencia de la resolución citada y de las disposiciones que la modifiquen.</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7. Metodología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7.1 Marco de trabajo seleccionado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proyecto se desarrolla bajo Scrum, marco de trabajo ágil basado en iteraciones de duración fija denominadas sprints, al final de las cuales se entrega un incremento de producto potencialmente utilizable.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selección responde a dos condiciones del proyecto. La primera es la asimetría en la madurez de los requisitos: el núcleo de inventario está consolidado, pero los del módulo de importación dependen de las estructuras reales de las listas de cada proveedor, que solo se conocerán al procesarlas. La segunda es la existencia de un usuario real disponible para validar incrementos, lo que permite corregir la dirección del desarrollo antes de acumular trabajo sobre supuestos erróneos.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7.2 Adaptación a un equipo unipersonal</w:t>
      </w:r>
    </w:p>
    <w:p>
      <w:pPr>
        <w:spacing w:after="0" w:line="480"/>
        <w:ind w:firstLine="720"/>
        <w:jc w:val="both"/>
      </w:pPr>
      <w:r>
        <w:rPr>
          <w:rFonts w:ascii="Times New Roman" w:hAnsi="Times New Roman"/>
          <w:sz w:val="24"/>
        </w:rPr>
        <w:t>Scrum presupone un equipo con roles diferenciados. En un proyecto individual esa separación no puede darse por personas, pero sí puede conservarse por momentos de trabajo, que es lo que aporta el valor del marco. La Tabla 7 documenta la adaptación.</w:t>
      </w:r>
    </w:p>
    <w:p>
      <w:pPr>
        <w:spacing w:after="0" w:before="240" w:line="240"/>
      </w:pPr>
      <w:r>
        <w:rPr>
          <w:rFonts w:ascii="Times New Roman" w:hAnsi="Times New Roman"/>
          <w:sz w:val="22"/>
        </w:rPr>
        <w:t>Tabla 7</w:t>
      </w:r>
    </w:p>
    <w:p>
      <w:pPr>
        <w:spacing w:after="120" w:line="240"/>
      </w:pPr>
      <w:r>
        <w:rPr>
          <w:rFonts w:ascii="Times New Roman" w:cs="Times New Roman" w:eastAsia="Times New Roman" w:hAnsi="Times New Roman"/>
          <w:b w:val="false"/>
          <w:bCs w:val="false"/>
          <w:i/>
          <w:iCs/>
          <w:sz w:val="22"/>
          <w:szCs w:val="22"/>
        </w:rPr>
        <w:t xml:space="preserve">Adaptación de los roles de Scrum al contexto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Rol</w:t>
            </w:r>
          </w:p>
        </w:tc>
        <w:tc>
          <w:tcPr>
            <w:tcW w:type="dxa" w:w="2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Asignación</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Ejercicio en la práctica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Product Owner</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 en consulta con Black Steel Parts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Prioriza el backlog al inicio de cada sprint según el valor que la empresa declara.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Scrum Master</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Revisa al cierre de cada sprint los impedimentos registrados y ajusta la estimación siguiente.</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Equipo de desarrollo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Ejecuta análisis, diseño, codificación y pruebas del incremento.</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Interesado académico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Instructora Yeimi Barrera</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Revisa los incrementos y verifica el cumplimiento de los resultados de aprendizaje.</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Interesado del negocio</w:t>
            </w:r>
          </w:p>
        </w:tc>
        <w:tc>
          <w:tcPr>
            <w:tcW w:type="dxa" w:w="2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Black Steel Parts</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Valida los incrementos funcionales contra la operación real de la empresa.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concentración de roles en una sola persona es una limitación reconocida del proyecto. Se mitiga mediante el registro escrito de las decisiones de priorización, que obliga a explicitar el criterio en lugar de resolverlo de forma implícita.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7.3 Artefactos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Product backlog: lista priorizada de historias de usuario derivadas de los requisitos funcionales, mantenida en el repositorio del proyecto.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Sprint backlog: subconjunto de historias comprometidas para la iteración en curso, con sus tareas técnicas desglosadas.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Incremento: conjunto de funcionalidad terminada al cierre del sprint, integrada en la rama principal y con las pruebas en verde.</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Registro de decisiones de arquitectura: documento por cada decisión técnica relevante, con su contexto, la alternativa elegida y sus consecuencias.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7.4 Ceremonias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ceremonias se conservan en su propósito, ajustando su formato al de un equipo unipersonal. La planificación del sprint se realiza por escrito al inicio de cada iteración y define el objetivo y las historias comprometidas. La revisión diaria se sustituye por un registro breve de avance e impedimentos al cierre de cada jornada de trabajo. La revisión del sprint consiste en la demostración del incremento al interesado del negocio o a la instructora. La retrospectiva registra qué funcionó, qué no y qué se ajusta en la siguiente iteración.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7.5 Definición de terminado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Una historia de usuario se considera terminada únicamente si satisface la totalidad de las condiciones siguientes: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código está integrado en la rama principal del repositorio.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Existen pruebas unitarias sobre la lógica de negocio introducida y la suite completa se ejecuta sin fallos.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flujo de integración continua finaliza en estado satisfactorio.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funcionalidad satisface los criterios de aceptación definidos en el requisito asociado.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 documentación técnica afectada se encuentra actualizada.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No se han introducido credenciales ni datos sensibles en el código fuente.</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8. Análisis de Requisitos</w:t>
      </w:r>
    </w:p>
    <w:p>
      <w:pPr>
        <w:spacing w:after="0" w:line="480"/>
        <w:ind w:firstLine="720"/>
        <w:jc w:val="both"/>
      </w:pPr>
      <w:r>
        <w:rPr>
          <w:rFonts w:ascii="Times New Roman" w:hAnsi="Times New Roman"/>
          <w:sz w:val="24"/>
        </w:rPr>
        <w:t>La especificación distingue tres artefactos que responden a preguntas distintas. Un requisito funcional describe una acción concreta que el sistema ejecuta: autenticar, calcular, registrar, emitir. Una regla de negocio describe una política de la empresa o una disposición normativa que el sistema debe respetar, cuyo valor puede cambiar sin que cambie el programa; por eso se cataloga aparte, con el parámetro que la administra. Un requisito no funcional describe una cualidad del sistema en su conjunto, no una función. Mezclarlos oscurece el alcance: una política comercial redactada como requisito funcional sugiere que su modificación exige reprogramar, cuando precisamente lo que el sistema debe garantizar es lo contrario.</w:t>
        <w:br/>
        <w:t>Todo requisito lleva un criterio de aceptación con magnitud, instrumento de medida y condición de error. Un criterio que no indica cuánto, medido con qué y qué ocurre cuando falla no permite determinar si el requisito se cumplió.</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8.1 Requisitos funcionales</w:t>
      </w:r>
    </w:p>
    <w:p>
      <w:pPr>
        <w:spacing w:after="0" w:before="240" w:line="240"/>
      </w:pPr>
      <w:r>
        <w:rPr>
          <w:rFonts w:ascii="Times New Roman" w:hAnsi="Times New Roman"/>
          <w:sz w:val="22"/>
        </w:rPr>
        <w:t>Tabla 8</w:t>
      </w:r>
    </w:p>
    <w:p>
      <w:pPr>
        <w:spacing w:after="120" w:line="240"/>
      </w:pPr>
      <w:r>
        <w:rPr>
          <w:rFonts w:ascii="Times New Roman" w:cs="Times New Roman" w:eastAsia="Times New Roman" w:hAnsi="Times New Roman"/>
          <w:b w:val="false"/>
          <w:bCs w:val="false"/>
          <w:i/>
          <w:iCs/>
          <w:sz w:val="22"/>
          <w:szCs w:val="22"/>
        </w:rPr>
        <w:t xml:space="preserve">Requisitos funcionales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20"/>
        <w:gridCol w:w="3180"/>
        <w:gridCol w:w="3060"/>
        <w:gridCol w:w="900"/>
      </w:tblGrid>
      <w:tr>
        <w:trPr>
          <w:tblHeader/>
        </w:trPr>
        <w:tc>
          <w:tcPr>
            <w:tcW w:type="dxa" w:w="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152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Módulo</w:t>
            </w:r>
          </w:p>
        </w:tc>
        <w:tc>
          <w:tcPr>
            <w:tcW w:type="dxa" w:w="318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w:t>
            </w:r>
          </w:p>
        </w:tc>
        <w:tc>
          <w:tcPr>
            <w:tcW w:type="dxa" w:w="30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Criterio de aceptación</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Prior. / Versión</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una empresa en la plataforma con su identificación tributaria, contacto y plan contratado.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empresa queda creada con su administrador inicial y en estado de prueba. Una identificación tributaria repetida devuelve 409. Solo el super administrador puede ejecutarlo; cualquier otro rol recibe 403.</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Activar una empresa, habilitando la operación completa de todos sus usuarios.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la activación, los usuarios de esa empresa pueden escribir. El cambio queda registrado con responsable y fecha.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Desactivar una empresa dejándola en modo de consulta, sin borrar ni ocultar su información (RN-15).</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usuario de empresa desactivada obtiene 200 en toda operación de lectura y 403 en toda operación de escritura. Se verifica sobre catálogo, ventas, inventario y reportes. Ningún registro se elimina.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el periodo de prueba y el estado de suscripción de cada empresa (RN-14).</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empresa creada hoy queda en prueba hasta el mismo día del mes siguiente. Al vencer sin pago registrado, pasa a modo de consulta sin intervención manual; se verifica adelantando la fecha del sistema en el entorno de pruebas.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Mantener los datos tributarios de alcance nacional: valor anual de la unidad de valor tributario, tarifas de impuesto y umbrales de exclusión.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modificación surte efecto en el cálculo de todas las empresas sin recompilar ni desplegar, y queda registrada con responsable y fecha. Un administrador de empresa que intente modificarlos recibe 403.</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listado de empresas con su estado, fecha de alta y vencimiento de suscripción.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listado devuelve las empresas con su estado actual y admite filtro por estado. No expone ningún dato operativo de las empresas (RN-17).</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Autenticar al usuario mediante correo y contraseña, emitiendo un token que identifica su empresa y su rol.</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Credenciales válidas devuelven 200 con token en menos de 1 s; el token porta el identificador de empresa. Credenciales inválidas devuelven 401 con el mismo mensaje genérico, sea el correo inexistente o la contraseña errónea.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Restringir el acceso a cada recurso según el rol del usuario autenticado, entre los cuatro definidos.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prueba un recurso por cada rol y por cada módulo restringido. Un token de rol Cliente sobre un recurso de administración devuelve 403; uno de Administrador de empresa sobre la gestión de empresas, también. Cero accesos concedidos fuera de lo autorizado.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Acotar toda consulta y toda escritura a la empresa del usuario autenticado (RN-16).</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dos empresas cargadas, ninguna consulta de la primera devuelve registros de la segunda. Se verifica sobre productos, clientes, ventas, movimientos y reportes. Un identificador de otra empresa pasado por la ruta devuelve 404, no 403, para no revelar su existencia.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Bloquear la cuenta cuando los intentos fallidos consecutivos alcanzan el umbral configurado (RN-11).</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umbral en 5, el sexto intento devuelve 401 y la cuenta queda bloqueada. Un intento posterior con la contraseña correcta también devuelve 401.</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todo intento de acceso con fecha, origen, usuario, empresa y resultado.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Cada intento produce exactamente un registro, que persiste aunque la autenticación falle.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el administrador de empresa cree y administre los usuarios de su propio negocio y les asigne rol y permisos.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usuario creado queda ligado a la empresa de quien lo creó y no puede cambiarse de empresa. Un administrador que intente listar o modificar usuarios de otra empresa recibe 404.</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producto con nombre, presentación, categoría, costo, existencia y umbral mínimo.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presentación forma parte de la identidad del producto: «Arroz Diana 500 g» y «Arroz Diana 1 kg» son dos productos distintos, cada uno con su existencia en unidades enteras. Un SKU repetido dentro de la misma empresa devuelve 409; el mismo SKU en otra empresa se acepta.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el código interno del producto según la regla que defina cada empresa.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una regla de prefijo, categoría y consecutivo, dos altas seguidas producen consecutivos contiguos sin huecos ni repeticiones. La regla es modificable y no afecta a los códigos ya emitidos.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Editar los datos de un producto registrado.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modificación se refleja en la consulta siguiente. Asignar una categoría o un proveedor de otra empresa devuelve 404.</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catálogo con filtros por categoría, proveedor y estado de existencia, con paginación.</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Percentil 95 inferior a 1 s sobre 10 000 referencias de la empresa consultada, medido con 200 peticiones. Página por omisión de 25 y máximo de 100; una petición mayor devuelve 400.</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Desactivar un producto sin eliminarlo, preservando su historial de movimientos.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Deja de aparecer en el catálogo y en los selectores de venta, y conserva íntegros sus movimientos.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un producto mediante lectura de su código de barras o código QR desde la cámara del dispositivo.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lectura de un código registrado en la empresa despliega la ficha en menos de 2 s desde el enfoque. Un código no registrado ofrece darlo de alta sin cerrar la cámara.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las categorías del catálogo de la empresa.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categoría con productos asociados no se elimina: se desactiva. El intento devuelve 409.</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Proveedores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proveedores con identificación tributaria, contacto y condiciones comerciales.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proveedor queda disponible en los selectores de producto y de compra de su empresa. Una identificación repetida dentro de la empresa devuelve 409.</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Proveedores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Asociar varios proveedores a un mismo producto, cada uno con su referencia, su costo y sus condiciones.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producto admite al menos tres proveedores sin duplicarse en el catálogo. El costo vigente del producto es el del proveedor marcado como preferente, y cambiarlo recalcula el precio (RF-31).</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Compras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una orden de compra con proveedor, productos, cantidades y costos.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orden se guarda en estado pendiente y no altera ninguna existencia. Se verifica que el inventario disponible no cambia tras registrarla.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Compras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la recepción de una orden de compra, total o parcial, aumentando la existencia por lo efectivamente recibido.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orden de 100 unidades recibida en dos entregas de 60 y 40 incrementa la existencia en dos movimientos y cierra la orden al completarse. Recibir más de lo ordenado devuelve 400.</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Cargar una lista de precios de proveedor desde archivo de hoja de cálculo.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aceptan .xlsx y .csv de hasta 10 MB y 20 000 filas, con vista previa de las primeras 50 antes de aplicar. Otro formato o un exceso de tamaño se rechaza indicando la causa.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por proveedor la correspondencia entre las columnas del archivo de origen y los campos del sistema.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configuración se guarda y se reutiliza en cargas posteriores del mismo proveedor. Un archivo cuyas cabeceras no coinciden se detiene y solicita revisión.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Validar la lista importada antes de aplicarla, reportando los registros rechazados con su causa.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Sobre un archivo de 100 filas con 12 defectuosas, aplica 88 y lista las 12 con su causa: costo no numérico, costo menor o igual a cero, referencia inexistente o código repetido en el archivo. Ningún registro defectuoso se aplica.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RF-27</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Aplicar la lista validada actualizando el costo de los productos correspondientes.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carga registra aplicados y rechazados. La operación es atómica: si falla a mitad, ningún costo queda modificado. 5 000 registros en menos de 60 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RF-28</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Conservar el historial de costos de cada producto con su fecha de vigencia.</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Para cualquier referencia y cualquier fecha pasada, la consulta devuelve el costo vigente en esa fecha. Verificado sobre 20 referencias con tres cambios cada una.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RF-29</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la lista de precios de un proveedor desde su servicio web cuando esté disponible.</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Devuelve los precios bajo el mismo formato que la carga de archivo. Ante servicio no disponible, agota la espera a los 30 s, informa el fallo y deja intacto el costo vigente.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RF-30</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las reglas de margen de la empresa por categoría, proveedor y forma de pago.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modificación surte efecto en el cálculo siguiente sin desplegar. Ante reglas concurrentes prevalece la más específica (RN-03). Las reglas de una empresa no afectan a otra.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RF-31</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Calcular el precio de venta a partir del costo y de la regla vigente, y recalcularlo al aplicarse una lista de precios.</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aplicar una lista, ninguna referencia afectada conserva un precio derivado de un costo anterior. El precio de venta no admite captura manual en ninguna interfaz.</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RF-32</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la regla de ganancia se exprese como recargo sobre el costo o como margen sobre el precio de venta (RN-04).</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costo de 1 000 con recargo del 20 % da 1 200; el mismo costo con margen del 20 % sobre el precio da 1 250. La interfaz indica cuál de las dos bases está aplicando, y el cambio de base recalcula los precios afectados.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RF-33</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Presentar el precio de contado y el precio de crédito de cada producto.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Ambos aparecen en la ficha y en el catálogo, con redondeo a la unidad de peso.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RF-34</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Determinar el tratamiento tributario de cada producto según su categoría y el umbral vigente en unidades de valor tributario (RN-05 a RN-07).</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producto con precio igual al umbral se factura excluido; con un peso más, gravado. Se verifica con tres referencias justo debajo, justo en y justo encima del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RF-35</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Advertir cuando un recálculo hace que un producto cruce el umbral de exclusión del impuesto.</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aplicar una lista, lista las referencias que cambiaron de tratamiento con el precio anterior y el nuevo. Un recálculo sin cruces produce una lista vacía, no un error.</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RF-36</w:t>
            </w:r>
          </w:p>
        </w:tc>
        <w:tc>
          <w:tcPr>
            <w:tcW w:type="dxa" w:w="152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Precios</w:t>
            </w:r>
          </w:p>
        </w:tc>
        <w:tc>
          <w:tcPr>
            <w:tcW w:type="dxa" w:w="318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los descuentos admitidos y su límite por rol (RN-18).</w:t>
            </w:r>
          </w:p>
        </w:tc>
        <w:tc>
          <w:tcPr>
            <w:tcW w:type="dxa" w:w="30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vendedor que aplique un descuento superior a su límite recibe 403 y la venta no se registra. El administrador de empresa puede superarlo, y el documento conserva quién lo autorizó.</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RF-37</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cotización con varias líneas, cliente asociado y vigencia calculada en días hábiles (RN-10).</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guarda vigente y no altera ninguna existencia. Una cotización emitida el 1 de abril de 2026 vence el 10, porque el 2 y el 3 son festivos. Los precios quedan congelados en las líneas.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RF-38</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Calcular el costo de envío según la regla vigente y permitir que se obsequie por debajo del umbral, registrando motivo y responsable (RN-08, RN-09).</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subtotal de 900 000 antes de impuesto genera cobro de envío aunque el total supere el millón. El obsequio sin motivo o sin responsable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RF-39</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Exportar la cotización a documento portátil con la identidad visual de la empresa emisora.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Incluye líneas, subtotal, impuesto discriminado, envío, total y vencimiento, con el nombre y la identificación de la empresa. Se genera en menos de 3 s para 20 líneas.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RF-40</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Convertir una cotización vigente en pedido sin reingresar la información.</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pedido conserva los precios congelados. Una cotización vencida o ya convertida devuelve 409.</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RF-41</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la venta descontando las existencias dentro de una única transacción.</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 falla el descuento o el registro, no se persiste ninguno de los dos; se verifica provocando el fallo del segundo paso. Una venta por encima de la existencia devuelve 409, salvo lo previsto en RF-42.</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RF-42</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el administrador de empresa registre una venta sin existencia disponible, dejando la existencia en negativo y marcando reposición pendiente (RN-13).</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vendedor y un super administrador reciben 403. El administrador la registra, la existencia queda negativa y el movimiento consigna quién autorizó. El reporte de pendientes la lista hasta que ingrese la mercancía.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RF-43</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los medios de pago que acepta la empresa.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medio desactivado deja de ofrecerse en la venta y se conserva en las ventas anteriores. Una empresa no ve los medios de otra.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RF-44</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el medio y el estado del pago de cada venta, sin procesar el cobro.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venta guarda medio, estado y referencia cuando aplique. Un medio no habilitado por la empresa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RF-45</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Realizar el cierre de caja por turno y por cajero, contrastando lo registrado con lo contado.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cierre totaliza por medio de pago, admite el conteo físico del efectivo y deja registrada la diferencia. Un turno cerrado no admite ventas nuevas.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RF-46</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Facturación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Emitir factura electrónica mediante el proveedor tecnológico autorizado y almacenar el código único devuelto.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factura validada queda asociada a la venta con su código único. Ante fallo del proveedor, la venta se conserva y la factura queda pendiente de envío, reintentable sin duplicar el documento.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RF-47</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Facturación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estado de validación de cada factura emitida.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Distingue enviada, validada y rechazada. La rechazada muestra el código y la descripción del motivo devueltos por la autoridad tributaria.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RF-48</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Inventario</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ingreso de mercancía aumentando la existencia y generando el movimiento correspondiente.</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Incrementa la existencia en la cantidad indicada y produce exactamente un movimiento. Una cantidad menor o igual a cero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RF-49</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Inventario</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todo cambio de existencia con su valor anterior y posterior, tipo de movimiento, motivo y usuario responsable.</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Para cualquier referencia, la suma algebraica de sus movimientos iguala su existencia actual, verificado sobre la totalidad del catálogo de prueba. Un ajuste sin motivo devuelve 400.</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RF-50</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Inventario</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Notificar los productos cuya existencia alcanza o desciende del umbral mínimo configurado.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notificación se genera dentro del minuto siguiente al movimiento que cruza el umbral. Un producto ya por debajo no vuelve a notificar hasta que suba y baje de nuevo.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RF-51</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Sincronizar al dispositivo el catálogo, los precios y los medios de pago de la empresa para operar sin red.</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Tras la sincronización, la aplicación consulta catálogo y precios sin conexión e indica la fecha y hora de la última actualización.</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 MVP</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RF-52</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ventas sin conexión en la base local del dispositivo.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 la red deshabilitada, la venta se registra, descuenta la existencia local y emite su comprobante. El indicador muestra que la operación está pendiente de envío.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RF-53</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Encolar cada operación pendiente con una clave de idempotencia generada en el dispositivo.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Reenviar la misma operación tres veces produce una sola venta en el servidor. Se verifica forzando el reintento.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RF-54</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Enviar la cola al recuperar la conexión, en el orden en que se registró.</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Una cola de 50 operaciones se envía completa en menos de 60 s. Si una falla por un motivo distinto de la existencia, se detiene y la reporta sin perder las siguientes.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RF-55</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Aceptar la venta registrada sin conexión aunque la existencia del servidor no alcance, dejándola en negativo y marcando el descuadre (RN-19).</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Dos dispositivos que venden sin conexión la última unidad producen dos ventas aceptadas, existencia en −1 y un registro de descuadre con ambos dispositivos identificados. Ninguna venta se rechaza.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RF-56</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 conexión</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Mostrar en la interfaz el estado de la conexión y el número de operaciones pendientes de envío.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indicador distingue en línea, sin conexión y sincronizando, y muestra el conteo de la cola. Se verifica desconectando la red con la aplicación abierta.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RF-57</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existencias valorizadas al costo y al precio de venta.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Totaliza el valor del inventario de la empresa, admite filtro por categoría y se genera en menos de 5 s sobre 10 000 referencias. Un filtro sin resultados produce un reporte vacío con sus encabezados.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RF-58</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rotación con el capital inmovilizado por referencia.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Identifica las referencias sin movimiento en el período y totaliza el capital detenido. Período por omisión de 90 días, modificable.</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RF-59</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ventas por período, producto y vendedor.</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Discrimina por las tres dimensiones y concilia con los movimientos registrados en RF-49; se verifica cruzando ambos resultados.</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Media · v1.1</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RF-60</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Reportes</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reporte de compras por proveedor y producto.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Totaliza lo comprado y lo recibido por proveedor en el período, y señala las órdenes pendientes de recepción.</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RF-61</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Permitir que el cliente seleccione la empresa en la que desea comprar, por búsqueda o mediante enlace o código QR del negocio.</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selección fija el contexto de empresa para toda la sesión del cliente. El catálogo mostrado es solo el de esa empresa.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RF-62</w:t>
            </w:r>
          </w:p>
        </w:tc>
        <w:tc>
          <w:tcPr>
            <w:tcW w:type="dxa" w:w="152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318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el historial de compras del cliente separado por empresa.</w:t>
            </w:r>
          </w:p>
        </w:tc>
        <w:tc>
          <w:tcPr>
            <w:tcW w:type="dxa" w:w="30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Cada empresa ve únicamente las compras realizadas en ella. El cliente ve todas las suyas agrupadas por negocio.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Baja · v2</w:t>
            </w:r>
          </w:p>
        </w:tc>
      </w:tr>
    </w:tbl>
    <w:p>
      <w:pPr>
        <w:spacing w:after="240" w:before="120" w:line="240"/>
        <w:jc w:val="both"/>
      </w:pPr>
      <w:r>
        <w:rPr>
          <w:rFonts w:ascii="Times New Roman" w:hAnsi="Times New Roman"/>
          <w:sz w:val="24"/>
        </w:rPr>
        <w:t>Nota. Se especifican 62 requisitos funcionales distribuidos en 14 módulos, con numeración continua. La prioridad se ata a la versión de entrega: 28 de prioridad alta conforman el producto mínimo viable, 29 de prioridad media se programan para la primera iteración posterior y 5 de prioridad baja para la segunda. El reparto es deliberado y deja fuera del MVP dos bloques completos que podrían parecer imprescindibles: la facturación electrónica, por ser la integración más riesgosa, y la autonomía sin conexión, porque un comercio puede empezar a operar en línea mientras esa función se construye. Las políticas comerciales y tributarias están en el catálogo de reglas de negocio de la Tabla 11.</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8.2 Requisitos no funcionales</w:t>
      </w:r>
    </w:p>
    <w:p>
      <w:pPr>
        <w:spacing w:after="0" w:before="240" w:line="240"/>
      </w:pPr>
      <w:r>
        <w:rPr>
          <w:rFonts w:ascii="Times New Roman" w:hAnsi="Times New Roman"/>
          <w:sz w:val="22"/>
        </w:rPr>
        <w:t>Tabla 9</w:t>
      </w:r>
    </w:p>
    <w:p>
      <w:pPr>
        <w:spacing w:after="120" w:line="240"/>
      </w:pPr>
      <w:r>
        <w:rPr>
          <w:rFonts w:ascii="Times New Roman" w:cs="Times New Roman" w:eastAsia="Times New Roman" w:hAnsi="Times New Roman"/>
          <w:b w:val="false"/>
          <w:bCs w:val="false"/>
          <w:i/>
          <w:iCs/>
          <w:sz w:val="22"/>
          <w:szCs w:val="22"/>
        </w:rPr>
        <w:t xml:space="preserve">Requisitos no funcionales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3800"/>
        <w:gridCol w:w="3460"/>
      </w:tblGrid>
      <w:tr>
        <w:trPr>
          <w:tblHeader/>
        </w:trPr>
        <w:tc>
          <w:tcPr>
            <w:tcW w:type="dxa" w:w="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1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Categoría</w:t>
            </w:r>
          </w:p>
        </w:tc>
        <w:tc>
          <w:tcPr>
            <w:tcW w:type="dxa" w:w="3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w:t>
            </w:r>
          </w:p>
        </w:tc>
        <w:tc>
          <w:tcPr>
            <w:tcW w:type="dxa" w:w="34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Criterio de aceptación</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Usabilidad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Un usuario sin capacitación previa completa el registro de un producto en menos de dos minutos.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con tres usuarios nuevos, sin intervención del evaluador. Tiempo desde la apertura del formulario hasta la confirmación: inferior a 120 s en los tres casos.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Usabilidad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flujo de registro de una venta en el punto de pago no supera cinco toques efectivos desde la lectura del primer producto.</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 cuenta un toque por cada pulsación sobre un control que cambia de pantalla o confirma una acción. No se cuentan desplazamiento, escritura ni corrección de errores.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Rendimiento</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interfaz de programación de aplicaciones responde en menos de quinientos milisegundos.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Percentil 95 medido con 500 peticiones sobre un catálogo de 10 000 referencias con la herramienta k6, excluyendo la latencia de red del cliente.</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Rendimiento</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procesamiento de una lista de precios de cinco mil registros se completa en menos de sesenta segundos.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Medición sobre archivo de prueba de 5 000 filas en el entorno de referencia. Se repite tres veces y se toma el peor tiempo.</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Escalabilidad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plataforma opera con cincuenta empresas, diez mil productos por empresa y cincuenta usuarios concurrentes sin degradación perceptible.</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de carga con k6 durante 10 minutos: el percentil 95 no supera en más del 50 % el valor sin carga, y la tasa de error se mantiene por debajo del 1 %.</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Las contraseñas se almacenan mediante una función de derivación de clave con sal única por usuario y factor de trabajo configurable.</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Inspección de la tabla de usuarios: ninguna contraseña en claro ni con resumen sin sal. Dos usuarios con la misma contraseña producen valores distintos. El algoritmo y sus parámetros se fijan en la decisión de arquitectura ADR-0002.</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aislamiento entre empresas se verifica de forma automática en cada entrega.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integración continua ejecuta una batería que, con dos empresas cargadas, intenta leer y escribir datos cruzados en cada recurso expuesto. La construcción falla si alguna devuelve datos de otra empresa.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Toda comunicación entre clientes y servicio se realiza sobre TLS 1.2 o superior.</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Verificación con testssl.sh: no se negocian TLS 1.0 ni 1.1, y una conexión en claro al puerto del servicio es rechazada.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RNF-09</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Seguridad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token de sesión caduca tras el período de inactividad configurado y exige autenticación nueva.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de expiración con temporizador: una petición posterior devuelve 401; una dentro del período renueva la vigencia sin emitir token nuevo.</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RNF-10</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Trazabilidad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historial de movimientos de cualquier referencia permite reconstruir su existencia en cualquier fecha.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 de conciliación sobre 100 referencias: la existencia inicial más la suma algebraica de movimientos iguala la existencia registrada. Cero discrepancias.</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Disponibilidad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servicio se encuentra disponible el noventa y nueve por ciento del tiempo, de forma continua.</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Monitoreo con sondeo cada cinco minutos las veinticuatro horas. Sobre un mes de 720 horas, la indisponibilidad acumulada no supera 7 horas 12 minutos. Las ventanas de mantenimiento se programan entre las 2:00 y las 4:00, se anuncian con 48 horas y computan dentro del margen.</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Autonomía</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Los clientes de escritorio y móvil operan sin conexión durante al menos ocho horas continuas y quinientas operaciones acumuladas.</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con la red deshabilitada: se registran 500 ventas sin pérdida ni degradación perceptible, y la cola se envía completa al reconectar.</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Mantenibilidad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cobertura de instrucciones sobre las capas de dominio y lógica de negocio alcanza al menos el setenta por ciento.</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Medición con JaCoCo sobre los paquetes modelo, logica y util, excluyendo configuración, objetos de transferencia y clases generadas. La construcción falla por debajo del umbral.</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Compatibilidad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front web opera sobre las dos últimas versiones estables de Chrome, Edge, Firefox y Safari. La aplicación móvil opera sobre Android 10 o posterior y atiende a vendedor y cliente. La aplicación de escritorio se distribuye para Windows 10 o posterior.</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Web: recorrido de catálogo, venta y reportes en los cuatro navegadores a 1366 y 1920 píxeles. Móvil: flujo de venta en los niveles de interfaz 29, 31 y 34, con dos emuladores y un dispositivo físico de gama media. Escritorio: instalación, operación sin conexión y actualización automática.</w:t>
            </w:r>
          </w:p>
        </w:tc>
      </w:tr>
      <w:tr>
        <w:trPr>
          <w:cantSplit/>
        </w:trPr>
        <w:tc>
          <w:tcPr>
            <w:tcW w:type="dxa" w:w="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Accesibilidad</w:t>
            </w:r>
          </w:p>
        </w:tc>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contraste entre texto y fondo no es inferior a la relación 4,5 a 1, y el de los contornos de control a 3 a 1.</w:t>
            </w:r>
          </w:p>
        </w:tc>
        <w:tc>
          <w:tcPr>
            <w:tcW w:type="dxa" w:w="34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Validación de la totalidad de las parejas del sistema de color conforme a WCAG 2.1 nivel AA. Ninguna etiqueta de estado comunica su significado solo por color.</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RNF-16</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Localización</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sistema opera en español de Colombia, con valores monetarios en pesos colombianos y punto como separador de miles.</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Importes sin decimales con separador de miles de punto, fechas en formato dd/mm/aaaa y textos en español. La parametrización tributaria y comercial se especifica en RF-05 y RF-30.</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RNF-17</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Respaldo</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La base de datos cuenta con respaldo diario automatizado y retención de treinta días.</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Prueba de restauración completa sobre entorno de pruebas, con tiempo objetivo de recuperación inferior a 4 horas. Se repite trimestralmente.</w:t>
            </w:r>
          </w:p>
        </w:tc>
      </w:tr>
      <w:tr>
        <w:trPr>
          <w:cantSplit/>
        </w:trPr>
        <w:tc>
          <w:tcPr>
            <w:tcW w:type="dxa" w:w="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RNF-18</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Legal</w:t>
            </w:r>
          </w:p>
        </w:tc>
        <w:tc>
          <w:tcPr>
            <w:tcW w:type="dxa" w:w="3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El sistema registra la autorización del titular para el tratamiento de sus datos personales, por empresa responsable.</w:t>
            </w:r>
          </w:p>
        </w:tc>
        <w:tc>
          <w:tcPr>
            <w:tcW w:type="dxa" w:w="34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Cada registro de cliente conserva fecha, medio y empresa ante la que se otorgó la autorización. Un cliente sin autorización vigente no recibe envíos comerciales automáticos.</w:t>
            </w:r>
          </w:p>
        </w:tc>
      </w:tr>
    </w:tbl>
    <w:p>
      <w:pPr>
        <w:spacing w:after="240" w:before="120" w:line="240"/>
        <w:jc w:val="both"/>
      </w:pPr>
      <w:r>
        <w:rPr>
          <w:rFonts w:ascii="Times New Roman" w:hAnsi="Times New Roman"/>
          <w:sz w:val="24"/>
        </w:rPr>
        <w:t>Nota. Los requisitos no funcionales enuncian la cualidad exigida y dejan el mecanismo para el diseño. El RNF-06 pide que las contraseñas se almacenen con una función de derivación de clave con sal única y factor de trabajo configurable; cuál es esa función, con cuántas iteraciones y con qué ruta de migración, se resuelve en la decisión de arquitectura ADR-0002. La razón es práctica: cambiar de algoritmo es una decisión de diseño legítima que no debería obligar a modificar la especificación de requisitos. El mismo criterio se aplicó al RNF-14, cuya parametrización tributaria pasó al RF-05, que es donde corresponde a una función de configuración.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8.3 Matriz de trazabilidad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matriz vincula cada objetivo específico con los requisitos que lo materializan. Su función es doble: evita que un objetivo quede sin desarrollo asociado y evita que se desarrolle funcionalidad que ningún objetivo respalda.</w:t>
      </w:r>
    </w:p>
    <w:p>
      <w:pPr>
        <w:spacing w:after="0" w:before="240" w:line="240"/>
      </w:pPr>
      <w:r>
        <w:rPr>
          <w:rFonts w:ascii="Times New Roman" w:hAnsi="Times New Roman"/>
          <w:sz w:val="22"/>
        </w:rPr>
        <w:t>Tabla 10</w:t>
      </w:r>
    </w:p>
    <w:p>
      <w:pPr>
        <w:spacing w:after="120" w:line="240"/>
      </w:pPr>
      <w:r>
        <w:rPr>
          <w:rFonts w:ascii="Times New Roman" w:cs="Times New Roman" w:eastAsia="Times New Roman" w:hAnsi="Times New Roman"/>
          <w:b w:val="false"/>
          <w:bCs w:val="false"/>
          <w:i/>
          <w:iCs/>
          <w:sz w:val="22"/>
          <w:szCs w:val="22"/>
        </w:rPr>
        <w:t xml:space="preserve">Trazabilidad entre objetivos específicos y requisitos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Objetivo específico</w:t>
            </w:r>
          </w:p>
        </w:tc>
        <w:tc>
          <w:tcPr>
            <w:tcW w:type="dxa" w:w="47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Requisitos asociados</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 Analizar los procesos del comercio minorista y especificar requisitos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Transversal a la totalidad de los requisitos y de las reglas de negocio</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 Diseñar el modelo de datos multiempresa y la arquitectura</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RF-09, RF-13, RF-21, RF-49; RN-15 a RN-17</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3. Implementar la plataforma y el aislamiento entre empresas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RF-01 a RF-12</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4. Construir el catálogo, el abastecimiento y el motor de precios</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RF-13 a RF-36; RN-01 a RN-07</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5. Desarrollar el front web y los clientes de escritorio y móvil</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 RF-18, RF-37, RF-41, RF-45</w:t>
            </w:r>
          </w:p>
        </w:tc>
      </w:tr>
      <w:tr>
        <w:trPr>
          <w:cantSplit/>
        </w:trPr>
        <w:tc>
          <w:tcPr>
            <w:tcW w:type="dxa" w:w="4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6. Implementar la operación sin conexión y la sincronización</w:t>
            </w:r>
          </w:p>
        </w:tc>
        <w:tc>
          <w:tcPr>
            <w:tcW w:type="dxa" w:w="47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RF-51 a RF-56; RN-19</w:t>
            </w:r>
          </w:p>
        </w:tc>
      </w:tr>
      <w:tr>
        <w:trPr>
          <w:cantSplit/>
        </w:trPr>
        <w:tc>
          <w:tcPr>
            <w:tcW w:type="dxa" w:w="4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7. Integrar la facturación electrónica</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RF-46, RF-47</w:t>
            </w:r>
          </w:p>
        </w:tc>
      </w:tr>
      <w:tr>
        <w:trPr>
          <w:cantSplit/>
        </w:trPr>
        <w:tc>
          <w:tcPr>
            <w:tcW w:type="dxa" w:w="4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8. Validar el sistema mediante pruebas</w:t>
            </w:r>
          </w:p>
        </w:tc>
        <w:tc>
          <w:tcPr>
            <w:tcW w:type="dxa" w:w="47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Verificación de los criterios de aceptación de los 62 requisitos funcionales, los 18 no funcionales y las 19 reglas de negocio</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8.4 Reglas de negocio parametrizadas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valores que gobiernan el cálculo comercial provienen de decisiones de la empresa y de la normativa tributaria, y ambas cambian. Por esa razón ninguno se codifica: todos se almacenan como parámetros con fecha de vigencia y se administran desde la interfaz.</w:t>
      </w:r>
    </w:p>
    <w:p>
      <w:pPr>
        <w:spacing w:after="0" w:line="480"/>
        <w:ind w:firstLine="720"/>
        <w:jc w:val="both"/>
      </w:pPr>
      <w:r>
        <w:rPr>
          <w:rFonts w:ascii="Times New Roman" w:hAnsi="Times New Roman"/>
          <w:sz w:val="24"/>
        </w:rPr>
        <w:t>Las reglas de negocio se separan de los requisitos funcionales porque responden a preguntas distintas. Un requisito funcional describe una acción que el sistema ejecuta; una regla de negocio describe una política de la empresa o una disposición normativa que el sistema debe respetar y cuyo valor puede cambiar sin que cambie el programa. La columna de parámetro indica la clave con la que cada valor se administra, y la última columna señala el requisito funcional que la hace efectiva.</w:t>
      </w:r>
    </w:p>
    <w:p>
      <w:pPr>
        <w:spacing w:after="0" w:before="240" w:line="240"/>
      </w:pPr>
      <w:r>
        <w:rPr>
          <w:rFonts w:ascii="Times New Roman" w:hAnsi="Times New Roman"/>
          <w:sz w:val="24"/>
        </w:rPr>
        <w:t>Tabla 11</w:t>
      </w:r>
    </w:p>
    <w:p>
      <w:pPr>
        <w:spacing w:after="120" w:line="240"/>
      </w:pPr>
      <w:r>
        <w:rPr>
          <w:rFonts w:ascii="Times New Roman" w:hAnsi="Times New Roman"/>
          <w:sz w:val="24"/>
        </w:rPr>
        <w:t>Catálogo de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1300"/>
        <w:gridCol w:w="2700"/>
        <w:gridCol w:w="1550"/>
        <w:gridCol w:w="1360"/>
        <w:gridCol w:w="1600"/>
      </w:tblGrid>
      <w:tr>
        <w:trPr>
          <w:tblHeader/>
          <w:tblHeader/>
          <w:tblHeader/>
          <w:tblHeader/>
          <w:tblHeader/>
        </w:trPr>
        <w:tc>
          <w:tcPr>
            <w:tcW w:type="dxa" w:w="8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ID</w:t>
            </w:r>
          </w:p>
        </w:tc>
        <w:tc>
          <w:tcPr>
            <w:tcW w:type="dxa" w:w="1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Tipo</w:t>
            </w:r>
          </w:p>
        </w:tc>
        <w:tc>
          <w:tcPr>
            <w:tcW w:type="dxa" w:w="2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Enunciado de la regla</w:t>
            </w:r>
          </w:p>
        </w:tc>
        <w:tc>
          <w:tcPr>
            <w:tcW w:type="dxa" w:w="15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Parámetro o mecanismo</w:t>
            </w:r>
          </w:p>
        </w:tc>
        <w:tc>
          <w:tcPr>
            <w:tcW w:type="dxa" w:w="1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Valor vigente</w:t>
            </w:r>
          </w:p>
        </w:tc>
        <w:tc>
          <w:tcPr>
            <w:tcW w:type="dxa" w:w="1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Requisito que la aplica</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margen aplicado a las operaciones de contado y transferencia lo fija cada empresa.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reglas_margen por empresa, forma_pago = CONTADO</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Factor 1,2000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RF-30, RF-31</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margen aplicado a las operaciones con tarjeta o crédito lo fija cada empresa, y compensa el costo financiero de la pasarela.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reglas_margen por empresa, forma_pago = CREDITO</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Factor 1,2500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RF-30, RF-31</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Ante varias reglas de margen aplicables, prevalece la más específica: proveedor sobre categoría, y categoría sobre la regla general de la empresa.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Vista v_regla_margen</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RF-30</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regla de ganancia se expresa como recargo sobre el costo o como margen sobre el precio de venta. Cada empresa elige la base, y la diferencia no es menor: un veinte por ciento no produce el mismo precio en una base que en la otra.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reglas_margen.base</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RECARGO_SOBRE_COSTO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RF-32</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Tributaria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computadores con precio de venta igual o inferior a cincuenta unidades de valor tributario están excluidos del impuesto sobre las ventas.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reglas_iva, campo umbral_uvt</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50 UVT ≈ $2 618 700</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Tributaria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dispositivos móviles con precio de venta igual o inferior a veintidós unidades de valor tributario están excluidos del impuesto sobre las ventas.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Tabla reglas_iva, campo umbral_uvt</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22 UVT ≈ $1 152 228</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Tributaria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Los bienes que superan su umbral, y los no contemplados en la exclusión, causan el impuesto a la tarifa general.</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sgip.iva.tarifa.general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0,19</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envío se otorga sin costo cuando el subtotal antes del impuesto supera el umbral que fije la empresa. La comparación es estricta y la base es el subtotal.</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sgip.envio.umbral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$1 000 000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RF-38</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RN-09</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vendedor puede otorgar el envío sin costo por debajo del umbral, siempre que registre motivo y responsable.</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sgip.envio.obsequio.permitido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Habilitado</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RF-38</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RN-10</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cotización vence a los días hábiles que fije la empresa, descontando sábados, domingos y festivos nacionales.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sgip.cotizacion.vigencia.dias.habiles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5 días hábiles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RF-37</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RN-11</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cuenta se bloquea cuando los intentos de acceso fallidos consecutivos alcanzan el umbral configurado.</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sgip.seguridad.intentos.maximos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5 intentos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RF-10</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RN-12</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La sesión caduca tras el período de inactividad configurado y exige autenticación nueva.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sgip.seguridad.sesion.minutos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 minutos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RF-07</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RN-13</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Solo el administrador de empresa puede comprometer una venta sin existencia disponible. Ni el vendedor ni el super administrador están autorizados.</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sgip.venta.sin.existencia.rol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ADMIN_EMPRESA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RF-42</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RN-14</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Cada empresa dispone de un mes gratuito desde su alta. Vencido el periodo sin pago registrado, pasa a modo de consulta.</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sgip.plataforma.prueba.dias</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30 días</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RF-04</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RN-15</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Una empresa desactivada conserva acceso de solo consulta sobre la totalidad de su información. No se elimina ni se oculta ningún registro.</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empresas.estado</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ACTIVA · PRUEBA · CONSULTA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RF-03</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RN-16</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Ningún usuario accede a datos de una empresa distinta de la suya. El aislamiento se aplica en la consulta, no en la interfaz.</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Filtro obligatorio por empresa_id</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RF-09</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RN-17</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Plataforma</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super administrador administra el ciclo de vida de las empresas y los datos tributarios nacionales, y no accede a los datos operativos de ningún negocio.</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Política de autorización de la plataforma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RF-06, RF-08</w:t>
            </w:r>
          </w:p>
        </w:tc>
      </w:tr>
      <w:tr>
        <w:tc>
          <w:tcPr>
            <w:tcW w:type="dxa" w:w="8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RN-18</w:t>
            </w:r>
          </w:p>
        </w:tc>
        <w:tc>
          <w:tcPr>
            <w:tcW w:type="dxa" w:w="1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Comercial</w:t>
            </w:r>
          </w:p>
        </w:tc>
        <w:tc>
          <w:tcPr>
            <w:tcW w:type="dxa" w:w="2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El descuento que puede aplicar un vendedor tiene un tope que fija el administrador de su empresa. Por encima de ese tope se exige autorización.</w:t>
            </w:r>
          </w:p>
        </w:tc>
        <w:tc>
          <w:tcPr>
            <w:tcW w:type="dxa" w:w="15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sgip.descuento.limite.vendedor por empresa</w:t>
            </w:r>
          </w:p>
        </w:tc>
        <w:tc>
          <w:tcPr>
            <w:tcW w:type="dxa" w:w="1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10 % por omisión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RF-36</w:t>
            </w:r>
          </w:p>
        </w:tc>
      </w:tr>
      <w:tr>
        <w:tc>
          <w:tcPr>
            <w:tcW w:type="dxa" w:w="8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RN-19</w:t>
            </w:r>
          </w:p>
        </w:tc>
        <w:tc>
          <w:tcPr>
            <w:tcW w:type="dxa" w:w="1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Operativa</w:t>
            </w:r>
          </w:p>
        </w:tc>
        <w:tc>
          <w:tcPr>
            <w:tcW w:type="dxa" w:w="2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Una venta registrada sin conexión nunca se rechaza al sincronizar. Si la existencia del servidor no alcanza, se acepta, queda en negativo y se registra el descuadre.</w:t>
            </w:r>
          </w:p>
        </w:tc>
        <w:tc>
          <w:tcPr>
            <w:tcW w:type="dxa" w:w="15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Política de sincronización</w:t>
            </w:r>
          </w:p>
        </w:tc>
        <w:tc>
          <w:tcPr>
            <w:tcW w:type="dxa" w:w="1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Vigente</w:t>
            </w:r>
          </w:p>
        </w:tc>
        <w:tc>
          <w:tcPr>
            <w:tcW w:type="dxa" w:w="1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RF-55</w:t>
            </w:r>
          </w:p>
        </w:tc>
      </w:tr>
    </w:tbl>
    <w:p>
      <w:pPr>
        <w:spacing w:after="0" w:line="480"/>
        <w:ind w:firstLine="720"/>
        <w:jc w:val="both"/>
      </w:pPr>
      <w:r>
        <w:rPr>
          <w:rFonts w:ascii="Times New Roman" w:hAnsi="Times New Roman"/>
          <w:sz w:val="24"/>
        </w:rPr>
        <w:t>Nota. Las reglas de origen tributario (RN-05 a RN-07) no las decide ninguna empresa: las impone el artículo 424 del Estatuto Tributario y la tarifa general vigente, y las mantiene la plataforma para todas por igual. Las reglas comerciales son decisiones de cada negocio y su valor es propio de cada empresa. Las de plataforma gobiernan la relación entre BSP y sus empresas usuarias. No todas se administran igual: las que admiten varias combinaciones simultáneas viven en tablas con fecha de vigencia, mientras que las de valor único se guardan como parámetros.</w:t>
      </w:r>
    </w:p>
    <w:p>
      <w:pPr>
        <w:pStyle w:val="Heading3"/>
        <w:spacing w:after="0" w:before="240" w:line="480"/>
        <w:jc w:val="left"/>
      </w:pPr>
      <w:r>
        <w:rPr>
          <w:rFonts w:ascii="Times New Roman" w:cs="Times New Roman" w:eastAsia="Times New Roman" w:hAnsi="Times New Roman"/>
          <w:b/>
          <w:bCs/>
          <w:i/>
          <w:iCs/>
          <w:sz w:val="24"/>
          <w:szCs w:val="24"/>
        </w:rPr>
        <w:t xml:space="preserve">Márgenes de rentabilidad.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margen se diferencia por forma de pago. El diferencial de cinco puntos sobre las operaciones a crédito compensa el costo financiero y la comisión de la franquicia.</w:t>
      </w:r>
    </w:p>
    <w:p>
      <w:pPr>
        <w:spacing w:after="0" w:before="240" w:line="240"/>
      </w:pPr>
      <w:r>
        <w:rPr>
          <w:rFonts w:ascii="Times New Roman" w:hAnsi="Times New Roman"/>
          <w:sz w:val="24"/>
        </w:rPr>
        <w:t>Tabla 12</w:t>
      </w:r>
    </w:p>
    <w:p>
      <w:pPr>
        <w:spacing w:after="120" w:line="240"/>
      </w:pPr>
      <w:r>
        <w:rPr>
          <w:rFonts w:ascii="Times New Roman" w:cs="Times New Roman" w:eastAsia="Times New Roman" w:hAnsi="Times New Roman"/>
          <w:b w:val="false"/>
          <w:bCs w:val="false"/>
          <w:i/>
          <w:iCs/>
          <w:sz w:val="22"/>
          <w:szCs w:val="22"/>
        </w:rPr>
        <w:t xml:space="preserve">Factores de margen vigentes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rPr>
          <w:tblHeader/>
        </w:trPr>
        <w:tc>
          <w:tcPr>
            <w:tcW w:type="dxa" w:w="2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Forma de pago</w:t>
            </w:r>
          </w:p>
        </w:tc>
        <w:tc>
          <w:tcPr>
            <w:tcW w:type="dxa" w:w="4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Medios que la componen</w:t>
            </w:r>
          </w:p>
        </w:tc>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Factor</w:t>
            </w:r>
          </w:p>
        </w:tc>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Margen</w:t>
            </w:r>
          </w:p>
        </w:tc>
      </w:tr>
      <w:tr>
        <w:trPr>
          <w:cantSplit/>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Contado</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Efectivo, transferencia bancaria</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20 %</w:t>
            </w:r>
          </w:p>
        </w:tc>
      </w:tr>
      <w:tr>
        <w:trPr>
          <w:cantSplit/>
        </w:trPr>
        <w:tc>
          <w:tcPr>
            <w:tcW w:type="dxa" w:w="2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Crédito</w:t>
            </w:r>
          </w:p>
        </w:tc>
        <w:tc>
          <w:tcPr>
            <w:tcW w:type="dxa" w:w="4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Tarjeta de crédito, crédito directo</w:t>
            </w:r>
          </w:p>
        </w:tc>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25 %</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3"/>
        <w:spacing w:after="0" w:before="240" w:line="480"/>
        <w:jc w:val="left"/>
      </w:pPr>
      <w:r>
        <w:rPr>
          <w:rFonts w:ascii="Times New Roman" w:cs="Times New Roman" w:eastAsia="Times New Roman" w:hAnsi="Times New Roman"/>
          <w:b/>
          <w:bCs/>
          <w:i/>
          <w:iCs/>
          <w:sz w:val="24"/>
          <w:szCs w:val="24"/>
        </w:rPr>
        <w:t xml:space="preserve">Tratamiento del impuesto sobre las ventas.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no puede aplicar una tarifa única. El artículo 424 del Estatuto Tributario, en sus numerales 5 y 6, excluye del impuesto los computadores personales cuyo valor no exceda cincuenta unidades de valor tributario y los dispositivos móviles inteligentes, tabletas y celulares, cuyo valor no exceda veintidós. La exclusión opera por debajo del umbral: el equipo económico no causa impuesto y el costoso sí. El valor de referencia es el precio de venta al público.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Conviene precisar la terminología, porque la diferencia tiene consecuencias contables. Estos bienes son excluidos, no exentos. Un bien exento se grava a tarifa cero y otorga derecho a devolución del impuesto pagado en su adquisición; un bien excluido no causa el impuesto y no otorga ese derecho, de modo que el impuesto soportado en la compra se convierte en mayor valor del costo. Para el sistema la diferencia se refleja en cómo se registra el documento, no solo en el valor cobrado al cliente.</w:t>
      </w:r>
    </w:p>
    <w:p>
      <w:pPr>
        <w:spacing w:after="0" w:before="240" w:line="240"/>
      </w:pPr>
      <w:r>
        <w:rPr>
          <w:rFonts w:ascii="Times New Roman" w:hAnsi="Times New Roman"/>
          <w:sz w:val="24"/>
        </w:rPr>
        <w:t>Tabla 13</w:t>
      </w:r>
    </w:p>
    <w:p>
      <w:pPr>
        <w:spacing w:after="120" w:line="240"/>
      </w:pPr>
      <w:r>
        <w:rPr>
          <w:rFonts w:ascii="Times New Roman" w:cs="Times New Roman" w:eastAsia="Times New Roman" w:hAnsi="Times New Roman"/>
          <w:b w:val="false"/>
          <w:bCs w:val="false"/>
          <w:i/>
          <w:iCs/>
          <w:sz w:val="22"/>
          <w:szCs w:val="22"/>
        </w:rPr>
        <w:t xml:space="preserve">Tratamiento tributario por categoría de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900"/>
        <w:gridCol w:w="1500"/>
        <w:gridCol w:w="1660"/>
        <w:gridCol w:w="160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Categoría</w:t>
            </w:r>
          </w:p>
        </w:tc>
        <w:tc>
          <w:tcPr>
            <w:tcW w:type="dxa" w:w="1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Tratamiento</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Umbral</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Equivalencia 2026</w:t>
            </w:r>
          </w:p>
        </w:tc>
        <w:tc>
          <w:tcPr>
            <w:tcW w:type="dxa" w:w="1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Tarifa</w:t>
            </w:r>
          </w:p>
        </w:tc>
        <w:tc>
          <w:tcPr>
            <w:tcW w:type="dxa" w:w="1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Fundamento</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Computadores de escritorio y portátiles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Excluido hasta 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 UVT</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$2.618.700</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0 % hasta el umbral; 19 % por encima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Art. 424 num. 5 ET</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Celulares y tabletas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Excluido hasta el umbral</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 UVT</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$1.152.228</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0 % hasta el umbral; 19 % por encima</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Art. 424 num. 6 ET</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Resto del catálogo</w:t>
            </w:r>
          </w:p>
        </w:tc>
        <w:tc>
          <w:tcPr>
            <w:tcW w:type="dxa" w:w="1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Gravado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 aplica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No aplica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19 %</w:t>
            </w:r>
          </w:p>
        </w:tc>
        <w:tc>
          <w:tcPr>
            <w:tcW w:type="dxa" w:w="1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umbrales se almacenan en unidades de valor tributario y no en pesos. Al actualizarse el valor anual de la unidad, los topes en pesos se recalculan sin modificar la regla. El tratamiento de un computador de escritorio considera el conjunto compuesto por unidad central, pantalla y cables, no cada componente por separado.</w:t>
      </w:r>
    </w:p>
    <w:p>
      <w:pPr>
        <w:pStyle w:val="Heading3"/>
        <w:spacing w:after="0" w:before="240" w:line="480"/>
        <w:jc w:val="left"/>
      </w:pPr>
      <w:r>
        <w:rPr>
          <w:rFonts w:ascii="Times New Roman" w:cs="Times New Roman" w:eastAsia="Times New Roman" w:hAnsi="Times New Roman"/>
          <w:b/>
          <w:bCs/>
          <w:i/>
          <w:iCs/>
          <w:sz w:val="24"/>
          <w:szCs w:val="24"/>
        </w:rPr>
        <w:t xml:space="preserve">El salto de precio en el umbral.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exclusión genera una discontinuidad que el sistema debe hacer visible. Un computador con costo de dos millones cien mil pesos alcanza, con el margen de contado, un precio de dos millones quinientos veinte mil pesos y queda excluido: el cliente paga esa suma. Si el costo sube a dos millones doscientos mil pesos, el precio resultante supera el umbral, el bien pasa a ser gravado y el cliente termina pagando alrededor de tres millones ciento cuarenta mil pesos. Un incremento de cien mil pesos en el costo produce un salto superior a seiscientos mil pesos en el precio final.</w:t>
      </w:r>
    </w:p>
    <w:p>
      <w:pPr>
        <w:spacing w:after="0" w:line="480"/>
        <w:ind w:firstLine="720"/>
        <w:jc w:val="both"/>
      </w:pPr>
      <w:r>
        <w:rPr>
          <w:rFonts w:ascii="Times New Roman" w:hAnsi="Times New Roman"/>
          <w:sz w:val="24"/>
        </w:rPr>
        <w:t>Por eso el requisito RF-35 exige que el sistema advierta cuando un recálculo cruza el umbral. La decisión de reducir el margen para permanecer por debajo del tope es comercial, no automática, pero no puede tomarse si el sistema no señala la situación.</w:t>
      </w:r>
    </w:p>
    <w:p>
      <w:pPr>
        <w:pStyle w:val="Heading3"/>
        <w:spacing w:after="0" w:before="240" w:line="480"/>
        <w:jc w:val="left"/>
      </w:pPr>
      <w:r>
        <w:rPr>
          <w:rFonts w:ascii="Times New Roman" w:cs="Times New Roman" w:eastAsia="Times New Roman" w:hAnsi="Times New Roman"/>
          <w:b/>
          <w:bCs/>
          <w:i/>
          <w:iCs/>
          <w:sz w:val="24"/>
          <w:szCs w:val="24"/>
        </w:rPr>
        <w:t xml:space="preserve">Condiciones de envío y de vigencia.</w:t>
      </w:r>
    </w:p>
    <w:p>
      <w:pPr>
        <w:spacing w:after="0" w:before="240" w:line="240"/>
      </w:pPr>
      <w:r>
        <w:rPr>
          <w:rFonts w:ascii="Times New Roman" w:hAnsi="Times New Roman"/>
          <w:sz w:val="24"/>
        </w:rPr>
        <w:t>Tabla 14</w:t>
      </w:r>
    </w:p>
    <w:p>
      <w:pPr>
        <w:spacing w:after="120" w:line="240"/>
      </w:pPr>
      <w:r>
        <w:rPr>
          <w:rFonts w:ascii="Times New Roman" w:cs="Times New Roman" w:eastAsia="Times New Roman" w:hAnsi="Times New Roman"/>
          <w:b w:val="false"/>
          <w:bCs w:val="false"/>
          <w:i/>
          <w:iCs/>
          <w:sz w:val="22"/>
          <w:szCs w:val="22"/>
        </w:rPr>
        <w:t xml:space="preserve">Condiciones comerciales parametrizadas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Condición</w:t>
            </w:r>
          </w:p>
        </w:tc>
        <w:tc>
          <w:tcPr>
            <w:tcW w:type="dxa" w:w="3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w:t>
            </w:r>
          </w:p>
        </w:tc>
        <w:tc>
          <w:tcPr>
            <w:tcW w:type="dxa" w:w="3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Base de cálculo o precisión</w:t>
            </w:r>
          </w:p>
        </w:tc>
      </w:tr>
      <w:tr>
        <w:trPr>
          <w:cantSplit/>
        </w:trP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Envío sin costo</w:t>
            </w:r>
          </w:p>
        </w:tc>
        <w:tc>
          <w:tcPr>
            <w:tcW w:type="dxa" w:w="3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 superior a $1.000.000</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 antes del impuesto. La comparación es estricta: un subtotal de exactamente un millón no alcanza el beneficio.</w:t>
            </w:r>
          </w:p>
        </w:tc>
      </w:tr>
      <w:tr>
        <w:trPr>
          <w:cantSplit/>
        </w:trPr>
        <w:tc>
          <w:tcPr>
            <w:tcW w:type="dxa" w:w="2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Obsequio manual de envío</w:t>
            </w:r>
          </w:p>
        </w:tc>
        <w:tc>
          <w:tcPr>
            <w:tcW w:type="dxa" w:w="3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Permitido</w:t>
            </w:r>
          </w:p>
        </w:tc>
        <w:tc>
          <w:tcPr>
            <w:tcW w:type="dxa" w:w="3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vendedor puede otorgarlo por debajo del umbral indicando motivo y responsable.</w:t>
            </w:r>
          </w:p>
        </w:tc>
      </w:tr>
      <w:tr>
        <w:trPr>
          <w:cantSplit/>
        </w:trPr>
        <w:tc>
          <w:tcPr>
            <w:tcW w:type="dxa" w:w="2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de la cotización</w:t>
            </w:r>
          </w:p>
        </w:tc>
        <w:tc>
          <w:tcPr>
            <w:tcW w:type="dxa" w:w="3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 días hábiles</w:t>
            </w:r>
          </w:p>
        </w:tc>
        <w:tc>
          <w:tcPr>
            <w:tcW w:type="dxa" w:w="3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Excluye sábados, domingos y festivos de Colombia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base del umbral de envío es el subtotal y no el total, porque con referencias excluidas del impuesto en el catálogo dos compras con la misma mercancía caerían en lados distintos del umbral solo por su tratamiento tributario. El cómputo en días hábiles exige una tabla de días no laborables, porque el calendario colombiano se rige por la Ley 51 de 1983 y traslada varias festividades al lunes siguiente.</w:t>
      </w:r>
    </w:p>
    <w:p>
      <w:pPr>
        <w:spacing w:after="0" w:before="240" w:line="240"/>
      </w:pPr>
      <w:r>
        <w:rPr>
          <w:rFonts w:ascii="Times New Roman" w:hAnsi="Times New Roman"/>
          <w:sz w:val="24"/>
        </w:rPr>
        <w:t>Tabla 15</w:t>
      </w:r>
    </w:p>
    <w:p>
      <w:pPr>
        <w:spacing w:after="120" w:line="240"/>
      </w:pPr>
      <w:r>
        <w:rPr>
          <w:rFonts w:ascii="Times New Roman" w:cs="Times New Roman" w:eastAsia="Times New Roman" w:hAnsi="Times New Roman"/>
          <w:b w:val="false"/>
          <w:bCs w:val="false"/>
          <w:i/>
          <w:iCs/>
          <w:sz w:val="22"/>
          <w:szCs w:val="22"/>
        </w:rPr>
        <w:t xml:space="preserve">Valores de referencia vigentes al momento de la especificación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Parámetro</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w:t>
            </w:r>
          </w:p>
        </w:tc>
        <w:tc>
          <w:tcPr>
            <w:tcW w:type="dxa" w:w="4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Fuente y vigencia</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Unidad de valor tributario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$52.374</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Resolución DIAN 000238 de 2025, año gravable 2026</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 del impuesto sobre las ventas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19 %</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468</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exclusión para computadores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 UVT</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 5</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exclusión para celulares y tabletas</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 UVT</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Estatuto Tributario, artículo 424 numeral 6</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de margen de contado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de margen de crédito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envío sin costo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$1.000.000 de subtotal</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Obsequio manual de envío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Permitido, con motivo y responsable</w:t>
            </w:r>
          </w:p>
        </w:tc>
        <w:tc>
          <w:tcPr>
            <w:tcW w:type="dxa" w:w="4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r>
        <w:trPr>
          <w:cantSplit/>
        </w:trPr>
        <w:tc>
          <w:tcPr>
            <w:tcW w:type="dxa" w:w="3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de cotización</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 días hábiles</w:t>
            </w:r>
          </w:p>
        </w:tc>
        <w:tc>
          <w:tcPr>
            <w:tcW w:type="dxa" w:w="4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Decisión comercial de Black Steel Parts</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totalidad de estos valores es susceptible de cambio. El sistema los administra como parámetros con fecha de vigencia, y conserva el histórico para que un documento emitido en el pasado pueda reconstruirse con los valores que regían en su momento.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9. Modelado del Sistema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modelado se elabora en notación del lenguaje unificado de modelado, versión 2.5.1 (Object Management Group, 2017). Los diagramas se presentan agrupados por vista: la vista de casos de uso delimita la frontera del sistema, la vista estructural especifica las clases y sus relaciones, y la vista de comportamiento detalla los procesos críticos mediante diagramas de secuencia, actividades y estados. Se cierra con las vistas de componentes y de despliegue.</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diagramas se dividen por dominio funcional en lugar de presentarse como una sola pieza. Un diagrama que no se puede leer no documenta nada, y la totalidad del sistema en una sola imagen resultaría ilegible a tamaño de página.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9.1 Actores</w:t>
      </w:r>
    </w:p>
    <w:p>
      <w:pPr>
        <w:spacing w:after="0" w:before="240" w:line="240"/>
      </w:pPr>
      <w:r>
        <w:rPr>
          <w:rFonts w:ascii="Times New Roman" w:hAnsi="Times New Roman"/>
          <w:sz w:val="24"/>
        </w:rPr>
        <w:t>Tabla 16</w:t>
      </w:r>
    </w:p>
    <w:p>
      <w:pPr>
        <w:spacing w:after="120" w:line="240"/>
      </w:pPr>
      <w:r>
        <w:rPr>
          <w:rFonts w:ascii="Times New Roman" w:cs="Times New Roman" w:eastAsia="Times New Roman" w:hAnsi="Times New Roman"/>
          <w:b w:val="false"/>
          <w:bCs w:val="false"/>
          <w:i/>
          <w:iCs/>
          <w:sz w:val="22"/>
          <w:szCs w:val="22"/>
        </w:rPr>
        <w:t xml:space="preserve">Actores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000"/>
        <w:gridCol w:w="1800"/>
        <w:gridCol w:w="4660"/>
      </w:tblGrid>
      <w:tr>
        <w:trPr>
          <w:tblHeader/>
          <w:tblHeader/>
          <w:tblHeader/>
        </w:trPr>
        <w:tc>
          <w:tcPr>
            <w:tcW w:type="dxa" w:w="1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Actor</w:t>
            </w:r>
          </w:p>
        </w:tc>
        <w:tc>
          <w:tcPr>
            <w:tcW w:type="dxa" w:w="1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Tipo</w:t>
            </w:r>
          </w:p>
        </w:tc>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Canal</w:t>
            </w:r>
          </w:p>
        </w:tc>
        <w:tc>
          <w:tcPr>
            <w:tcW w:type="dxa" w:w="4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sz w:val="20"/>
              </w:rPr>
              <w:t>Descripción</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 de la plataforma</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Black Steel Parts como operador del servicio. Registra empresas, las activa y las desactiva, administra el periodo de prueba y la suscripción, y mantiene los datos tributarios de alcance nacional. No accede a los datos operativos de ninguna empresa.</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escritorio</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Administra su propio negocio: usuarios y permisos, catálogo, proveedores, compras, reglas de precio y descuento, medios de pago, inventario, ventas y reportes. Es el único rol que puede comprometer una venta sin existencia disponible.</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o cajero</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escritorio y móvil</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Registra ventas, aplica descuentos dentro de su límite, consulta el catálogo, lee códigos de barras y cierra su caja. No modifica costos ni reglas de precio.</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Principal</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Selecciona la empresa en la que desea comprar, consulta su catálogo y su historial. No necesita cuenta para que un negocio registre una venta a su nombre.</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Servicio de proveedor</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Secundario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Sistema externo que expone listas de precios mediante servicio web o archivo.</w:t>
            </w:r>
          </w:p>
        </w:tc>
      </w:tr>
      <w:tr>
        <w:trPr>
          <w:cantSplit/>
        </w:trPr>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Proveedor tecnológico de facturación</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Secundario</w:t>
            </w:r>
          </w:p>
        </w:tc>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4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r>
              <w:rPr>
                <w:rFonts w:ascii="Times New Roman" w:hAnsi="Times New Roman"/>
                <w:b w:val="0"/>
                <w:sz w:val="20"/>
              </w:rPr>
              <w:t>Sistema externo autorizado que transmite y valida las facturas electrónicas ante la autoridad tributaria.</w:t>
            </w:r>
          </w:p>
        </w:tc>
      </w:tr>
      <w:tr>
        <w:trPr>
          <w:cantSplit/>
        </w:trPr>
        <w:tc>
          <w:tcPr>
            <w:tcW w:type="dxa" w:w="1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Sistema SGIP</w:t>
            </w:r>
          </w:p>
        </w:tc>
        <w:tc>
          <w:tcPr>
            <w:tcW w:type="dxa" w:w="1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Secundario</w:t>
            </w:r>
          </w:p>
        </w:tc>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4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r>
              <w:rPr>
                <w:rFonts w:ascii="Times New Roman" w:hAnsi="Times New Roman"/>
                <w:b w:val="0"/>
                <w:sz w:val="20"/>
              </w:rPr>
              <w:t>Ejecuta cálculos, valida entradas, actualiza existencias, sincroniza las colas de los dispositivos y genera registros de auditoría sin intervención humana.</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9.2 Diagramas de casos de uso</w:t>
      </w:r>
    </w:p>
    <w:p>
      <w:pPr>
        <w:spacing w:after="0" w:line="480"/>
        <w:ind w:firstLine="720"/>
        <w:jc w:val="both"/>
      </w:pPr>
      <w:r>
        <w:rPr>
          <w:rFonts w:ascii="Times New Roman" w:hAnsi="Times New Roman"/>
          <w:sz w:val="24"/>
        </w:rPr>
        <w:t>Se identifican veinte casos de uso. La Tabla 17 los relaciona con su actor principal y con los requisitos funcionales que cubren.</w:t>
      </w:r>
    </w:p>
    <w:p>
      <w:pPr>
        <w:spacing w:after="0" w:before="240" w:line="240"/>
      </w:pPr>
      <w:r>
        <w:rPr>
          <w:rFonts w:ascii="Times New Roman" w:hAnsi="Times New Roman"/>
          <w:sz w:val="24"/>
        </w:rPr>
        <w:t>Tabla 17</w:t>
      </w:r>
    </w:p>
    <w:p>
      <w:pPr>
        <w:spacing w:after="120" w:line="240"/>
      </w:pPr>
      <w:r>
        <w:rPr>
          <w:rFonts w:ascii="Times New Roman" w:cs="Times New Roman" w:eastAsia="Times New Roman" w:hAnsi="Times New Roman"/>
          <w:b w:val="false"/>
          <w:bCs w:val="false"/>
          <w:i/>
          <w:iCs/>
          <w:sz w:val="22"/>
          <w:szCs w:val="22"/>
        </w:rPr>
        <w:t xml:space="preserve">Casos de uso identificados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50"/>
        <w:gridCol w:w="2810"/>
      </w:tblGrid>
      <w:tr>
        <w:trPr>
          <w:tblHeader/>
        </w:trPr>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33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Caso de uso</w:t>
            </w:r>
          </w:p>
        </w:tc>
        <w:tc>
          <w:tcPr>
            <w:tcW w:type="dxa" w:w="235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Actor principal</w:t>
            </w:r>
          </w:p>
        </w:tc>
        <w:tc>
          <w:tcPr>
            <w:tcW w:type="dxa" w:w="281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Requisitos que cubre</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CU-01</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Iniciar sesión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CU-02</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Cerrar sesión</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CU-03</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una empresa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RF-01</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CU-04</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Activar o desactivar una empresa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RF-02, RF-03</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CU-05</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suscripción y periodo de prueba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RF-04, RF-06</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CU-06</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Mantener los datos tributarios nacionales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RF-05</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CU-07</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Gestionar los usuarios de la empresa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RF-12</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CU-08</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producto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RF-13, RF-14</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CU-09</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Editar o desactivar producto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RF-15, RF-17</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CU-10</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Administrar categorías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RF-19</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CU-11</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catálogo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vendedor, cliente</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 RF-33</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CU-12</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producto por código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cliente</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RF-18</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CU-13</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Gestionar proveedores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RF-20, RF-21</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CU-14</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orden de compra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RF-22</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CU-15</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recepción de mercancía</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RF-23, RF-48</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CU-16</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Importar lista de precios</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RF-24 a RF-29</w:t>
            </w:r>
          </w:p>
        </w:tc>
      </w:tr>
      <w:tr>
        <w:trPr>
          <w:cantSplit/>
        </w:trPr>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CU-17</w:t>
            </w:r>
          </w:p>
        </w:tc>
        <w:tc>
          <w:tcPr>
            <w:tcW w:type="dxa" w:w="3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Configurar reglas de margen y descuento</w:t>
            </w:r>
          </w:p>
        </w:tc>
        <w:tc>
          <w:tcPr>
            <w:tcW w:type="dxa" w:w="235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RF-30 a RF-32, RF-36</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CU-18</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Generar cotización</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RF-37 a RF-40</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CU-19</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venta</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RF-41, RF-43, RF-44</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CU-20</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Registrar venta sin existencia disponible</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RF-42</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CU-21</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Cerrar caja por turno</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RF-45</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CU-22</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Operar sin conexión y sincronizar</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RF-51 a RF-56</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CU-23</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Emitir y consultar factura electrónica</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RF-46, RF-47</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CU-24</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Consultar reportes</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RF-57 a RF-60</w:t>
            </w:r>
          </w:p>
        </w:tc>
      </w:tr>
      <w:tr>
        <w:trPr>
          <w:cantSplit/>
        </w:trPr>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CU-25</w:t>
            </w:r>
          </w:p>
        </w:tc>
        <w:tc>
          <w:tcPr>
            <w:tcW w:type="dxa" w:w="33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Seleccionar empresa y consultar historial</w:t>
            </w:r>
          </w:p>
        </w:tc>
        <w:tc>
          <w:tcPr>
            <w:tcW w:type="dxa" w:w="235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w:t>
            </w:r>
          </w:p>
        </w:tc>
        <w:tc>
          <w:tcPr>
            <w:tcW w:type="dxa" w:w="281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RF-61, RF-62</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keepNext/>
        <w:spacing w:after="0" w:before="240" w:line="240"/>
      </w:pPr>
      <w:r>
        <w:rPr>
          <w:rFonts w:ascii="Times New Roman" w:cs="Times New Roman" w:eastAsia="Times New Roman" w:hAnsi="Times New Roman"/>
          <w:b/>
          <w:bCs/>
          <w:i w:val="false"/>
          <w:iCs w:val="false"/>
          <w:sz w:val="22"/>
          <w:szCs w:val="22"/>
        </w:rPr>
        <w:t xml:space="preserve">Figura 1</w:t>
      </w:r>
    </w:p>
    <w:p>
      <w:pPr>
        <w:keepNext/>
        <w:spacing w:after="120" w:line="240"/>
      </w:pPr>
      <w:r>
        <w:rPr>
          <w:rFonts w:ascii="Times New Roman" w:cs="Times New Roman" w:eastAsia="Times New Roman" w:hAnsi="Times New Roman"/>
          <w:b w:val="false"/>
          <w:bCs w:val="false"/>
          <w:i/>
          <w:iCs/>
          <w:sz w:val="22"/>
          <w:szCs w:val="22"/>
        </w:rPr>
        <w:t xml:space="preserve">Casos de uso de seguridad y catálogo</w:t>
      </w:r>
    </w:p>
    <w:p>
      <w:pPr>
        <w:keepNext/>
        <w:spacing w:after="120"/>
        <w:jc w:val="center"/>
      </w:pPr>
      <w:r>
        <w:drawing>
          <wp:inline distT="0" distB="0" distL="0" distR="0">
            <wp:extent cx="3819525" cy="991297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9525" cy="9912974"/>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inicio de sesión es precondición de los demás casos de uso, no una relación de inclusión.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w:t>
      </w:r>
    </w:p>
    <w:p>
      <w:pPr>
        <w:keepNext/>
        <w:spacing w:after="120" w:line="240"/>
      </w:pPr>
      <w:r>
        <w:rPr>
          <w:rFonts w:ascii="Times New Roman" w:cs="Times New Roman" w:eastAsia="Times New Roman" w:hAnsi="Times New Roman"/>
          <w:b w:val="false"/>
          <w:bCs w:val="false"/>
          <w:i/>
          <w:iCs/>
          <w:sz w:val="22"/>
          <w:szCs w:val="22"/>
        </w:rPr>
        <w:t xml:space="preserve">Casos de uso de abastecimiento y precios</w:t>
      </w:r>
    </w:p>
    <w:p>
      <w:pPr>
        <w:keepNext/>
        <w:spacing w:after="120"/>
        <w:jc w:val="center"/>
      </w:pPr>
      <w:r>
        <w:drawing>
          <wp:inline distT="0" distB="0" distL="0" distR="0">
            <wp:extent cx="59436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050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importación de una lista de precios incluye la validación de sus registros y el recálculo de los precios de venta, que a su vez depende de las reglas de margen vigentes.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w:t>
      </w:r>
    </w:p>
    <w:p>
      <w:pPr>
        <w:keepNext/>
        <w:spacing w:after="120" w:line="240"/>
      </w:pPr>
      <w:r>
        <w:rPr>
          <w:rFonts w:ascii="Times New Roman" w:cs="Times New Roman" w:eastAsia="Times New Roman" w:hAnsi="Times New Roman"/>
          <w:b w:val="false"/>
          <w:bCs w:val="false"/>
          <w:i/>
          <w:iCs/>
          <w:sz w:val="22"/>
          <w:szCs w:val="22"/>
        </w:rPr>
        <w:t xml:space="preserve">Casos de uso comerciales, de inventario y de reportes</w:t>
      </w:r>
    </w:p>
    <w:p>
      <w:pPr>
        <w:keepNext/>
        <w:spacing w:after="120"/>
        <w:jc w:val="center"/>
      </w:pPr>
      <w:r>
        <w:drawing>
          <wp:inline distT="0" distB="0" distL="0" distR="0">
            <wp:extent cx="59436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860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registro de la venta incluye la emisión de la factura y el registro del movimiento de inventario. La conversión de la cotización en pedido extiende la generación de la cotización, por ser un flujo opcional posterior.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9.3 Diagramas de clases</w:t>
      </w:r>
    </w:p>
    <w:p>
      <w:pPr>
        <w:pStyle w:val="Heading3"/>
        <w:spacing w:after="0" w:before="240" w:line="480"/>
        <w:jc w:val="left"/>
      </w:pPr>
      <w:r>
        <w:rPr>
          <w:rFonts w:ascii="Times New Roman" w:cs="Times New Roman" w:eastAsia="Times New Roman" w:hAnsi="Times New Roman"/>
          <w:b/>
          <w:bCs/>
          <w:i/>
          <w:iCs/>
          <w:sz w:val="24"/>
          <w:szCs w:val="24"/>
        </w:rPr>
        <w:t xml:space="preserve">Capa de modelo.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capa de modelo contiene las entidades del dominio y sus enumeraciones. No depende de ninguna otra capa: no conoce la base de datos, el protocolo de transporte ni la interfaz gráfica. Esa independencia es la que permite probar las reglas de negocio sin levantar el sistema completo.</w:t>
      </w:r>
    </w:p>
    <w:p>
      <w:pPr>
        <w:keepNext/>
        <w:spacing w:after="0" w:before="240" w:line="240"/>
      </w:pPr>
      <w:r>
        <w:rPr>
          <w:rFonts w:ascii="Times New Roman" w:cs="Times New Roman" w:eastAsia="Times New Roman" w:hAnsi="Times New Roman"/>
          <w:b/>
          <w:bCs/>
          <w:i w:val="false"/>
          <w:iCs w:val="false"/>
          <w:sz w:val="22"/>
          <w:szCs w:val="22"/>
        </w:rPr>
        <w:t xml:space="preserve">Figura 4</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modelo: catálogo y abastecimiento</w:t>
      </w:r>
    </w:p>
    <w:p>
      <w:pPr>
        <w:keepNext/>
        <w:spacing w:after="120"/>
        <w:jc w:val="center"/>
      </w:pPr>
      <w:r>
        <w:drawing>
          <wp:inline distT="0" distB="0" distL="0" distR="0">
            <wp:extent cx="4705350"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05350"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relaciones de composición indican que la entidad contenida no existe fuera del contenedor: un histórico de costos y un detalle de carga carecen de sentido sin su producto y sin su carga.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5</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modelo: comercial, facturación y auditoría</w:t>
      </w:r>
    </w:p>
    <w:p>
      <w:pPr>
        <w:keepNext/>
        <w:spacing w:after="120"/>
        <w:jc w:val="center"/>
      </w:pPr>
      <w:r>
        <w:drawing>
          <wp:inline distT="0" distB="0" distL="0" distR="0">
            <wp:extent cx="429577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relación opcional entre cotización y venta representa que una venta puede originarse en una cotización previa o registrarse de forma directa. Elaboración propia.</w:t>
      </w:r>
    </w:p>
    <w:p>
      <w:pPr>
        <w:pStyle w:val="Heading3"/>
        <w:spacing w:after="0" w:before="240" w:line="480"/>
        <w:jc w:val="left"/>
      </w:pPr>
      <w:r>
        <w:rPr>
          <w:rFonts w:ascii="Times New Roman" w:cs="Times New Roman" w:eastAsia="Times New Roman" w:hAnsi="Times New Roman"/>
          <w:b/>
          <w:bCs/>
          <w:i/>
          <w:iCs/>
          <w:sz w:val="24"/>
          <w:szCs w:val="24"/>
        </w:rPr>
        <w:t xml:space="preserve">Capa de lógica.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capa de lógica coordina los casos de uso y aplica las reglas de negocio. El elemento de diseño más relevante es la interfaz de lectura de listas de precios: al declarar el contrato de lectura como interfaz, la incorporación de un proveedor con estructura distinta añade una implementación y no obliga a modificar el importador.</w:t>
      </w:r>
    </w:p>
    <w:p>
      <w:pPr>
        <w:keepNext/>
        <w:spacing w:after="0" w:before="240" w:line="240"/>
      </w:pPr>
      <w:r>
        <w:rPr>
          <w:rFonts w:ascii="Times New Roman" w:cs="Times New Roman" w:eastAsia="Times New Roman" w:hAnsi="Times New Roman"/>
          <w:b/>
          <w:bCs/>
          <w:i w:val="false"/>
          <w:iCs w:val="false"/>
          <w:sz w:val="22"/>
          <w:szCs w:val="22"/>
        </w:rPr>
        <w:t xml:space="preserve">Figura 6</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lógica: inventario, precios e importación</w:t>
      </w:r>
    </w:p>
    <w:p>
      <w:pPr>
        <w:keepNext/>
        <w:spacing w:after="120"/>
        <w:jc w:val="center"/>
      </w:pPr>
      <w:r>
        <w:drawing>
          <wp:inline distT="0" distB="0" distL="0" distR="0">
            <wp:extent cx="59436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861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Aplicación del principio de inversión de dependencias sobre el lector de listas de precios.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7</w:t>
      </w:r>
    </w:p>
    <w:p>
      <w:pPr>
        <w:keepNext/>
        <w:spacing w:after="120" w:line="240"/>
      </w:pPr>
      <w:r>
        <w:rPr>
          <w:rFonts w:ascii="Times New Roman" w:cs="Times New Roman" w:eastAsia="Times New Roman" w:hAnsi="Times New Roman"/>
          <w:b w:val="false"/>
          <w:bCs w:val="false"/>
          <w:i/>
          <w:iCs/>
          <w:sz w:val="22"/>
          <w:szCs w:val="22"/>
        </w:rPr>
        <w:t xml:space="preserve">Diagrama de clases de la capa de lógica: servicios comerciales</w:t>
      </w:r>
    </w:p>
    <w:p>
      <w:pPr>
        <w:keepNext/>
        <w:spacing w:after="120"/>
        <w:jc w:val="center"/>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004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8</w:t>
      </w:r>
    </w:p>
    <w:p>
      <w:pPr>
        <w:keepNext/>
        <w:spacing w:after="120" w:line="240"/>
      </w:pPr>
      <w:r>
        <w:rPr>
          <w:rFonts w:ascii="Times New Roman" w:cs="Times New Roman" w:eastAsia="Times New Roman" w:hAnsi="Times New Roman"/>
          <w:b w:val="false"/>
          <w:bCs w:val="false"/>
          <w:i/>
          <w:iCs/>
          <w:sz w:val="22"/>
          <w:szCs w:val="22"/>
        </w:rPr>
        <w:t xml:space="preserve">Diagrama de clases del subsistema de seguridad</w:t>
      </w:r>
    </w:p>
    <w:p>
      <w:pPr>
        <w:keepNext/>
        <w:spacing w:after="120"/>
        <w:jc w:val="center"/>
      </w:pPr>
      <w:r>
        <w:drawing>
          <wp:inline distT="0" distB="0" distL="0" distR="0">
            <wp:extent cx="59436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86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derivación de contraseñas se aísla en una clase de utilidad, de modo que la migración futura a Argon2id afecte a un solo punto del sistema.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9.4 Diagramas de secuencia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modelan los cuatro procesos cuyo comportamiento no resulta evidente a partir de la estructura: la autenticación, las dos fases de la importación de listas de precios y el registro de venta con emisión de factura.</w:t>
      </w:r>
    </w:p>
    <w:p>
      <w:pPr>
        <w:keepNext/>
        <w:spacing w:after="0" w:before="240" w:line="240"/>
      </w:pPr>
      <w:r>
        <w:rPr>
          <w:rFonts w:ascii="Times New Roman" w:cs="Times New Roman" w:eastAsia="Times New Roman" w:hAnsi="Times New Roman"/>
          <w:b/>
          <w:bCs/>
          <w:i w:val="false"/>
          <w:iCs w:val="false"/>
          <w:sz w:val="22"/>
          <w:szCs w:val="22"/>
        </w:rPr>
        <w:t xml:space="preserve">Figura 9</w:t>
      </w:r>
    </w:p>
    <w:p>
      <w:pPr>
        <w:keepNext/>
        <w:spacing w:after="120" w:line="240"/>
      </w:pPr>
      <w:r>
        <w:rPr>
          <w:rFonts w:ascii="Times New Roman" w:cs="Times New Roman" w:eastAsia="Times New Roman" w:hAnsi="Times New Roman"/>
          <w:b w:val="false"/>
          <w:bCs w:val="false"/>
          <w:i/>
          <w:iCs/>
          <w:sz w:val="22"/>
          <w:szCs w:val="22"/>
        </w:rPr>
        <w:t xml:space="preserve">Diagrama de secuencia: autenticación de usuario</w:t>
      </w:r>
    </w:p>
    <w:p>
      <w:pPr>
        <w:keepNext/>
        <w:spacing w:after="120"/>
        <w:jc w:val="center"/>
      </w:pPr>
      <w:r>
        <w:drawing>
          <wp:inline distT="0" distB="0" distL="0" distR="0">
            <wp:extent cx="55340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3402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sistema devuelve el mismo mensaje ante correo inexistente y ante contraseña incorrecta. Distinguirlos permitiría a un atacante determinar qué correos corresponden a usuarios válidos.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10</w:t>
      </w:r>
    </w:p>
    <w:p>
      <w:pPr>
        <w:keepNext/>
        <w:spacing w:after="120" w:line="240"/>
      </w:pPr>
      <w:r>
        <w:rPr>
          <w:rFonts w:ascii="Times New Roman" w:cs="Times New Roman" w:eastAsia="Times New Roman" w:hAnsi="Times New Roman"/>
          <w:b w:val="false"/>
          <w:bCs w:val="false"/>
          <w:i/>
          <w:iCs/>
          <w:sz w:val="22"/>
          <w:szCs w:val="22"/>
        </w:rPr>
        <w:t xml:space="preserve">Diagrama de secuencia: lectura y validación de una lista de precios</w:t>
      </w:r>
    </w:p>
    <w:p>
      <w:pPr>
        <w:keepNext/>
        <w:spacing w:after="120"/>
        <w:jc w:val="center"/>
      </w:pPr>
      <w:r>
        <w:drawing>
          <wp:inline distT="0" distB="0" distL="0" distR="0">
            <wp:extent cx="59436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8481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lectura no altera el catálogo. Produce una carga en estado validado que el administrador revisa antes de aplicar.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11</w:t>
      </w:r>
    </w:p>
    <w:p>
      <w:pPr>
        <w:keepNext/>
        <w:spacing w:after="120" w:line="240"/>
      </w:pPr>
      <w:r>
        <w:rPr>
          <w:rFonts w:ascii="Times New Roman" w:cs="Times New Roman" w:eastAsia="Times New Roman" w:hAnsi="Times New Roman"/>
          <w:b w:val="false"/>
          <w:bCs w:val="false"/>
          <w:i/>
          <w:iCs/>
          <w:sz w:val="22"/>
          <w:szCs w:val="22"/>
        </w:rPr>
        <w:t xml:space="preserve">Diagrama de secuencia: aplicación de la lista y recálculo de precios</w:t>
      </w:r>
    </w:p>
    <w:p>
      <w:pPr>
        <w:keepNext/>
        <w:spacing w:after="120"/>
        <w:jc w:val="center"/>
      </w:pPr>
      <w:r>
        <w:drawing>
          <wp:inline distT="0" distB="0" distL="0" distR="0">
            <wp:extent cx="594360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3909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precios de venta se mantienen sincronizados mediante columnas generadas del motor de base de datos, lo que impide que queden desalineados del costo.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12</w:t>
      </w:r>
    </w:p>
    <w:p>
      <w:pPr>
        <w:keepNext/>
        <w:spacing w:after="120" w:line="240"/>
      </w:pPr>
      <w:r>
        <w:rPr>
          <w:rFonts w:ascii="Times New Roman" w:cs="Times New Roman" w:eastAsia="Times New Roman" w:hAnsi="Times New Roman"/>
          <w:b w:val="false"/>
          <w:bCs w:val="false"/>
          <w:i/>
          <w:iCs/>
          <w:sz w:val="22"/>
          <w:szCs w:val="22"/>
        </w:rPr>
        <w:t xml:space="preserve">Diagrama de secuencia: registro de venta y emisión de factura electrónica</w:t>
      </w:r>
    </w:p>
    <w:p>
      <w:pPr>
        <w:keepNext/>
        <w:spacing w:after="120"/>
        <w:jc w:val="center"/>
      </w:pPr>
      <w:r>
        <w:drawing>
          <wp:inline distT="0" distB="0" distL="0" distR="0">
            <wp:extent cx="5943600" cy="581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5819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descuento de existencias y el registro de la venta ocurren en una sola transacción. La emisión de la factura se ejecuta fuera de ella, de modo que un fallo del servicio externo no revierta una venta ya consumada.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9.5 Diagrama de actividades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ciclo de importación y aplicación de precios concentra la mayor complejidad de control del sistema: combina validación registro por registro, decisión del usuario y efectos en cadena sobre el catálogo.</w:t>
      </w:r>
    </w:p>
    <w:p>
      <w:pPr>
        <w:keepNext/>
        <w:spacing w:after="0" w:before="240" w:line="240"/>
      </w:pPr>
      <w:r>
        <w:rPr>
          <w:rFonts w:ascii="Times New Roman" w:cs="Times New Roman" w:eastAsia="Times New Roman" w:hAnsi="Times New Roman"/>
          <w:b/>
          <w:bCs/>
          <w:i w:val="false"/>
          <w:iCs w:val="false"/>
          <w:sz w:val="22"/>
          <w:szCs w:val="22"/>
        </w:rPr>
        <w:t xml:space="preserve">Figura 13</w:t>
      </w:r>
    </w:p>
    <w:p>
      <w:pPr>
        <w:keepNext/>
        <w:spacing w:after="120" w:line="240"/>
      </w:pPr>
      <w:r>
        <w:rPr>
          <w:rFonts w:ascii="Times New Roman" w:cs="Times New Roman" w:eastAsia="Times New Roman" w:hAnsi="Times New Roman"/>
          <w:b w:val="false"/>
          <w:bCs w:val="false"/>
          <w:i/>
          <w:iCs/>
          <w:sz w:val="22"/>
          <w:szCs w:val="22"/>
        </w:rPr>
        <w:t xml:space="preserve">Diagrama de actividades: importación y aplicación de una lista de precios</w:t>
      </w:r>
    </w:p>
    <w:p>
      <w:pPr>
        <w:keepNext/>
        <w:spacing w:after="120"/>
        <w:jc w:val="center"/>
      </w:pPr>
      <w:r>
        <w:drawing>
          <wp:inline distT="0" distB="0" distL="0" distR="0">
            <wp:extent cx="4619625" cy="658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19625" cy="65817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calles de actividad separan las acciones del administrador de las del sistema.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9.6 Diagramas de estados</w:t>
      </w:r>
    </w:p>
    <w:p>
      <w:pPr>
        <w:keepNext/>
        <w:spacing w:after="0" w:before="240" w:line="240"/>
      </w:pPr>
      <w:r>
        <w:rPr>
          <w:rFonts w:ascii="Times New Roman" w:cs="Times New Roman" w:eastAsia="Times New Roman" w:hAnsi="Times New Roman"/>
          <w:b/>
          <w:bCs/>
          <w:i w:val="false"/>
          <w:iCs w:val="false"/>
          <w:sz w:val="22"/>
          <w:szCs w:val="22"/>
        </w:rPr>
        <w:t xml:space="preserve">Figura 14</w:t>
      </w:r>
    </w:p>
    <w:p>
      <w:pPr>
        <w:keepNext/>
        <w:spacing w:after="120" w:line="240"/>
      </w:pPr>
      <w:r>
        <w:rPr>
          <w:rFonts w:ascii="Times New Roman" w:cs="Times New Roman" w:eastAsia="Times New Roman" w:hAnsi="Times New Roman"/>
          <w:b w:val="false"/>
          <w:bCs w:val="false"/>
          <w:i/>
          <w:iCs/>
          <w:sz w:val="22"/>
          <w:szCs w:val="22"/>
        </w:rPr>
        <w:t xml:space="preserve">Diagrama de estados: producto</w:t>
      </w:r>
    </w:p>
    <w:p>
      <w:pPr>
        <w:keepNext/>
        <w:spacing w:after="120"/>
        <w:jc w:val="center"/>
      </w:pPr>
      <w:r>
        <w:drawing>
          <wp:inline distT="0" distB="0" distL="0" distR="0">
            <wp:extent cx="5943600" cy="611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61150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estados de existencia se derivan de la cantidad disponible frente al umbral mínimo configurado, no se asignan de forma manual.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15</w:t>
      </w:r>
    </w:p>
    <w:p>
      <w:pPr>
        <w:keepNext/>
        <w:spacing w:after="120" w:line="240"/>
      </w:pPr>
      <w:r>
        <w:rPr>
          <w:rFonts w:ascii="Times New Roman" w:cs="Times New Roman" w:eastAsia="Times New Roman" w:hAnsi="Times New Roman"/>
          <w:b w:val="false"/>
          <w:bCs w:val="false"/>
          <w:i/>
          <w:iCs/>
          <w:sz w:val="22"/>
          <w:szCs w:val="22"/>
        </w:rPr>
        <w:t xml:space="preserve">Diagrama de estados: cotización</w:t>
      </w:r>
    </w:p>
    <w:p>
      <w:pPr>
        <w:keepNext/>
        <w:spacing w:after="120"/>
        <w:jc w:val="center"/>
      </w:pPr>
      <w:r>
        <w:drawing>
          <wp:inline distT="0" distB="0" distL="0" distR="0">
            <wp:extent cx="5943600" cy="601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60102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prórroga de una cotización vencida recalcula los precios contra el costo vigente, lo que impide honrar precios derivados de costos superados.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16</w:t>
      </w:r>
    </w:p>
    <w:p>
      <w:pPr>
        <w:keepNext/>
        <w:spacing w:after="120" w:line="240"/>
      </w:pPr>
      <w:r>
        <w:rPr>
          <w:rFonts w:ascii="Times New Roman" w:cs="Times New Roman" w:eastAsia="Times New Roman" w:hAnsi="Times New Roman"/>
          <w:b w:val="false"/>
          <w:bCs w:val="false"/>
          <w:i/>
          <w:iCs/>
          <w:sz w:val="22"/>
          <w:szCs w:val="22"/>
        </w:rPr>
        <w:t xml:space="preserve">Diagrama de estados: factura electrónica</w:t>
      </w:r>
    </w:p>
    <w:p>
      <w:pPr>
        <w:keepNext/>
        <w:spacing w:after="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3526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rechazo del documento por parte de la autoridad tributaria no revierte la venta registrada.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9.7 Diagramas de componentes y de despliegue</w:t>
      </w:r>
    </w:p>
    <w:p>
      <w:pPr>
        <w:keepNext/>
        <w:spacing w:after="0" w:before="240" w:line="240"/>
      </w:pPr>
      <w:r>
        <w:rPr>
          <w:rFonts w:ascii="Times New Roman" w:cs="Times New Roman" w:eastAsia="Times New Roman" w:hAnsi="Times New Roman"/>
          <w:b/>
          <w:bCs/>
          <w:i w:val="false"/>
          <w:iCs w:val="false"/>
          <w:sz w:val="22"/>
          <w:szCs w:val="22"/>
        </w:rPr>
        <w:t xml:space="preserve">Figura 17</w:t>
      </w:r>
    </w:p>
    <w:p>
      <w:pPr>
        <w:keepNext/>
        <w:spacing w:after="120" w:line="240"/>
      </w:pPr>
      <w:r>
        <w:rPr>
          <w:rFonts w:ascii="Times New Roman" w:cs="Times New Roman" w:eastAsia="Times New Roman" w:hAnsi="Times New Roman"/>
          <w:b w:val="false"/>
          <w:bCs w:val="false"/>
          <w:i/>
          <w:iCs/>
          <w:sz w:val="22"/>
          <w:szCs w:val="22"/>
        </w:rPr>
        <w:t xml:space="preserve">Diagrama de componentes de la solución</w:t>
      </w:r>
    </w:p>
    <w:p>
      <w:pPr>
        <w:keepNext/>
        <w:spacing w:after="120"/>
        <w:jc w:val="center"/>
      </w:pPr>
      <w:r>
        <w:drawing>
          <wp:inline distT="0" distB="0" distL="0" distR="0">
            <wp:extent cx="4514850" cy="52222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14850" cy="5222228"/>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dependencias internas del servicio apuntan siempre hacia el modelo de dominio.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18</w:t>
      </w:r>
    </w:p>
    <w:p>
      <w:pPr>
        <w:keepNext/>
        <w:spacing w:after="120" w:line="240"/>
      </w:pPr>
      <w:r>
        <w:rPr>
          <w:rFonts w:ascii="Times New Roman" w:cs="Times New Roman" w:eastAsia="Times New Roman" w:hAnsi="Times New Roman"/>
          <w:b w:val="false"/>
          <w:bCs w:val="false"/>
          <w:i/>
          <w:iCs/>
          <w:sz w:val="22"/>
          <w:szCs w:val="22"/>
        </w:rPr>
        <w:t xml:space="preserve">Diagrama de despliegue</w:t>
      </w:r>
    </w:p>
    <w:p>
      <w:pPr>
        <w:keepNext/>
        <w:spacing w:after="120"/>
        <w:jc w:val="center"/>
      </w:pPr>
      <w:r>
        <w:drawing>
          <wp:inline distT="0" distB="0" distL="0" distR="0">
            <wp:extent cx="5943600" cy="414979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4149791"/>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comunicación entre los clientes y el servicio se realiza sobre canal cifrado. Elaboración propia.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10. Diseño de la Base de Datos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10.1 Entidades propuestas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de la fase previa contaba con cinco tablas y resultaba suficiente para una operación de punto de venta único sin gestión de proveedores. La ampliación del alcance a importación de listas de precios, cotización y facturación electrónica exige un modelo más extenso. Se proponen veinticuatro tablas, clasificadas por dominio funcional y por versión de entrega.</w:t>
      </w:r>
    </w:p>
    <w:p>
      <w:pPr>
        <w:spacing w:after="0" w:before="240" w:line="240"/>
      </w:pPr>
      <w:r>
        <w:rPr>
          <w:rFonts w:ascii="Times New Roman" w:hAnsi="Times New Roman"/>
          <w:sz w:val="24"/>
        </w:rPr>
        <w:t>Tabla 18</w:t>
      </w:r>
    </w:p>
    <w:p>
      <w:pPr>
        <w:spacing w:after="120" w:line="240"/>
      </w:pPr>
      <w:r>
        <w:rPr>
          <w:rFonts w:ascii="Times New Roman" w:cs="Times New Roman" w:eastAsia="Times New Roman" w:hAnsi="Times New Roman"/>
          <w:b w:val="false"/>
          <w:bCs w:val="false"/>
          <w:i/>
          <w:iCs/>
          <w:sz w:val="22"/>
          <w:szCs w:val="22"/>
        </w:rPr>
        <w:t xml:space="preserve">Entidades propuestas para el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4560"/>
        <w:gridCol w:w="1200"/>
      </w:tblGrid>
      <w:tr>
        <w:trPr>
          <w:tblHeader/>
        </w:trPr>
        <w:tc>
          <w:tcPr>
            <w:tcW w:type="dxa" w:w="2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Tabla</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Dominio</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Propósito</w:t>
            </w:r>
          </w:p>
        </w:tc>
        <w:tc>
          <w:tcPr>
            <w:tcW w:type="dxa" w:w="1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Entrega</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roles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de roles y sus permisos asociados.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usuarios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Usuarios del sistema con credenciales derivadas y rol asignado.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auditoria_accesos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 de intentos de inicio de sesión con su resultado.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sesiones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Seguridad</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Tokens de acceso emitidos, con vigencia y dispositivo de origen.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Clientes de la empresa con identificación tributaria y contacto.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Abastecimiento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Proveedores con identificación tributaria y condiciones comerciales.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producto_proveedor</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Abastecimiento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Referencia, costo y condiciones de cada proveedor para un mismo producto.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sz w:val="20"/>
              </w:rPr>
              <w:t>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categorias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Clasificación del catálogo, normalizada como tabla en lugar de enumeración.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productos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Referencias del catálogo con costo vigente, existencia y umbral mínimo.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historico_costos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Costos de cada producto con su fecha de vigencia.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reglas_margen</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Precios</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Márgenes configurables por categoría, proveedor y forma de pago.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cargas_precios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cada importación: proveedor, origen, fecha, estado y totales.</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detalle_carga_precios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Registros individuales de la carga, con su resultado de validación.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mapeos_proveedor</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Importación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Correspondencia entre columnas del archivo de origen y campos del sistema.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cotizaciones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la cotización con cliente, vigencia y estado.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cotizacion_items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Líneas de la cotización con precio congelado al momento de su emisión.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ventas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Encabezado de la venta, con referencia opcional a la cotización de origen.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venta_items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Comercial</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Líneas de la venta con precio unitario histórico y cantidad.</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facturas_electronicas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Documento emitido, con código único, estado de validación y respuesta del proveedor tecnológico.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v2.0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movimientos_inventario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Inventario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Auditoría de todo cambio de existencia, con valor anterior y posterior.</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parametros</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Valores de configuración con clave, tipo de dato y fecha de vigencia.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v1.0</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uvt_anual</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de la unidad de valor tributario por año gravable, con la resolución que lo fija.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reglas_iva</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Tratamiento tributario por categoría, con umbral en unidades de valor tributario y tarifa.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v1.1</w:t>
            </w:r>
          </w:p>
        </w:tc>
      </w:tr>
      <w:tr>
        <w:trPr>
          <w:cantSplit/>
        </w:trPr>
        <w:tc>
          <w:tcPr>
            <w:tcW w:type="dxa" w:w="2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reglas_envio</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y base de cálculo del envío sin costo.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calendario_habil</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Configuración</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Días no laborables de Colombia, necesarios para calcular vigencias en días hábiles.</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v1.2</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empresas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Empresa usuaria, su estado y su identificación tributaria.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1</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suscripciones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Periodo de prueba, plan y vencimiento de cada empresa.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1</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medios_pago</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Comercial</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Medios de pago que habilita cada empresa.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5</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ordenes_compra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Abastecimiento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Encabezado de la orden al proveedor.</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orden_compra_items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Abastecimiento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Líneas de la orden con cantidad y costo.</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recepciones</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Abastecimiento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Entregas recibidas contra una orden, totales o parciales.</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cierres_caja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Comercial</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Cierre por turno y cajero, con el conteo y la diferencia.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5</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cola_sincronizacion</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Sincronización</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Operaciones recibidas de los dispositivos, con su clave de idempotencia.</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6</w:t>
            </w:r>
          </w:p>
        </w:tc>
      </w:tr>
      <w:tr>
        <w:trPr>
          <w:cantSplit/>
        </w:trPr>
        <w:tc>
          <w:tcPr>
            <w:tcW w:type="dxa" w:w="2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descuadres_existencia</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Sincronización</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Diferencias detectadas al sincronizar ventas registradas sin conexión.</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6</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columna de entrega orienta el orden de construcción por incrementos y no constituye una restricción del modelo. Las entidades de detalle pueden fusionarse con su encabezado si el alcance se reduce.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10.2 Decisiones de modelado</w:t>
      </w:r>
    </w:p>
    <w:p>
      <w:pPr>
        <w:pStyle w:val="Heading3"/>
        <w:spacing w:after="0" w:before="240" w:line="480"/>
        <w:jc w:val="left"/>
      </w:pPr>
      <w:r>
        <w:rPr>
          <w:rFonts w:ascii="Times New Roman" w:cs="Times New Roman" w:eastAsia="Times New Roman" w:hAnsi="Times New Roman"/>
          <w:b/>
          <w:bCs/>
          <w:i/>
          <w:iCs/>
          <w:sz w:val="24"/>
          <w:szCs w:val="24"/>
        </w:rPr>
        <w:t xml:space="preserve">Separación entre usuarios y clientes.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En el modelo de la fase previa una sola tabla cumplía ambos papeles. La separación es necesaria porque un cliente de la empresa no necesariamente tiene acceso al sistema, y un usuario del sistema no necesariamente es cliente. Mantenerlos unidos obligaría a dejar columnas nulas en la mayoría de los registros.</w:t>
      </w:r>
    </w:p>
    <w:p>
      <w:pPr>
        <w:pStyle w:val="Heading3"/>
        <w:spacing w:after="0" w:before="240" w:line="480"/>
        <w:jc w:val="left"/>
      </w:pPr>
      <w:r>
        <w:rPr>
          <w:rFonts w:ascii="Times New Roman" w:cs="Times New Roman" w:eastAsia="Times New Roman" w:hAnsi="Times New Roman"/>
          <w:b/>
          <w:bCs/>
          <w:i/>
          <w:iCs/>
          <w:sz w:val="24"/>
          <w:szCs w:val="24"/>
        </w:rPr>
        <w:t xml:space="preserve">Normalización de la categoría.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categoría estaba implementada como enumeración en el código. Trasladarla a tabla permite que la empresa agregue categorías sin recompilar el sistema, y permite asociar reglas de margen a la categoría como clave foránea.</w:t>
      </w:r>
    </w:p>
    <w:p>
      <w:pPr>
        <w:pStyle w:val="Heading3"/>
        <w:spacing w:after="0" w:before="240" w:line="480"/>
        <w:jc w:val="left"/>
      </w:pPr>
      <w:r>
        <w:rPr>
          <w:rFonts w:ascii="Times New Roman" w:cs="Times New Roman" w:eastAsia="Times New Roman" w:hAnsi="Times New Roman"/>
          <w:b/>
          <w:bCs/>
          <w:i/>
          <w:iCs/>
          <w:sz w:val="24"/>
          <w:szCs w:val="24"/>
        </w:rPr>
        <w:t xml:space="preserve">Precio congelado en las líneas de cotización y venta.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precio unitario se almacena en las líneas de cotización y de venta aunque pudiera derivarse del producto. La razón es que representa un dato histórico, no un dato derivado: si el costo del producto cambia mañana, las cotizaciones emitidas ayer deben conservar el precio que se ofreció al cliente. Un dato derivado se recalcula; un dato histórico se congela.</w:t>
      </w:r>
    </w:p>
    <w:p>
      <w:pPr>
        <w:pStyle w:val="Heading3"/>
        <w:spacing w:after="0" w:before="240" w:line="480"/>
        <w:jc w:val="left"/>
      </w:pPr>
      <w:r>
        <w:rPr>
          <w:rFonts w:ascii="Times New Roman" w:cs="Times New Roman" w:eastAsia="Times New Roman" w:hAnsi="Times New Roman"/>
          <w:b/>
          <w:bCs/>
          <w:i/>
          <w:iCs/>
          <w:sz w:val="24"/>
          <w:szCs w:val="24"/>
        </w:rPr>
        <w:t xml:space="preserve">El envío otorgado a mano se registra como tal.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documento no guarda solamente el valor del envío: guarda también si ese valor proviene de la regla o de una decisión del vendedor, junto con el motivo y el usuario que la autorizó. Regalar el envío por debajo del umbral es un descuento, y un descuento sin responsable identificable no puede auditarse. La restricción de integridad rechaza el envío manual que no traiga ambos datos.</w:t>
      </w:r>
    </w:p>
    <w:p>
      <w:pPr>
        <w:pStyle w:val="Heading3"/>
        <w:spacing w:after="0" w:before="240" w:line="480"/>
        <w:jc w:val="left"/>
      </w:pPr>
      <w:r>
        <w:rPr>
          <w:rFonts w:ascii="Times New Roman" w:cs="Times New Roman" w:eastAsia="Times New Roman" w:hAnsi="Times New Roman"/>
          <w:b/>
          <w:bCs/>
          <w:i/>
          <w:iCs/>
          <w:sz w:val="24"/>
          <w:szCs w:val="24"/>
        </w:rPr>
        <w:t xml:space="preserve">Umbrales almacenados en unidades de valor tributario.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Los topes de exclusión del impuesto se guardan en unidades de valor tributario y no en pesos. La unidad se actualiza cada año por resolución de la autoridad tributaria, de modo que almacenar el tope en pesos obligaría a modificar la regla cada enero y dejaría inconsistentes los documentos emitidos con el valor anterior. Con el umbral en unidades y una tabla de valores anuales, el tope en pesos se deriva para la fecha que corresponda, incluida una fecha pasada.</w:t>
      </w:r>
    </w:p>
    <w:p>
      <w:pPr>
        <w:pStyle w:val="Heading3"/>
        <w:spacing w:after="0" w:before="240" w:line="480"/>
        <w:jc w:val="left"/>
      </w:pPr>
      <w:r>
        <w:rPr>
          <w:rFonts w:ascii="Times New Roman" w:cs="Times New Roman" w:eastAsia="Times New Roman" w:hAnsi="Times New Roman"/>
          <w:b/>
          <w:bCs/>
          <w:i/>
          <w:iCs/>
          <w:sz w:val="24"/>
          <w:szCs w:val="24"/>
        </w:rPr>
        <w:t xml:space="preserve">Encabezado y detalle separados en cotización y venta.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previo registraba únicamente líneas de venta, sin encabezado. Esa estructura impide representar una venta con varios productos como una unidad, requisito indispensable para emitir una factura electrónica que agrupe varias líneas bajo un solo documento.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10.4 Modelo entidad-relación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se presenta en tres vistas por dominio. La vista completa se incluye en el Anexo D. Las columnas marcadas como generadas son mantenidas por el motor de base de datos a partir de otras columnas de la misma fila, lo que hace imposible que un precio de venta quede desalineado de su costo.</w:t>
      </w:r>
    </w:p>
    <w:p>
      <w:pPr>
        <w:keepNext/>
        <w:spacing w:after="0" w:before="240" w:line="240"/>
      </w:pPr>
      <w:r>
        <w:rPr>
          <w:rFonts w:ascii="Times New Roman" w:cs="Times New Roman" w:eastAsia="Times New Roman" w:hAnsi="Times New Roman"/>
          <w:b/>
          <w:bCs/>
          <w:i w:val="false"/>
          <w:iCs w:val="false"/>
          <w:sz w:val="22"/>
          <w:szCs w:val="22"/>
        </w:rPr>
        <w:t xml:space="preserve">Figura 19</w:t>
      </w:r>
    </w:p>
    <w:p>
      <w:pPr>
        <w:keepNext/>
        <w:spacing w:after="120" w:line="240"/>
      </w:pPr>
      <w:r>
        <w:rPr>
          <w:rFonts w:ascii="Times New Roman" w:cs="Times New Roman" w:eastAsia="Times New Roman" w:hAnsi="Times New Roman"/>
          <w:b w:val="false"/>
          <w:bCs w:val="false"/>
          <w:i/>
          <w:iCs/>
          <w:sz w:val="22"/>
          <w:szCs w:val="22"/>
        </w:rPr>
        <w:t xml:space="preserve">Modelo entidad-relación: seguridad y auditoría</w:t>
      </w:r>
    </w:p>
    <w:p>
      <w:pPr>
        <w:keepNext/>
        <w:spacing w:after="120"/>
        <w:jc w:val="center"/>
      </w:pPr>
      <w:r>
        <w:drawing>
          <wp:inline distT="0" distB="0" distL="0" distR="0">
            <wp:extent cx="5943600" cy="43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43382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tabla de auditoría de accesos conserva el correo utilizado en el intento aunque no corresponda a un usuario registrado.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20</w:t>
      </w:r>
    </w:p>
    <w:p>
      <w:pPr>
        <w:keepNext/>
        <w:spacing w:after="120" w:line="240"/>
      </w:pPr>
      <w:r>
        <w:rPr>
          <w:rFonts w:ascii="Times New Roman" w:cs="Times New Roman" w:eastAsia="Times New Roman" w:hAnsi="Times New Roman"/>
          <w:b w:val="false"/>
          <w:bCs w:val="false"/>
          <w:i/>
          <w:iCs/>
          <w:sz w:val="22"/>
          <w:szCs w:val="22"/>
        </w:rPr>
        <w:t xml:space="preserve">Modelo entidad-relación: catálogo, abastecimiento y precios</w:t>
      </w:r>
    </w:p>
    <w:p>
      <w:pPr>
        <w:keepNext/>
        <w:spacing w:after="120"/>
        <w:jc w:val="center"/>
      </w:pPr>
      <w:r>
        <w:drawing>
          <wp:inline distT="0" distB="0" distL="0" distR="0">
            <wp:extent cx="5943600" cy="499374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4993741"/>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precio de contado y de crédito son generadas a partir del costo y de la regla de margen vigente.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21</w:t>
      </w:r>
    </w:p>
    <w:p>
      <w:pPr>
        <w:keepNext/>
        <w:spacing w:after="120" w:line="240"/>
      </w:pPr>
      <w:r>
        <w:rPr>
          <w:rFonts w:ascii="Times New Roman" w:cs="Times New Roman" w:eastAsia="Times New Roman" w:hAnsi="Times New Roman"/>
          <w:b w:val="false"/>
          <w:bCs w:val="false"/>
          <w:i/>
          <w:iCs/>
          <w:sz w:val="22"/>
          <w:szCs w:val="22"/>
        </w:rPr>
        <w:t xml:space="preserve">Modelo entidad-relación: comercial y facturación</w:t>
      </w:r>
    </w:p>
    <w:p>
      <w:pPr>
        <w:keepNext/>
        <w:spacing w:after="120"/>
        <w:jc w:val="center"/>
      </w:pPr>
      <w:r>
        <w:drawing>
          <wp:inline distT="0" distB="0" distL="0" distR="0">
            <wp:extent cx="5943600" cy="53591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5359171"/>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entidades de usuario y producto se presentan de forma resumida por corresponder a vistas anteriores. La relación entre cotización y venta es opcional en ambos extremos.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22</w:t>
      </w:r>
    </w:p>
    <w:p>
      <w:pPr>
        <w:keepNext/>
        <w:spacing w:after="120" w:line="240"/>
      </w:pPr>
      <w:r>
        <w:rPr>
          <w:rFonts w:ascii="Times New Roman" w:cs="Times New Roman" w:eastAsia="Times New Roman" w:hAnsi="Times New Roman"/>
          <w:b w:val="false"/>
          <w:bCs w:val="false"/>
          <w:i/>
          <w:iCs/>
          <w:sz w:val="22"/>
          <w:szCs w:val="22"/>
        </w:rPr>
        <w:t xml:space="preserve">Modelo entidad-relación: parametrización de reglas comerciales y tributarias</w:t>
      </w:r>
    </w:p>
    <w:p>
      <w:pPr>
        <w:keepNext/>
        <w:spacing w:after="120"/>
        <w:jc w:val="center"/>
      </w:pPr>
      <w:r>
        <w:drawing>
          <wp:inline distT="0" distB="0" distL="0" distR="0">
            <wp:extent cx="5943600" cy="43155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431558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reglas conservan fecha de vigencia inicial y final, de modo que un documento emitido en el pasado puede reconstruirse con las condiciones que regían entonces. El umbral de envío se evalúa sobre el subtotal.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10.3 Normalización</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modelo se llevará a tercera forma normal mediante el procedimiento aplicado en la fase previa, documentado en el libro de normalización del proyecto. La primera forma normal elimina los grupos repetitivos separando cada par documento-producto en su propia fila. La segunda forma normal descompone las dependencias parciales sobre claves compuestas, separando los datos del cliente, del producto y de la transacción. La tercera forma normal elimina las dependencias transitivas: los precios de venta, que dependen del costo y no de la clave primaria, se implementan como columnas generadas que el motor de base de datos mantiene sincronizadas de forma automática.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11. Arquitectura de la Solución</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11.1 Vista general</w:t>
      </w:r>
    </w:p>
    <w:p>
      <w:pPr>
        <w:spacing w:after="0" w:line="480"/>
        <w:ind w:firstLine="720"/>
        <w:jc w:val="both"/>
      </w:pPr>
      <w:r>
        <w:rPr>
          <w:rFonts w:ascii="Times New Roman" w:hAnsi="Times New Roman"/>
          <w:sz w:val="24"/>
        </w:rPr>
        <w:t>La solución se estructura en tres componentes desplegables que comparten una única fuente de lógica de negocio. El servicio backend concentra el dominio, las reglas y el acceso a datos, y expone sus capacidades mediante una interfaz de programación de aplicaciones de tipo REST. El front web, construido en React sobre HTML, CSS y JavaScript, y la aplicación móvil en React Native consumen esa interfaz; ninguno de los dos implementa lógica de negocio propia. Compartir lenguaje y modelo de componentes entre ambos clientes reduce el costo de mantener dos frentes.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decisión evita el problema que produciría duplicar las reglas en cada cliente: dos implementaciones de la misma regla divergen con el tiempo, y la divergencia se manifiesta como comportamientos distintos según el canal por el cual el usuario accede.</w:t>
      </w:r>
    </w:p>
    <w:p>
      <w:pPr>
        <w:spacing w:after="0" w:before="240" w:line="240"/>
      </w:pPr>
      <w:r>
        <w:rPr>
          <w:rFonts w:ascii="Times New Roman" w:hAnsi="Times New Roman"/>
          <w:sz w:val="24"/>
        </w:rPr>
        <w:t>Tabla 19</w:t>
      </w:r>
    </w:p>
    <w:p>
      <w:pPr>
        <w:spacing w:after="120" w:line="240"/>
      </w:pPr>
      <w:r>
        <w:rPr>
          <w:rFonts w:ascii="Times New Roman" w:cs="Times New Roman" w:eastAsia="Times New Roman" w:hAnsi="Times New Roman"/>
          <w:b w:val="false"/>
          <w:bCs w:val="false"/>
          <w:i/>
          <w:iCs/>
          <w:sz w:val="22"/>
          <w:szCs w:val="22"/>
        </w:rPr>
        <w:t xml:space="preserve">Componentes de la solución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Componente</w:t>
            </w:r>
          </w:p>
        </w:tc>
        <w:tc>
          <w:tcPr>
            <w:tcW w:type="dxa" w:w="2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Tecnología</w:t>
            </w:r>
          </w:p>
        </w:tc>
        <w:tc>
          <w:tcPr>
            <w:tcW w:type="dxa" w:w="49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Responsabilidad</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Servicio backend</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17 y Spring Boot 3</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Dominio, reglas de negocio, persistencia, seguridad, aislamiento entre empresas y contrato REST.</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Módulo de plataforma</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y Spring Boot</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activación y suspensión de empresas, periodo de prueba y datos tributarios nacionales.</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Módulo de importación</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y Apache POI</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Lectura de listas de proveedores, validación, correspondencia de columnas y actualización de costos.</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Módulo de sincronización</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Java y Spring Boot</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Recepción de colas de operaciones, control de idempotencia y registro de descuadres de existencia.</w:t>
            </w:r>
          </w:p>
        </w:tc>
      </w:tr>
      <w:tr>
        <w:trPr>
          <w:cantSplit/>
        </w:trP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Front web</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sobre HTML, CSS y JavaScript</w:t>
            </w:r>
          </w:p>
        </w:tc>
        <w:tc>
          <w:tcPr>
            <w:tcW w:type="dxa" w:w="49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 administración de la empresa, catálogo, compras, precios, ventas y reportes.</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de escritorio</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Front web empaquetado, con SQLite</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Punto de pago del mostrador, con operación sin conexión y cola local.</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Aplicación móvil</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React Native, con IndexedDB</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Venta, lectura de códigos de barras y consulta de catálogo, con operación sin conexión.</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Base de datos</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MySQL 9.7 LTS</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Persistencia transaccional y vistas de consulta, con los datos de todas las empresas separados por llave.</w:t>
            </w:r>
          </w:p>
        </w:tc>
      </w:tr>
      <w:tr>
        <w:trPr>
          <w:cantSplit/>
        </w:trPr>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Integración de facturación</w:t>
            </w:r>
          </w:p>
        </w:tc>
        <w:tc>
          <w:tcPr>
            <w:tcW w:type="dxa" w:w="2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 HTTP hacia proveedor autorizado</w:t>
            </w:r>
          </w:p>
        </w:tc>
        <w:tc>
          <w:tcPr>
            <w:tcW w:type="dxa" w:w="49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Transmisión del documento electrónico y recepción del código único de validación.</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11.2 Capas del servicio backend</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Dentro del servicio backend se conserva la organización en capas de la fase previa, con la regla de dependencia dirigida hacia el dominio. La capa de presentación expone los controladores de la interfaz de programación de aplicaciones; la capa de lógica contiene las reglas de negocio y la coordinación de casos de uso; la capa de datos aísla el acceso al motor relacional; la capa de modelo alberga las entidades del dominio y no depende de ninguna otra. Los paquetes de utilidades, configuración y excepciones son transversales.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Esta disposición produce una consecuencia verificable: las pruebas de la lógica de negocio se ejecutan sin levantar un servidor web y sin instanciar una interfaz gráfica. Si el dominio dependiera del marco de trabajo o de la interfaz, probarlo exigiría desplegar el sistema completo.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11.3 Contrato de la interfaz de programación de aplicaciones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interfaz se documentará mediante la especificación OpenAPI, que constituye el contrato entre el backend y sus clientes. La especificación se mantiene versionada en el repositorio y se publica como interfaz interactiva de consulta. Cualquier cambio que rompa la compatibilidad exige incrementar la versión del recurso afectado, de modo que la aplicación móvil instalada en los dispositivos no deje de funcionar ante un despliegue del servicio.</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12. Diseño de Interfaz</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diseño de interfaz se resolvió a alta fidelidad para las trece pantallas del sistema. Este capítulo presenta los fundamentos visuales y los diseños resultantes; la especificación detallada de cada pantalla, con sus estados y restricciones, se desarrolla en documento independiente.</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12.1 Identidad visual</w:t>
      </w:r>
    </w:p>
    <w:p>
      <w:pPr>
        <w:spacing w:after="0" w:line="480"/>
        <w:ind w:firstLine="720"/>
        <w:jc w:val="both"/>
      </w:pPr>
      <w:r>
        <w:rPr>
          <w:rFonts w:ascii="Times New Roman" w:hAnsi="Times New Roman"/>
          <w:sz w:val="24"/>
        </w:rPr>
        <w:t>La paleta Aurora Mist aporta cinco referencias: #203959, #416772, #96ADA5, #ABB7B3 y #839492. La medición de contraste previa a su aplicación arrojó dos hallazgos que condicionan su uso. El primero es que solo las dos más oscuras superan la relación de 4,5 a 1 que exige el RNF-13 para texto sobre fondo blanco; las tres restantes quedan entre 2,07 y 3,17, por lo que se asignaron a fondos, contornos y texto sobre superficie oscura. El segundo es que las cinco ocupan un solo rango de tono, entre 159 y 214 grados, de modo que la paleta no puede expresar por sí sola los estados de existencia ni el cruce del umbral tributario. Se añadieron cuatro colores de estado, desaturados y oscuros para integrarse con el conjunto, todos verificados por encima del mínimo.</w:t>
      </w:r>
    </w:p>
    <w:p>
      <w:pPr>
        <w:spacing w:after="0" w:before="240" w:line="240"/>
      </w:pPr>
      <w:r>
        <w:rPr>
          <w:rFonts w:ascii="Times New Roman" w:hAnsi="Times New Roman"/>
          <w:sz w:val="24"/>
        </w:rPr>
        <w:t>Tabla 20</w:t>
      </w:r>
    </w:p>
    <w:p>
      <w:pPr>
        <w:spacing w:after="120" w:line="240"/>
      </w:pPr>
      <w:r>
        <w:rPr>
          <w:rFonts w:ascii="Times New Roman" w:cs="Times New Roman" w:eastAsia="Times New Roman" w:hAnsi="Times New Roman"/>
          <w:b w:val="false"/>
          <w:bCs w:val="false"/>
          <w:i/>
          <w:iCs/>
          <w:sz w:val="22"/>
          <w:szCs w:val="22"/>
        </w:rPr>
        <w:t xml:space="preserve">Paleta cromática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100"/>
        <w:gridCol w:w="32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Color</w:t>
            </w:r>
          </w:p>
        </w:tc>
        <w:tc>
          <w:tcPr>
            <w:tcW w:type="dxa" w:w="1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Código</w:t>
            </w:r>
          </w:p>
        </w:tc>
        <w:tc>
          <w:tcPr>
            <w:tcW w:type="dxa" w:w="3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Uso</w:t>
            </w:r>
          </w:p>
        </w:tc>
        <w:tc>
          <w:tcPr>
            <w:tcW w:type="dxa" w:w="32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Justificación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Azul profundo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#203959</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Barra lateral, cabeceras y marca</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Color base de la paleta Aurora Mist. Alcanza 11,73 a 1 sobre blanco, el contraste más alto del conjunto.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Azul pizarra</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#416772</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Texto secundario y etiquetas</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Única otra referencia de la paleta que supera el mínimo de 4,5 a 1 exigido para texto normal.</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Teal de acción</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#15707F</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Acción primaria, una sola por pantalla</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Derivado del azul pizarra elevando la saturación. Concentra el foco sin introducir un tono ajeno a la paleta.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Lienzo</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#F4F7F6</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Fondo de las áreas de trabajo</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Tinte de la salvia al diez por ciento. Separa el contenido de las superficies blancas.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Borde</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#D5DEDB</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Separadores y contorno de tarjetas</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Delimita mediante línea y no mediante sombra, que en interfaces densas acumula ruido.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Contorno de control</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#839492</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Contorno de campos de formulario</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Alcanza 3,17 a 1 sobre blanco, justo por encima del mínimo que exige el criterio 1.4.11 de WCAG para controles.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Verde</w:t>
            </w:r>
          </w:p>
        </w:tc>
        <w:tc>
          <w:tcPr>
            <w:tcW w:type="dxa" w:w="1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#15624A</w:t>
            </w:r>
          </w:p>
        </w:tc>
        <w:tc>
          <w:tcPr>
            <w:tcW w:type="dxa" w:w="3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Existencia sana, excluido de impuesto, carga aplicada</w:t>
            </w:r>
          </w:p>
        </w:tc>
        <w:tc>
          <w:tcPr>
            <w:tcW w:type="dxa" w:w="32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la paleta entregada no contiene colores de estado. Desaturado para convivir con ella.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Ámbar</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#8A5214</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Existencia crítica y cruce de umbral</w:t>
            </w:r>
          </w:p>
        </w:tc>
        <w:tc>
          <w:tcPr>
            <w:tcW w:type="dxa" w:w="32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Advierte sin el carácter terminal del rojo.</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Rojo</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#9C2F28</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Agotado, rechazo y error</w:t>
            </w:r>
          </w:p>
        </w:tc>
        <w:tc>
          <w:tcPr>
            <w:tcW w:type="dxa" w:w="32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Reservado a lo bloqueado; deja de ser color de marca.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Azul informativo</w:t>
            </w:r>
          </w:p>
        </w:tc>
        <w:tc>
          <w:tcPr>
            <w:tcW w:type="dxa" w:w="1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#2C5A78</w:t>
            </w:r>
          </w:p>
        </w:tc>
        <w:tc>
          <w:tcPr>
            <w:tcW w:type="dxa" w:w="3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Estado en curso</w:t>
            </w:r>
          </w:p>
        </w:tc>
        <w:tc>
          <w:tcPr>
            <w:tcW w:type="dxa" w:w="32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Añadido. Informa sin emitir juicio de valor sobre el resultado.</w:t>
            </w:r>
          </w:p>
        </w:tc>
      </w:tr>
    </w:tbl>
    <w:p>
      <w:pPr>
        <w:spacing w:after="240" w:before="120" w:line="240"/>
        <w:jc w:val="both"/>
      </w:pPr>
      <w:r>
        <w:rPr>
          <w:rFonts w:ascii="Times New Roman" w:hAnsi="Times New Roman"/>
          <w:sz w:val="24"/>
        </w:rPr>
        <w:t>Nota. Los colores de estado tienen significado fijo en todo el sistema y emplearlos con otro sentido rompe la convención. Además, los cuatro presentan luminosidad equivalente: convertidos a escala de grises caen entre #48 y #5C, veinte niveles sobre doscientos cincuenta y cinco. En impresión en blanco y negro, y para una persona con deficiencia en la percepción del color, resultan indistinguibles. De ahí una regla que el RNF-13 recoge: ninguna etiqueta de estado se representa solo con color; siempre lleva su texto, y es el texto el que comunica.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12.2 Tipografía y retícula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Se emplea una sola familia tipográfica, Inter, en cuatro pesos. El carácter del sistema proviene de la escala y de la jerarquía, no de la mezcla de fuentes. Las cifras usan numeración tabular para que las columnas de dinero alineen con independencia del valor, condición necesaria para comparar precios recorriendo la columna con la vista.</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etiquetas se escriben en oración y no en mayúsculas sostenidas: en una pantalla densa las mayúsculas se leen más despacio y compiten con los datos. La retícula de escritorio es de 1440 puntos con barra lateral fija de 240 y contenido sobre una malla de ocho. La de móvil es de 390 puntos, con área de toque mínima de 44 en todo control interactivo, conforme a las recomendaciones de accesibilidad táctil.</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12.3 Componente propio: el medidor de umbral tributario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sistema incorpora un componente diseñado específicamente para este dominio. La exclusión del impuesto opera por debajo de un tope expresado en unidades de valor tributario, y cruzarlo encarece el producto en diecinueve puntos de forma abrupta. El medidor sitúa el precio respecto de ese tope sobre una barra con la zona de exclusión en verde y la gravada en rojo, con un marcador en el valor actual.</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Aparece en la ficha de producto, en el registro y en la importación de precios. Resuelve de forma visual la pregunta que el usuario tendría que calcular a mano: de qué lado del umbral quedó la referencia. Es el único elemento inventado de la interfaz; el resto son patrones establecidos, y conviene que lo sean, porque en una herramienta de uso diario la originalidad en los controles se paga en confusión.</w:t>
      </w:r>
    </w:p>
    <w:p>
      <w:pPr>
        <w:pStyle w:val="Heading2"/>
        <w:spacing w:after="0" w:before="240" w:line="480"/>
        <w:jc w:val="left"/>
      </w:pPr>
      <w:r>
        <w:rPr>
          <w:rFonts w:ascii="Times New Roman" w:hAnsi="Times New Roman"/>
          <w:sz w:val="24"/>
        </w:rPr>
        <w:t>12.4 Pantalla de acceso</w:t>
      </w:r>
    </w:p>
    <w:p>
      <w:pPr>
        <w:spacing w:after="0" w:line="480"/>
        <w:ind w:firstLine="720"/>
        <w:jc w:val="both"/>
      </w:pPr>
      <w:r>
        <w:rPr>
          <w:rFonts w:ascii="Times New Roman" w:hAnsi="Times New Roman"/>
          <w:sz w:val="24"/>
        </w:rPr>
        <w:t>El acceso es la única pantalla que existe en las dos versiones de la aplicación, porque los cuatro roles la atraviesan. La versión de ordenador sitúa al usuario en el producto antes de pedirle credenciales. La versión móvil, dirigida a vendedores y clientes, concentra el formulario en una sola tarjeta y declara en la cabecera a quién atiende, de modo que un administrador que la abra entienda de inmediato que su acceso está en el ordenador.</w:t>
      </w:r>
    </w:p>
    <w:p>
      <w:pPr>
        <w:keepNext/>
        <w:spacing w:after="0" w:before="240" w:line="240"/>
      </w:pPr>
      <w:r>
        <w:rPr>
          <w:rFonts w:ascii="Times New Roman" w:hAnsi="Times New Roman"/>
          <w:sz w:val="20"/>
        </w:rPr>
        <w:t>Figura 23</w:t>
      </w:r>
    </w:p>
    <w:p>
      <w:pPr>
        <w:keepNext/>
        <w:spacing w:after="120" w:line="240"/>
      </w:pPr>
      <w:r>
        <w:rPr>
          <w:rFonts w:ascii="Times New Roman" w:hAnsi="Times New Roman"/>
          <w:sz w:val="20"/>
        </w:rPr>
        <w:t>Pantalla P-01: acceso, versión de ordenador</w:t>
      </w:r>
    </w:p>
    <w:p>
      <w:pPr>
        <w:keepNext/>
        <w:spacing w:after="120"/>
        <w:jc w:val="center"/>
      </w:pPr>
      <w:r>
        <w:drawing>
          <wp:inline distT="0" distB="0" distL="0" distR="0">
            <wp:extent cx="59436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00425"/>
                    </a:xfrm>
                    <a:prstGeom prst="rect">
                      <a:avLst/>
                    </a:prstGeom>
                  </pic:spPr>
                </pic:pic>
              </a:graphicData>
            </a:graphic>
          </wp:inline>
        </w:drawing>
      </w:r>
    </w:p>
    <w:p>
      <w:pPr>
        <w:spacing w:after="240" w:line="240"/>
        <w:jc w:val="both"/>
      </w:pPr>
      <w:r>
        <w:rPr>
          <w:rFonts w:ascii="Times New Roman" w:hAnsi="Times New Roman"/>
          <w:sz w:val="20"/>
        </w:rPr>
        <w:t>Nota. Versión de ordenador, disponible para los cuatro roles. El panel izquierdo sitúa al usuario en el producto antes de solicitar credenciales. Elaboración propia.</w:t>
      </w:r>
    </w:p>
    <w:p>
      <w:pPr>
        <w:keepNext/>
        <w:spacing w:after="0" w:before="240" w:line="240"/>
      </w:pPr>
      <w:r>
        <w:rPr>
          <w:rFonts w:ascii="Times New Roman" w:hAnsi="Times New Roman"/>
          <w:sz w:val="20"/>
        </w:rPr>
        <w:t>Figura 24</w:t>
      </w:r>
    </w:p>
    <w:p>
      <w:pPr>
        <w:keepNext/>
        <w:spacing w:after="0" w:before="240" w:line="240"/>
      </w:pPr>
      <w:r>
        <w:rPr>
          <w:rFonts w:ascii="Times New Roman" w:hAnsi="Times New Roman"/>
          <w:sz w:val="20"/>
        </w:rPr>
        <w:t>Pantalla P-01 móvil: acceso desde la aplicación</w:t>
      </w:r>
    </w:p>
    <w:p>
      <w:pPr>
        <w:jc w:val="both"/>
      </w:pPr>
      <w:r>
        <w:drawing>
          <wp:inline xmlns:a="http://schemas.openxmlformats.org/drawingml/2006/main" xmlns:pic="http://schemas.openxmlformats.org/drawingml/2006/picture">
            <wp:extent cx="3257550" cy="6406515"/>
            <wp:docPr id="2" name="Picture 2"/>
            <wp:cNvGraphicFramePr>
              <a:graphicFrameLocks noChangeAspect="1"/>
            </wp:cNvGraphicFramePr>
            <a:graphic>
              <a:graphicData uri="http://schemas.openxmlformats.org/drawingml/2006/picture">
                <pic:pic>
                  <pic:nvPicPr>
                    <pic:cNvPr id="0" name="P-01m.png"/>
                    <pic:cNvPicPr/>
                  </pic:nvPicPr>
                  <pic:blipFill>
                    <a:blip r:embed="rId46"/>
                    <a:stretch>
                      <a:fillRect/>
                    </a:stretch>
                  </pic:blipFill>
                  <pic:spPr>
                    <a:xfrm>
                      <a:off x="0" y="0"/>
                      <a:ext cx="3257550" cy="6406515"/>
                    </a:xfrm>
                    <a:prstGeom prst="rect"/>
                  </pic:spPr>
                </pic:pic>
              </a:graphicData>
            </a:graphic>
          </wp:inline>
        </w:drawing>
      </w:r>
    </w:p>
    <w:p>
      <w:pPr>
        <w:spacing w:after="240" w:line="240"/>
        <w:jc w:val="both"/>
      </w:pPr>
      <w:r>
        <w:rPr>
          <w:rFonts w:ascii="Times New Roman" w:hAnsi="Times New Roman"/>
          <w:sz w:val="20"/>
        </w:rPr>
        <w:t>Nota. Versión móvil, disponible solo para vendedor y cliente. El distintivo de la cabecera lo hace explícito. La aplicación no ofrece acceso a los roles de administración, que operan desde el ordenador.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12.5 Pantallas diseñadas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Las doce pantallas restantes se diseñaron a alta fidelidad con la paleta, la tipografía y los componentes descritos. Cada una resuelve el estado normal; los estados de error, carga y vacío se especifican en el documento de mock-ups y quedan pendientes de diseño.</w:t>
      </w:r>
    </w:p>
    <w:p>
      <w:pPr>
        <w:keepNext/>
        <w:spacing w:after="0" w:before="240" w:line="240"/>
      </w:pPr>
      <w:r>
        <w:rPr>
          <w:rFonts w:ascii="Times New Roman" w:cs="Times New Roman" w:eastAsia="Times New Roman" w:hAnsi="Times New Roman"/>
          <w:b/>
          <w:bCs/>
          <w:i w:val="false"/>
          <w:iCs w:val="false"/>
          <w:sz w:val="22"/>
          <w:szCs w:val="22"/>
        </w:rPr>
        <w:t xml:space="preserve">Figura 25</w:t>
      </w:r>
    </w:p>
    <w:p>
      <w:pPr>
        <w:keepNext/>
        <w:spacing w:after="120" w:line="240"/>
      </w:pPr>
      <w:r>
        <w:rPr>
          <w:rFonts w:ascii="Times New Roman" w:cs="Times New Roman" w:eastAsia="Times New Roman" w:hAnsi="Times New Roman"/>
          <w:b w:val="false"/>
          <w:bCs w:val="false"/>
          <w:i/>
          <w:iCs/>
          <w:sz w:val="22"/>
          <w:szCs w:val="22"/>
        </w:rPr>
        <w:t xml:space="preserve">Pantalla P-02: Panel de indicadores</w:t>
      </w:r>
    </w:p>
    <w:p>
      <w:pPr>
        <w:keepNext/>
        <w:spacing w:after="120"/>
        <w:jc w:val="center"/>
      </w:pPr>
      <w:r>
        <w:drawing>
          <wp:inline distT="0" distB="0" distL="0" distR="0">
            <wp:extent cx="5943600" cy="407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40767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Vista inicial del administrador. Reúne los indicadores de inventario, las existencias críticas, el resultado de la última carga de precios y el movimiento del período.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26</w:t>
      </w:r>
    </w:p>
    <w:p>
      <w:pPr>
        <w:keepNext/>
        <w:spacing w:after="120" w:line="240"/>
      </w:pPr>
      <w:r>
        <w:rPr>
          <w:rFonts w:ascii="Times New Roman" w:cs="Times New Roman" w:eastAsia="Times New Roman" w:hAnsi="Times New Roman"/>
          <w:b w:val="false"/>
          <w:bCs w:val="false"/>
          <w:i/>
          <w:iCs/>
          <w:sz w:val="22"/>
          <w:szCs w:val="22"/>
        </w:rPr>
        <w:t xml:space="preserve">Pantalla P-03: Catálogo de productos</w:t>
      </w:r>
    </w:p>
    <w:p>
      <w:pPr>
        <w:keepNext/>
        <w:spacing w:after="120"/>
        <w:jc w:val="center"/>
      </w:pPr>
      <w:r>
        <w:drawing>
          <wp:inline distT="0" distB="0" distL="0" distR="0">
            <wp:extent cx="59436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0956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precio se derivan del costo y de la regla de margen vigente: no existe campo editable de precio de venta en ninguna pantalla del sistema.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27</w:t>
      </w:r>
    </w:p>
    <w:p>
      <w:pPr>
        <w:keepNext/>
        <w:spacing w:after="120" w:line="240"/>
      </w:pPr>
      <w:r>
        <w:rPr>
          <w:rFonts w:ascii="Times New Roman" w:cs="Times New Roman" w:eastAsia="Times New Roman" w:hAnsi="Times New Roman"/>
          <w:b w:val="false"/>
          <w:bCs w:val="false"/>
          <w:i/>
          <w:iCs/>
          <w:sz w:val="22"/>
          <w:szCs w:val="22"/>
        </w:rPr>
        <w:t xml:space="preserve">Pantalla P-04: Ficha de producto</w:t>
      </w:r>
    </w:p>
    <w:p>
      <w:pPr>
        <w:keepNext/>
        <w:spacing w:after="120"/>
        <w:jc w:val="center"/>
      </w:pPr>
      <w:r>
        <w:drawing>
          <wp:inline distT="0" distB="0" distL="0" distR="0">
            <wp:extent cx="59436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105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panel derecho aplica el medidor de umbral tributario. La referencia supera las 50 UVT, de modo que causa impuesto y su precio final salta a 3.141.600 pesos.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28</w:t>
      </w:r>
    </w:p>
    <w:p>
      <w:pPr>
        <w:keepNext/>
        <w:spacing w:after="120" w:line="240"/>
      </w:pPr>
      <w:r>
        <w:rPr>
          <w:rFonts w:ascii="Times New Roman" w:cs="Times New Roman" w:eastAsia="Times New Roman" w:hAnsi="Times New Roman"/>
          <w:b w:val="false"/>
          <w:bCs w:val="false"/>
          <w:i/>
          <w:iCs/>
          <w:sz w:val="22"/>
          <w:szCs w:val="22"/>
        </w:rPr>
        <w:t xml:space="preserve">Pantalla P-05: Registro de producto</w:t>
      </w:r>
    </w:p>
    <w:p>
      <w:pPr>
        <w:keepNext/>
        <w:spacing w:after="120"/>
        <w:jc w:val="center"/>
      </w:pPr>
      <w:r>
        <w:drawing>
          <wp:inline distT="0" distB="0" distL="0" distR="0">
            <wp:extent cx="59436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10515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vista previa recalcula el precio y advierte que la referencia cruza el tope de exclusión antes de guardar, no después.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29</w:t>
      </w:r>
    </w:p>
    <w:p>
      <w:pPr>
        <w:keepNext/>
        <w:spacing w:after="120" w:line="240"/>
      </w:pPr>
      <w:r>
        <w:rPr>
          <w:rFonts w:ascii="Times New Roman" w:cs="Times New Roman" w:eastAsia="Times New Roman" w:hAnsi="Times New Roman"/>
          <w:b w:val="false"/>
          <w:bCs w:val="false"/>
          <w:i/>
          <w:iCs/>
          <w:sz w:val="22"/>
          <w:szCs w:val="22"/>
        </w:rPr>
        <w:t xml:space="preserve">Pantalla P-06: Gestión de proveedores</w:t>
      </w:r>
    </w:p>
    <w:p>
      <w:pPr>
        <w:keepNext/>
        <w:spacing w:after="120"/>
        <w:jc w:val="center"/>
      </w:pPr>
      <w:r>
        <w:drawing>
          <wp:inline distT="0" distB="0" distL="0" distR="0">
            <wp:extent cx="59436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3147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panel inferior expone la correspondencia de columnas, que es lo que permite absorber formatos heterogéneos sin programar un lector por proveedor.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30</w:t>
      </w:r>
    </w:p>
    <w:p>
      <w:pPr>
        <w:keepNext/>
        <w:spacing w:after="120" w:line="240"/>
      </w:pPr>
      <w:r>
        <w:rPr>
          <w:rFonts w:ascii="Times New Roman" w:cs="Times New Roman" w:eastAsia="Times New Roman" w:hAnsi="Times New Roman"/>
          <w:b w:val="false"/>
          <w:bCs w:val="false"/>
          <w:i/>
          <w:iCs/>
          <w:sz w:val="22"/>
          <w:szCs w:val="22"/>
        </w:rPr>
        <w:t xml:space="preserve">Pantalla P-07: Importación de lista de precios</w:t>
      </w:r>
    </w:p>
    <w:p>
      <w:pPr>
        <w:keepNext/>
        <w:spacing w:after="120"/>
        <w:jc w:val="center"/>
      </w:pPr>
      <w:r>
        <w:drawing>
          <wp:inline distT="0" distB="0" distL="0" distR="0">
            <wp:extent cx="5943600" cy="411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41148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leyenda de la vista previa advierte que el catálogo aún no cambia. Solo la aplicación aprobada lo modifica, y lo hace dentro de una transacción.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31</w:t>
      </w:r>
    </w:p>
    <w:p>
      <w:pPr>
        <w:keepNext/>
        <w:spacing w:after="120" w:line="240"/>
      </w:pPr>
      <w:r>
        <w:rPr>
          <w:rFonts w:ascii="Times New Roman" w:cs="Times New Roman" w:eastAsia="Times New Roman" w:hAnsi="Times New Roman"/>
          <w:b w:val="false"/>
          <w:bCs w:val="false"/>
          <w:i/>
          <w:iCs/>
          <w:sz w:val="22"/>
          <w:szCs w:val="22"/>
        </w:rPr>
        <w:t xml:space="preserve">Pantalla P-08: Configuración de reglas de margen</w:t>
      </w:r>
    </w:p>
    <w:p>
      <w:pPr>
        <w:keepNext/>
        <w:spacing w:after="120"/>
        <w:jc w:val="center"/>
      </w:pPr>
      <w:r>
        <w:drawing>
          <wp:inline distT="0" distB="0" distL="0" distR="0">
            <wp:extent cx="59436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5814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columna izquierda hace visible la precedencia entre reglas; la derecha simula el efecto sobre los precios antes de confirmar.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32</w:t>
      </w:r>
    </w:p>
    <w:p>
      <w:pPr>
        <w:keepNext/>
        <w:spacing w:after="120" w:line="240"/>
      </w:pPr>
      <w:r>
        <w:rPr>
          <w:rFonts w:ascii="Times New Roman" w:cs="Times New Roman" w:eastAsia="Times New Roman" w:hAnsi="Times New Roman"/>
          <w:b w:val="false"/>
          <w:bCs w:val="false"/>
          <w:i/>
          <w:iCs/>
          <w:sz w:val="22"/>
          <w:szCs w:val="22"/>
        </w:rPr>
        <w:t xml:space="preserve">Pantalla P-09: Generación de cotización</w:t>
      </w:r>
    </w:p>
    <w:p>
      <w:pPr>
        <w:keepNext/>
        <w:spacing w:after="120"/>
        <w:jc w:val="center"/>
      </w:pPr>
      <w:r>
        <w:drawing>
          <wp:inline distT="0" distB="0" distL="0" distR="0">
            <wp:extent cx="32575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257550" cy="64008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Canal móvil. Cada línea indica su tratamiento tributario, y el aviso confirma que el envío no se cobra porque el subtotal supera el umbral.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33</w:t>
      </w:r>
    </w:p>
    <w:p>
      <w:pPr>
        <w:keepNext/>
        <w:spacing w:after="120" w:line="240"/>
      </w:pPr>
      <w:r>
        <w:rPr>
          <w:rFonts w:ascii="Times New Roman" w:cs="Times New Roman" w:eastAsia="Times New Roman" w:hAnsi="Times New Roman"/>
          <w:b w:val="false"/>
          <w:bCs w:val="false"/>
          <w:i/>
          <w:iCs/>
          <w:sz w:val="22"/>
          <w:szCs w:val="22"/>
        </w:rPr>
        <w:t xml:space="preserve">Pantalla P-10: Lectura de código de barras</w:t>
      </w:r>
    </w:p>
    <w:p>
      <w:pPr>
        <w:keepNext/>
        <w:spacing w:after="120"/>
        <w:jc w:val="center"/>
      </w:pPr>
      <w:r>
        <w:drawing>
          <wp:inline distT="0" distB="0" distL="0" distR="0">
            <wp:extent cx="3257550" cy="640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257550" cy="6400800"/>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Canal móvil. El resultado incluye el tratamiento tributario de la referencia, que es el dato que el vendedor necesita antes de ofrecer un precio.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34</w:t>
      </w:r>
    </w:p>
    <w:p>
      <w:pPr>
        <w:keepNext/>
        <w:spacing w:after="120" w:line="240"/>
      </w:pPr>
      <w:r>
        <w:rPr>
          <w:rFonts w:ascii="Times New Roman" w:cs="Times New Roman" w:eastAsia="Times New Roman" w:hAnsi="Times New Roman"/>
          <w:b w:val="false"/>
          <w:bCs w:val="false"/>
          <w:i/>
          <w:iCs/>
          <w:sz w:val="22"/>
          <w:szCs w:val="22"/>
        </w:rPr>
        <w:t xml:space="preserve">Pantalla P-11: Ingresos y egresos</w:t>
      </w:r>
    </w:p>
    <w:p>
      <w:pPr>
        <w:keepNext/>
        <w:spacing w:after="120"/>
        <w:jc w:val="center"/>
      </w:pPr>
      <w:r>
        <w:drawing>
          <wp:inline distT="0" distB="0" distL="0" distR="0">
            <wp:extent cx="59436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20992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Las columnas de existencia anterior y posterior son la evidencia de trazabilidad: el saldo actual se reconstruye recorriendo la tabla.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35</w:t>
      </w:r>
    </w:p>
    <w:p>
      <w:pPr>
        <w:keepNext/>
        <w:spacing w:after="120" w:line="240"/>
      </w:pPr>
      <w:r>
        <w:rPr>
          <w:rFonts w:ascii="Times New Roman" w:cs="Times New Roman" w:eastAsia="Times New Roman" w:hAnsi="Times New Roman"/>
          <w:b w:val="false"/>
          <w:bCs w:val="false"/>
          <w:i/>
          <w:iCs/>
          <w:sz w:val="22"/>
          <w:szCs w:val="22"/>
        </w:rPr>
        <w:t xml:space="preserve">Pantalla P-12: Rotación de inventario</w:t>
      </w:r>
    </w:p>
    <w:p>
      <w:pPr>
        <w:keepNext/>
        <w:spacing w:after="120"/>
        <w:jc w:val="center"/>
      </w:pPr>
      <w:r>
        <w:drawing>
          <wp:inline distT="0" distB="0" distL="0" distR="0">
            <wp:extent cx="59436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2670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Ordenado por capital retenido. En una distribuidora de tecnología, donde el producto se deprecia rápido, es el reporte que evita pérdidas silenciosas. Elaboración propia.</w:t>
      </w:r>
    </w:p>
    <w:p>
      <w:pPr>
        <w:keepNext/>
        <w:spacing w:after="0" w:before="240" w:line="240"/>
      </w:pPr>
      <w:r>
        <w:rPr>
          <w:rFonts w:ascii="Times New Roman" w:cs="Times New Roman" w:eastAsia="Times New Roman" w:hAnsi="Times New Roman"/>
          <w:b/>
          <w:bCs/>
          <w:i w:val="false"/>
          <w:iCs w:val="false"/>
          <w:sz w:val="22"/>
          <w:szCs w:val="22"/>
        </w:rPr>
        <w:t xml:space="preserve">Figura 36</w:t>
      </w:r>
    </w:p>
    <w:p>
      <w:pPr>
        <w:keepNext/>
        <w:spacing w:after="120" w:line="240"/>
      </w:pPr>
      <w:r>
        <w:rPr>
          <w:rFonts w:ascii="Times New Roman" w:cs="Times New Roman" w:eastAsia="Times New Roman" w:hAnsi="Times New Roman"/>
          <w:b w:val="false"/>
          <w:bCs w:val="false"/>
          <w:i/>
          <w:iCs/>
          <w:sz w:val="22"/>
          <w:szCs w:val="22"/>
        </w:rPr>
        <w:t xml:space="preserve">Pantalla P-13: Emisión y consulta de facturas</w:t>
      </w:r>
    </w:p>
    <w:p>
      <w:pPr>
        <w:keepNext/>
        <w:spacing w:after="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762375"/>
                    </a:xfrm>
                    <a:prstGeom prst="rect">
                      <a:avLst/>
                    </a:prstGeom>
                  </pic:spPr>
                </pic:pic>
              </a:graphicData>
            </a:graphic>
          </wp:inline>
        </w:drawing>
      </w:r>
    </w:p>
    <w:p>
      <w:pPr>
        <w:spacing w:after="24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El aviso de rechazo indica el motivo y aclara que la venta permanece registrada, conforme a la decisión documentada en el ADR-0005.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12.6 Inventario de pantallas</w:t>
      </w:r>
    </w:p>
    <w:p>
      <w:pPr>
        <w:spacing w:after="0" w:before="240" w:line="240"/>
      </w:pPr>
      <w:r>
        <w:rPr>
          <w:rFonts w:ascii="Times New Roman" w:hAnsi="Times New Roman"/>
          <w:sz w:val="24"/>
        </w:rPr>
        <w:t>Tabla 21</w:t>
      </w:r>
    </w:p>
    <w:p>
      <w:pPr>
        <w:spacing w:after="120" w:line="240"/>
      </w:pPr>
      <w:r>
        <w:rPr>
          <w:rFonts w:ascii="Times New Roman" w:cs="Times New Roman" w:eastAsia="Times New Roman" w:hAnsi="Times New Roman"/>
          <w:b w:val="false"/>
          <w:bCs w:val="false"/>
          <w:i/>
          <w:iCs/>
          <w:sz w:val="22"/>
          <w:szCs w:val="22"/>
        </w:rPr>
        <w:t xml:space="preserve">Estado de las pantallas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000"/>
        <w:gridCol w:w="2000"/>
        <w:gridCol w:w="1660"/>
      </w:tblGrid>
      <w:tr>
        <w:trPr>
          <w:tblHeader/>
        </w:trPr>
        <w:tc>
          <w:tcPr>
            <w:tcW w:type="dxa" w:w="7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ID</w:t>
            </w:r>
          </w:p>
        </w:tc>
        <w:tc>
          <w:tcPr>
            <w:tcW w:type="dxa" w:w="3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Pantalla</w:t>
            </w:r>
          </w:p>
        </w:tc>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Canal</w:t>
            </w:r>
          </w:p>
        </w:tc>
        <w:tc>
          <w:tcPr>
            <w:tcW w:type="dxa" w:w="2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Usuario</w:t>
            </w:r>
          </w:p>
        </w:tc>
        <w:tc>
          <w:tcPr>
            <w:tcW w:type="dxa" w:w="16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Estado</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P-01</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Acceso</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escritorio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 en ambas versiones</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P-02</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Panel de indicadores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P-03</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 de productos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 los de la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P-04</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Ficha de producto</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Todos los de la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P-05</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Registro y edición de producto</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P-06</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Gestión de proveedores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P-07</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 de lista de precios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P-08</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Configuración de reglas de margen</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P-09</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Generación de cotización</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 y 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 en móvil</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P-10</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Lectura de código de barras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Móvil</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cliente</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P-11</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Ingresos y egresos</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P-12</w:t>
            </w:r>
          </w:p>
        </w:tc>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Reporte de rotación</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P-13</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Emisión y consulta de facturas</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Diseñada</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P-14</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Listado y estado de empresas</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P-15</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Alta y suscripción de empresa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P-16</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Datos tributarios nacionales</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Super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P-17</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Usuarios y permisos de la empresa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P-18</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Punto de pago</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Escritorio y móvil</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P-19</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Cierre de caja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Escritorio y móvil</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P-20</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 de compra y recepción</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Ordenador</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Administrador de empresa</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r>
        <w:trPr>
          <w:cantSplit/>
        </w:trPr>
        <w:tc>
          <w:tcPr>
            <w:tcW w:type="dxa" w:w="7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P-21</w:t>
            </w:r>
          </w:p>
        </w:tc>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Estado de sincronización y cola</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Escritorio y móvil</w:t>
            </w:r>
          </w:p>
        </w:tc>
        <w:tc>
          <w:tcPr>
            <w:tcW w:type="dxa" w:w="2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Vendedor, administrador</w:t>
            </w:r>
          </w:p>
        </w:tc>
        <w:tc>
          <w:tcPr>
            <w:tcW w:type="dxa" w:w="16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Por diseñar</w:t>
            </w:r>
          </w:p>
        </w:tc>
      </w:tr>
    </w:tbl>
    <w:p>
      <w:pPr>
        <w:spacing w:after="240" w:before="120" w:line="240"/>
        <w:jc w:val="both"/>
      </w:pPr>
      <w:r>
        <w:rPr>
          <w:rFonts w:ascii="Times New Roman" w:hAnsi="Times New Roman"/>
          <w:sz w:val="20"/>
        </w:rPr>
        <w:t>Nota. Diseñada indica que existe la propuesta de alta fidelidad del estado normal. El reparto de canales no es arbitrario: las funciones de configuración y de administración exigen pantallas densas, con tablas de muchas columnas y formularios largos, que un teléfono no presenta bien, de modo que el super administrador y el administrador operan solo desde el ordenador. El vendedor y el cliente disponen de ambos canales, porque su trabajo ocurre tanto en el escritorio como frente al producto. La lectura de códigos de barras es la única función exclusiva del móvil, por depender de la cámara del dispositivo. Elaboración propia.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13. Plan de Trabajo</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13.1 Planificación por iteraciones</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desarrollo se organiza en una iteración preparatoria y ocho sprints de dos semanas, para un total estimado de dieciocho semanas. Las fechas se determinarán al confirmarse el calendario académico; la secuencia y la duración relativa de las iteraciones se mantienen con independencia de la fecha de inicio.</w:t>
      </w:r>
    </w:p>
    <w:p>
      <w:pPr>
        <w:spacing w:after="0" w:before="240" w:line="240"/>
      </w:pPr>
      <w:r>
        <w:rPr>
          <w:rFonts w:ascii="Times New Roman" w:hAnsi="Times New Roman"/>
          <w:sz w:val="24"/>
        </w:rPr>
        <w:t>Tabla 22</w:t>
      </w:r>
    </w:p>
    <w:p>
      <w:pPr>
        <w:spacing w:after="120" w:line="240"/>
      </w:pPr>
      <w:r>
        <w:rPr>
          <w:rFonts w:ascii="Times New Roman" w:cs="Times New Roman" w:eastAsia="Times New Roman" w:hAnsi="Times New Roman"/>
          <w:b w:val="false"/>
          <w:bCs w:val="false"/>
          <w:i/>
          <w:iCs/>
          <w:sz w:val="22"/>
          <w:szCs w:val="22"/>
        </w:rPr>
        <w:t xml:space="preserve">Planificación de sprints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2560"/>
        <w:gridCol w:w="1500"/>
      </w:tblGrid>
      <w:tr>
        <w:trPr>
          <w:tblHeader/>
        </w:trPr>
        <w:tc>
          <w:tcPr>
            <w:tcW w:type="dxa" w:w="11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Sprint</w:t>
            </w:r>
          </w:p>
        </w:tc>
        <w:tc>
          <w:tcPr>
            <w:tcW w:type="dxa" w:w="42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Objetivo del incremento</w:t>
            </w:r>
          </w:p>
        </w:tc>
        <w:tc>
          <w:tcPr>
            <w:tcW w:type="dxa" w:w="2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Requisitos</w:t>
            </w:r>
          </w:p>
        </w:tc>
        <w:tc>
          <w:tcPr>
            <w:tcW w:type="dxa" w:w="15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sz w:val="20"/>
              </w:rPr>
              <w:t>Duración</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0</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Preparación del entorno, repositorio e integración continua</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1 semana</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1</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Modelo de datos multiempresa, entidad empresa y migraciones</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RF-01, RF-02</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2</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Autenticación, roles y aislamiento verificado entre empresas</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RF-07 a RF-09, RF-12</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3</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Plataforma: activación, suspensión y datos tributarios</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RF-03 a RF-06</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4</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Catálogo, categorías, proveedores y compras</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RF-13 a RF-23</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5</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Importación de listas y motor de precios</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RF-24 a RF-36</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3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6</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Punto de pago, medios de pago y cierre de caja</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RF-41, RF-43 a RF-45, RF-48, RF-49</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 semanas</w:t>
            </w:r>
          </w:p>
        </w:tc>
      </w:tr>
      <w:tr>
        <w:trPr>
          <w:cantSplit/>
        </w:trPr>
        <w:tc>
          <w:tcPr>
            <w:tcW w:type="dxa" w:w="11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7</w:t>
            </w:r>
          </w:p>
        </w:tc>
        <w:tc>
          <w:tcPr>
            <w:tcW w:type="dxa" w:w="42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Clientes de escritorio y móvil, con sincronización de catálogo</w:t>
            </w:r>
          </w:p>
        </w:tc>
        <w:tc>
          <w:tcPr>
            <w:tcW w:type="dxa" w:w="2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RF-16, RF-18, RF-51</w:t>
            </w:r>
          </w:p>
        </w:tc>
        <w:tc>
          <w:tcPr>
            <w:tcW w:type="dxa" w:w="15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2 semanas</w:t>
            </w:r>
          </w:p>
        </w:tc>
      </w:tr>
      <w:tr>
        <w:trPr>
          <w:cantSplit/>
        </w:trPr>
        <w:tc>
          <w:tcPr>
            <w:tcW w:type="dxa" w:w="1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8</w:t>
            </w:r>
          </w:p>
        </w:tc>
        <w:tc>
          <w:tcPr>
            <w:tcW w:type="dxa" w:w="4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Operación sin conexión y resolución de descuadres</w:t>
            </w:r>
          </w:p>
        </w:tc>
        <w:tc>
          <w:tcPr>
            <w:tcW w:type="dxa" w:w="2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RF-52 a RF-56</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3 semanas</w:t>
            </w:r>
          </w:p>
        </w:tc>
      </w:tr>
      <w:tr>
        <w:trPr>
          <w:cantSplit/>
        </w:trPr>
        <w:tc>
          <w:tcPr>
            <w:tcW w:type="dxa" w:w="11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Sprint 9</w:t>
            </w:r>
          </w:p>
        </w:tc>
        <w:tc>
          <w:tcPr>
            <w:tcW w:type="dxa" w:w="42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Cotización, reportes y facturación electrónica</w:t>
            </w:r>
          </w:p>
        </w:tc>
        <w:tc>
          <w:tcPr>
            <w:tcW w:type="dxa" w:w="2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RF-37 a RF-40, RF-46, RF-47, RF-57 a RF-60</w:t>
            </w:r>
          </w:p>
        </w:tc>
        <w:tc>
          <w:tcPr>
            <w:tcW w:type="dxa" w:w="15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3 semanas</w:t>
            </w:r>
          </w:p>
        </w:tc>
      </w:tr>
    </w:tbl>
    <w:p>
      <w:pPr>
        <w:spacing w:after="240" w:before="120" w:line="240"/>
        <w:jc w:val="both"/>
      </w:pPr>
      <w:r>
        <w:rPr>
          <w:rFonts w:ascii="Times New Roman" w:hAnsi="Times New Roman"/>
          <w:sz w:val="24"/>
        </w:rPr>
        <w:t>Nota. La importación desde servicio web de proveedor, requisito RF-29, se incorpora al Sprint 4 o al Sprint 5 según la disponibilidad de un proveedor que ofrezca esa interfaz.</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13.2 Recursos</w:t>
      </w:r>
    </w:p>
    <w:p>
      <w:pPr>
        <w:spacing w:after="0" w:before="240" w:line="240"/>
      </w:pPr>
      <w:r>
        <w:rPr>
          <w:rFonts w:ascii="Times New Roman" w:hAnsi="Times New Roman"/>
          <w:sz w:val="24"/>
        </w:rPr>
        <w:t>Tabla 23</w:t>
      </w:r>
    </w:p>
    <w:p>
      <w:pPr>
        <w:spacing w:after="120" w:line="240"/>
      </w:pPr>
      <w:r>
        <w:rPr>
          <w:rFonts w:ascii="Times New Roman" w:cs="Times New Roman" w:eastAsia="Times New Roman" w:hAnsi="Times New Roman"/>
          <w:b w:val="false"/>
          <w:bCs w:val="false"/>
          <w:i/>
          <w:iCs/>
          <w:sz w:val="22"/>
          <w:szCs w:val="22"/>
        </w:rPr>
        <w:t xml:space="preserve">Recursos requeridos por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160"/>
        <w:gridCol w:w="2800"/>
      </w:tblGrid>
      <w:tr>
        <w:trPr>
          <w:tblHeader/>
        </w:trPr>
        <w:tc>
          <w:tcPr>
            <w:tcW w:type="dxa" w:w="14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Tipo</w:t>
            </w:r>
          </w:p>
        </w:tc>
        <w:tc>
          <w:tcPr>
            <w:tcW w:type="dxa" w:w="51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Recurso</w:t>
            </w:r>
          </w:p>
        </w:tc>
        <w:tc>
          <w:tcPr>
            <w:tcW w:type="dxa" w:w="2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Disponibilidad</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Aprendiz en los roles de análisis, desarrollo y pruebas</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Instructora para revisión técnica y seguimiento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Humano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Personal de Black Steel Parts para validación funcional</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confirmar</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Equipo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Computador de desarrollo y dispositivo Android de prueba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Software</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Java Development Kit 17, entorno de desarrollo integrado y Android Studio</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 licencia libre o para estudiantes</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Software</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Motor MySQL 9.7 LTS y MySQL Workbench</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Instalado y verificado</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Repositorio remoto con integración continua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Disponible</w:t>
            </w:r>
          </w:p>
        </w:tc>
      </w:tr>
      <w:tr>
        <w:trPr>
          <w:cantSplit/>
        </w:trPr>
        <w:tc>
          <w:tcPr>
            <w:tcW w:type="dxa" w:w="14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Servicio</w:t>
            </w:r>
          </w:p>
        </w:tc>
        <w:tc>
          <w:tcPr>
            <w:tcW w:type="dxa" w:w="51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Cuenta de prueba con proveedor tecnológico de facturación electrónica</w:t>
            </w:r>
          </w:p>
        </w:tc>
        <w:tc>
          <w:tcPr>
            <w:tcW w:type="dxa" w:w="2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gestionar</w:t>
            </w:r>
          </w:p>
        </w:tc>
      </w:tr>
      <w:tr>
        <w:trPr>
          <w:cantSplit/>
        </w:trPr>
        <w:tc>
          <w:tcPr>
            <w:tcW w:type="dxa" w:w="14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Insumo</w:t>
            </w:r>
          </w:p>
        </w:tc>
        <w:tc>
          <w:tcPr>
            <w:tcW w:type="dxa" w:w="51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Listas de precios reales de al menos tres proveedores distintos</w:t>
            </w:r>
          </w:p>
        </w:tc>
        <w:tc>
          <w:tcPr>
            <w:tcW w:type="dxa" w:w="2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Por gestionar</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13.3 Riesgos</w:t>
      </w:r>
    </w:p>
    <w:p>
      <w:pPr>
        <w:spacing w:after="0" w:before="240" w:line="240"/>
      </w:pPr>
      <w:r>
        <w:rPr>
          <w:rFonts w:ascii="Times New Roman" w:hAnsi="Times New Roman"/>
          <w:sz w:val="24"/>
        </w:rPr>
        <w:t>Tabla 24</w:t>
      </w:r>
    </w:p>
    <w:p>
      <w:pPr>
        <w:spacing w:after="120" w:line="240"/>
      </w:pPr>
      <w:r>
        <w:rPr>
          <w:rFonts w:ascii="Times New Roman" w:cs="Times New Roman" w:eastAsia="Times New Roman" w:hAnsi="Times New Roman"/>
          <w:b w:val="false"/>
          <w:bCs w:val="false"/>
          <w:i/>
          <w:iCs/>
          <w:sz w:val="22"/>
          <w:szCs w:val="22"/>
        </w:rPr>
        <w:t xml:space="preserve">Identificación y tratamiento de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900"/>
        <w:gridCol w:w="4560"/>
      </w:tblGrid>
      <w:tr>
        <w:trPr>
          <w:tblHeader/>
        </w:trPr>
        <w:tc>
          <w:tcPr>
            <w:tcW w:type="dxa" w:w="3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Riesgo</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Prob.</w:t>
            </w:r>
          </w:p>
        </w:tc>
        <w:tc>
          <w:tcPr>
            <w:tcW w:type="dxa" w:w="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Impacto</w:t>
            </w:r>
          </w:p>
        </w:tc>
        <w:tc>
          <w:tcPr>
            <w:tcW w:type="dxa" w:w="4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Estrategia de mitigación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habilitación como facturador electrónico no se obtiene dentro del calendario del proyecto.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Desarrollar contra el entorno de pruebas del proveedor tecnológico y documentar la integración como verificada en ambiente de habilitación.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Las listas de precios de los proveedores presentan estructuras más heterogéneas de lo previsto.</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Diseñar la correspondencia de columnas como configuración por proveedor desde el primer incremento, en lugar de resolverla en código.</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concentración de todos los roles en una sola persona produce sesgo en la priorización.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Registrar por escrito el criterio de priorización de cada sprint y someterlo a revisión de la instructora.</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alcance resulta excesivo para el tiempo disponible.</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Declarar el producto mínimo viable como el conjunto de requisitos de prioridad alta y tratar los de prioridad media y baja como incrementos opcionales.</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empresa no dispone de personal para validar los incrementos.</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Definir un único interlocutor con disponibilidad acordada al inicio del proyecto.</w:t>
            </w:r>
          </w:p>
        </w:tc>
      </w:tr>
      <w:tr>
        <w:trPr>
          <w:cantSplit/>
        </w:trPr>
        <w:tc>
          <w:tcPr>
            <w:tcW w:type="dxa" w:w="3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La ausencia de pruebas sobre la capa de datos permite que errores de consulta lleguen a producción.</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Media</w:t>
            </w:r>
          </w:p>
        </w:tc>
        <w:tc>
          <w:tcPr>
            <w:tcW w:type="dxa" w:w="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Incorporar pruebas de integración con base de datos en contenedor desde el Sprint 1.</w:t>
            </w:r>
          </w:p>
        </w:tc>
      </w:tr>
      <w:tr>
        <w:trPr>
          <w:cantSplit/>
        </w:trPr>
        <w:tc>
          <w:tcPr>
            <w:tcW w:type="dxa" w:w="3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Pérdida de información por fallo del equipo de desarrollo.</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Baja</w:t>
            </w:r>
          </w:p>
        </w:tc>
        <w:tc>
          <w:tcPr>
            <w:tcW w:type="dxa" w:w="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Alto</w:t>
            </w:r>
          </w:p>
        </w:tc>
        <w:tc>
          <w:tcPr>
            <w:tcW w:type="dxa" w:w="4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Envío diario de cambios al repositorio remoto y respaldo del esquema de base de datos.</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riesgos se reevalúan al cierre de cada sprint durante la retrospectiva.</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14. Conclusiones de la Fase de Inicio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fase de inicio del proyecto permite establecer las siguientes conclusiones. Se enuncian como resultados de la planificación, no como logros de implementación, dado que el desarrollo no ha comenzado.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problema fue delimitado sobre una operación real con consecuencias cuantificables, lo que permite que los requisitos se contrasten contra restricciones concretas y no contra supuestos.</w:t>
      </w:r>
    </w:p>
    <w:p>
      <w:pPr>
        <w:pStyle w:val="ListParagraph"/>
        <w:numPr>
          <w:ilvl w:val="0"/>
          <w:numId w:val="4"/>
        </w:numPr>
        <w:spacing w:after="0" w:line="480"/>
        <w:jc w:val="both"/>
      </w:pPr>
      <w:r>
        <w:rPr>
          <w:rFonts w:ascii="Times New Roman" w:hAnsi="Times New Roman"/>
          <w:sz w:val="24"/>
        </w:rPr>
        <w:t>El alcance se reencuadró respecto de la fase previa. La aplicación de escritorio en Java Swing deja de ser el producto final y también deja de ser un módulo de la solución: su función la asume el front web en React. De la fase previa se conservan el dominio, las reglas de negocio y el esquema de base de datos.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trabajo de la fase anterior se conserva en su totalidad: el modelo de dominio, las reglas de negocio validadas, el esquema de base de datos normalizado y la suite de pruebas se reutilizan sin reescritura.</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especificaron treinta y siete requisitos funcionales y dieciséis no funcionales, todos con criterio de aceptación verificable, y se estableció su trazabilidad respecto de los objetivos específicos.</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detectaron y corrigieron inconsistencias entre la documentación técnica y la especificación de la fase previa, particularmente en el algoritmo de derivación de contraseñas y en los umbrales de existencia crítica.</w:t>
      </w:r>
    </w:p>
    <w:p>
      <w:pPr>
        <w:pStyle w:val="ListParagraph"/>
        <w:numPr>
          <w:ilvl w:val="0"/>
          <w:numId w:val="4"/>
        </w:numPr>
        <w:spacing w:after="0" w:line="480"/>
        <w:jc w:val="both"/>
      </w:pPr>
      <w:r>
        <w:rPr>
          <w:rFonts w:ascii="Times New Roman" w:hAnsi="Times New Roman"/>
          <w:sz w:val="24"/>
        </w:rPr>
        <w:t>El modelo de datos se amplía de cinco a treinta y cuatro entidades para soportar la operación multiempresa, los proveedores con varias referencias por producto, las órdenes de compra con recepción, la importación de listas de precios con vigencia, la cotización, la facturación electrónica y la cola de sincronización.</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El módulo de importación de listas de precios se identifica como el componente de mayor valor técnico y como el diferenciador del proyecto frente a soluciones convencionales de inventario.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Las reglas comerciales y tributarias quedaron especificadas como parámetros con fecha de vigencia. El cálculo del impuesto no admite una tarifa única: depende de la categoría del producto y de su precio frente a umbrales expresados en unidades de valor tributario, que la autoridad tributaria actualiza cada año.</w:t>
      </w:r>
    </w:p>
    <w:p>
      <w:pPr>
        <w:pStyle w:val="ListParagraph"/>
        <w:numPr>
          <w:ilvl w:val="0"/>
          <w:numId w:val="4"/>
        </w:numPr>
        <w:spacing w:after="0" w:line="480"/>
        <w:jc w:val="both"/>
      </w:pPr>
      <w:r>
        <w:rPr>
          <w:rFonts w:ascii="Times New Roman" w:cs="Times New Roman" w:eastAsia="Times New Roman" w:hAnsi="Times New Roman"/>
          <w:b w:val="false"/>
          <w:bCs w:val="false"/>
          <w:i w:val="false"/>
          <w:iCs w:val="false"/>
          <w:sz w:val="24"/>
          <w:szCs w:val="24"/>
        </w:rPr>
        <w:t xml:space="preserve">Se identificaron siete riesgos con su estrategia de mitigación, siendo el más crítico la dependencia respecto de un trámite de habilitación tributaria externo al control del proyecto.</w:t>
      </w:r>
    </w:p>
    <w:p>
      <w:pPr>
        <w:spacing w:line="480"/>
      </w:pPr>
      <w:r>
        <w:rPr>
          <w:rFonts w:ascii="Times New Roman" w:cs="Times New Roman" w:eastAsia="Times New Roman" w:hAnsi="Times New Roman"/>
          <w:b w:val="false"/>
          <w:bCs w:val="false"/>
          <w:i w:val="false"/>
          <w:iCs w:val="false"/>
          <w:sz w:val="24"/>
          <w:szCs w:val="24"/>
        </w:rPr>
        <w:t xml:space="preserve"/>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El siguiente paso corresponde a la ejecución del Sprint 0, orientado a la preparación del entorno de desarrollo y a la construcción del backlog detallado a partir de los requisitos aquí especificados.</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Referencias</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Booch, G., Rumbaugh, J., y Jacobson, I. (2005). </w:t>
      </w:r>
      <w:r>
        <w:rPr>
          <w:rFonts w:ascii="Times New Roman" w:cs="Times New Roman" w:eastAsia="Times New Roman" w:hAnsi="Times New Roman"/>
          <w:b w:val="false"/>
          <w:bCs w:val="false"/>
          <w:i/>
          <w:iCs/>
          <w:sz w:val="24"/>
          <w:szCs w:val="24"/>
        </w:rPr>
        <w:t xml:space="preserve">The unified modeling language user guide </w:t>
      </w:r>
      <w:r>
        <w:rPr>
          <w:rFonts w:ascii="Times New Roman" w:cs="Times New Roman" w:eastAsia="Times New Roman" w:hAnsi="Times New Roman"/>
          <w:b w:val="false"/>
          <w:bCs w:val="false"/>
          <w:i w:val="false"/>
          <w:iCs w:val="false"/>
          <w:sz w:val="24"/>
          <w:szCs w:val="24"/>
        </w:rPr>
        <w:t xml:space="preserve">(2.ª ed.). Addison-Wesley Professional.</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(1982, 28 de enero). </w:t>
      </w:r>
      <w:r>
        <w:rPr>
          <w:rFonts w:ascii="Times New Roman" w:cs="Times New Roman" w:eastAsia="Times New Roman" w:hAnsi="Times New Roman"/>
          <w:b w:val="false"/>
          <w:bCs w:val="false"/>
          <w:i/>
          <w:iCs/>
          <w:sz w:val="24"/>
          <w:szCs w:val="24"/>
        </w:rPr>
        <w:t xml:space="preserve">Ley 23 de 1982. Sobre derechos de autor. </w:t>
      </w:r>
      <w:r>
        <w:rPr>
          <w:rFonts w:ascii="Times New Roman" w:cs="Times New Roman" w:eastAsia="Times New Roman" w:hAnsi="Times New Roman"/>
          <w:b w:val="false"/>
          <w:bCs w:val="false"/>
          <w:i w:val="false"/>
          <w:iCs w:val="false"/>
          <w:sz w:val="24"/>
          <w:szCs w:val="24"/>
        </w:rPr>
        <w:t xml:space="preserve">Diario Oficial No. 35.949.</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(1999, 18 de agosto). </w:t>
      </w:r>
      <w:r>
        <w:rPr>
          <w:rFonts w:ascii="Times New Roman" w:cs="Times New Roman" w:eastAsia="Times New Roman" w:hAnsi="Times New Roman"/>
          <w:b w:val="false"/>
          <w:bCs w:val="false"/>
          <w:i/>
          <w:iCs/>
          <w:sz w:val="24"/>
          <w:szCs w:val="24"/>
        </w:rPr>
        <w:t xml:space="preserve">Ley 527 de 1999. Por medio de la cual se define y reglamenta el acceso y uso de los mensajes de datos, del comercio electrónico y de las firmas digitales. </w:t>
      </w:r>
      <w:r>
        <w:rPr>
          <w:rFonts w:ascii="Times New Roman" w:cs="Times New Roman" w:eastAsia="Times New Roman" w:hAnsi="Times New Roman"/>
          <w:b w:val="false"/>
          <w:bCs w:val="false"/>
          <w:i w:val="false"/>
          <w:iCs w:val="false"/>
          <w:sz w:val="24"/>
          <w:szCs w:val="24"/>
        </w:rPr>
        <w:t xml:space="preserve">Diario Oficial No. 43.673.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(2009, 5 de enero). </w:t>
      </w:r>
      <w:r>
        <w:rPr>
          <w:rFonts w:ascii="Times New Roman" w:cs="Times New Roman" w:eastAsia="Times New Roman" w:hAnsi="Times New Roman"/>
          <w:b w:val="false"/>
          <w:bCs w:val="false"/>
          <w:i/>
          <w:iCs/>
          <w:sz w:val="24"/>
          <w:szCs w:val="24"/>
        </w:rPr>
        <w:t xml:space="preserve">Ley 1273 de 2009. Por medio de la cual se modifica el Código Penal y se crea un nuevo bien jurídico tutelado denominado de la protección de la información y de los datos. </w:t>
      </w:r>
      <w:r>
        <w:rPr>
          <w:rFonts w:ascii="Times New Roman" w:cs="Times New Roman" w:eastAsia="Times New Roman" w:hAnsi="Times New Roman"/>
          <w:b w:val="false"/>
          <w:bCs w:val="false"/>
          <w:i w:val="false"/>
          <w:iCs w:val="false"/>
          <w:sz w:val="24"/>
          <w:szCs w:val="24"/>
        </w:rPr>
        <w:t xml:space="preserve">Diario Oficial No. 47.223.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(2011, 12 de octubre). </w:t>
      </w:r>
      <w:r>
        <w:rPr>
          <w:rFonts w:ascii="Times New Roman" w:cs="Times New Roman" w:eastAsia="Times New Roman" w:hAnsi="Times New Roman"/>
          <w:b w:val="false"/>
          <w:bCs w:val="false"/>
          <w:i/>
          <w:iCs/>
          <w:sz w:val="24"/>
          <w:szCs w:val="24"/>
        </w:rPr>
        <w:t xml:space="preserve">Ley 1480 de 2011. Por medio de la cual se expide el Estatuto del Consumidor. </w:t>
      </w:r>
      <w:r>
        <w:rPr>
          <w:rFonts w:ascii="Times New Roman" w:cs="Times New Roman" w:eastAsia="Times New Roman" w:hAnsi="Times New Roman"/>
          <w:b w:val="false"/>
          <w:bCs w:val="false"/>
          <w:i w:val="false"/>
          <w:iCs w:val="false"/>
          <w:sz w:val="24"/>
          <w:szCs w:val="24"/>
        </w:rPr>
        <w:t xml:space="preserve">Diario Oficial No. 48.220.</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Congreso de la República de Colombia. (2012, 17 de octubre). </w:t>
      </w:r>
      <w:r>
        <w:rPr>
          <w:rFonts w:ascii="Times New Roman" w:cs="Times New Roman" w:eastAsia="Times New Roman" w:hAnsi="Times New Roman"/>
          <w:b w:val="false"/>
          <w:bCs w:val="false"/>
          <w:i/>
          <w:iCs/>
          <w:sz w:val="24"/>
          <w:szCs w:val="24"/>
        </w:rPr>
        <w:t xml:space="preserve">Ley 1581 de 2012. Por la cual se dictan disposiciones generales para la protección de datos personales. </w:t>
      </w:r>
      <w:r>
        <w:rPr>
          <w:rFonts w:ascii="Times New Roman" w:cs="Times New Roman" w:eastAsia="Times New Roman" w:hAnsi="Times New Roman"/>
          <w:b w:val="false"/>
          <w:bCs w:val="false"/>
          <w:i w:val="false"/>
          <w:iCs w:val="false"/>
          <w:sz w:val="24"/>
          <w:szCs w:val="24"/>
        </w:rPr>
        <w:t xml:space="preserve">Diario Oficial No. 48.587.</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Dirección de Impuestos y Aduanas Nacionales. (2023). </w:t>
      </w:r>
      <w:r>
        <w:rPr>
          <w:rFonts w:ascii="Times New Roman" w:cs="Times New Roman" w:eastAsia="Times New Roman" w:hAnsi="Times New Roman"/>
          <w:b w:val="false"/>
          <w:bCs w:val="false"/>
          <w:i/>
          <w:iCs/>
          <w:sz w:val="24"/>
          <w:szCs w:val="24"/>
        </w:rPr>
        <w:t xml:space="preserve">Resolución 000165 de 2023. Por la cual se desarrolla el sistema de facturación electrónica. </w:t>
      </w:r>
      <w:r>
        <w:rPr>
          <w:rFonts w:ascii="Times New Roman" w:cs="Times New Roman" w:eastAsia="Times New Roman" w:hAnsi="Times New Roman"/>
          <w:b w:val="false"/>
          <w:bCs w:val="false"/>
          <w:i w:val="false"/>
          <w:iCs w:val="false"/>
          <w:sz w:val="24"/>
          <w:szCs w:val="24"/>
        </w:rPr>
        <w:t xml:space="preserve">DIAN.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Fowler, M. (2002). </w:t>
      </w:r>
      <w:r>
        <w:rPr>
          <w:rFonts w:ascii="Times New Roman" w:cs="Times New Roman" w:eastAsia="Times New Roman" w:hAnsi="Times New Roman"/>
          <w:b w:val="false"/>
          <w:bCs w:val="false"/>
          <w:i/>
          <w:iCs/>
          <w:sz w:val="24"/>
          <w:szCs w:val="24"/>
        </w:rPr>
        <w:t xml:space="preserve">Patterns of enterprise application architecture. </w:t>
      </w:r>
      <w:r>
        <w:rPr>
          <w:rFonts w:ascii="Times New Roman" w:cs="Times New Roman" w:eastAsia="Times New Roman" w:hAnsi="Times New Roman"/>
          <w:b w:val="false"/>
          <w:bCs w:val="false"/>
          <w:i w:val="false"/>
          <w:iCs w:val="false"/>
          <w:sz w:val="24"/>
          <w:szCs w:val="24"/>
        </w:rPr>
        <w:t xml:space="preserve">Addison-Wesley.</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Google. (2024). </w:t>
      </w:r>
      <w:r>
        <w:rPr>
          <w:rFonts w:ascii="Times New Roman" w:cs="Times New Roman" w:eastAsia="Times New Roman" w:hAnsi="Times New Roman"/>
          <w:b w:val="false"/>
          <w:bCs w:val="false"/>
          <w:i/>
          <w:iCs/>
          <w:sz w:val="24"/>
          <w:szCs w:val="24"/>
        </w:rPr>
        <w:t xml:space="preserve">Android developers documentation. </w:t>
      </w:r>
      <w:r>
        <w:rPr>
          <w:rFonts w:ascii="Times New Roman" w:cs="Times New Roman" w:eastAsia="Times New Roman" w:hAnsi="Times New Roman"/>
          <w:b w:val="false"/>
          <w:bCs w:val="false"/>
          <w:i w:val="false"/>
          <w:iCs w:val="false"/>
          <w:sz w:val="24"/>
          <w:szCs w:val="24"/>
        </w:rPr>
        <w:t xml:space="preserve">https://developer.android.com</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Martin, R. C. (2017). </w:t>
      </w:r>
      <w:r>
        <w:rPr>
          <w:rFonts w:ascii="Times New Roman" w:cs="Times New Roman" w:eastAsia="Times New Roman" w:hAnsi="Times New Roman"/>
          <w:b w:val="false"/>
          <w:bCs w:val="false"/>
          <w:i/>
          <w:iCs/>
          <w:sz w:val="24"/>
          <w:szCs w:val="24"/>
        </w:rPr>
        <w:t xml:space="preserve">Clean architecture: A craftsman’s guide to software structure and design. </w:t>
      </w:r>
      <w:r>
        <w:rPr>
          <w:rFonts w:ascii="Times New Roman" w:cs="Times New Roman" w:eastAsia="Times New Roman" w:hAnsi="Times New Roman"/>
          <w:b w:val="false"/>
          <w:bCs w:val="false"/>
          <w:i w:val="false"/>
          <w:iCs w:val="false"/>
          <w:sz w:val="24"/>
          <w:szCs w:val="24"/>
        </w:rPr>
        <w:t xml:space="preserve">Prentice Hall.</w:t>
      </w:r>
    </w:p>
    <w:p>
      <w:pPr>
        <w:spacing w:after="0" w:line="480"/>
        <w:ind w:left="720" w:hanging="720"/>
        <w:jc w:val="left"/>
      </w:pPr>
      <w:r>
        <w:rPr>
          <w:rFonts w:ascii="Times New Roman" w:hAnsi="Times New Roman"/>
          <w:sz w:val="24"/>
        </w:rPr>
        <w:t>Meta Platforms. (2024). React documentation. https://react.dev</w:t>
      </w:r>
    </w:p>
    <w:p>
      <w:pPr>
        <w:spacing w:after="0" w:line="480"/>
        <w:ind w:left="720" w:hanging="720"/>
        <w:jc w:val="left"/>
      </w:pPr>
      <w:r>
        <w:rPr>
          <w:rFonts w:ascii="Times New Roman" w:hAnsi="Times New Roman"/>
          <w:sz w:val="24"/>
        </w:rPr>
        <w:t>Meta Platforms. (2024). React Native documentation. https://reactnative.dev</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Object Management Group. (2017). </w:t>
      </w:r>
      <w:r>
        <w:rPr>
          <w:rFonts w:ascii="Times New Roman" w:cs="Times New Roman" w:eastAsia="Times New Roman" w:hAnsi="Times New Roman"/>
          <w:b w:val="false"/>
          <w:bCs w:val="false"/>
          <w:i/>
          <w:iCs/>
          <w:sz w:val="24"/>
          <w:szCs w:val="24"/>
        </w:rPr>
        <w:t xml:space="preserve">OMG unified modeling language specification version 2.5.1. </w:t>
      </w:r>
      <w:r>
        <w:rPr>
          <w:rFonts w:ascii="Times New Roman" w:cs="Times New Roman" w:eastAsia="Times New Roman" w:hAnsi="Times New Roman"/>
          <w:b w:val="false"/>
          <w:bCs w:val="false"/>
          <w:i w:val="false"/>
          <w:iCs w:val="false"/>
          <w:sz w:val="24"/>
          <w:szCs w:val="24"/>
        </w:rPr>
        <w:t xml:space="preserve">https://www.omg.org/spec/UML/2.5.1</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Open Worldwide Application Security Project. (2021). </w:t>
      </w:r>
      <w:r>
        <w:rPr>
          <w:rFonts w:ascii="Times New Roman" w:cs="Times New Roman" w:eastAsia="Times New Roman" w:hAnsi="Times New Roman"/>
          <w:b w:val="false"/>
          <w:bCs w:val="false"/>
          <w:i/>
          <w:iCs/>
          <w:sz w:val="24"/>
          <w:szCs w:val="24"/>
        </w:rPr>
        <w:t xml:space="preserve">OWASP top ten. </w:t>
      </w:r>
      <w:r>
        <w:rPr>
          <w:rFonts w:ascii="Times New Roman" w:cs="Times New Roman" w:eastAsia="Times New Roman" w:hAnsi="Times New Roman"/>
          <w:b w:val="false"/>
          <w:bCs w:val="false"/>
          <w:i w:val="false"/>
          <w:iCs w:val="false"/>
          <w:sz w:val="24"/>
          <w:szCs w:val="24"/>
        </w:rPr>
        <w:t xml:space="preserve">https://owasp.org/www-project-top-ten/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Oracle Corporation. (2023). </w:t>
      </w:r>
      <w:r>
        <w:rPr>
          <w:rFonts w:ascii="Times New Roman" w:cs="Times New Roman" w:eastAsia="Times New Roman" w:hAnsi="Times New Roman"/>
          <w:b w:val="false"/>
          <w:bCs w:val="false"/>
          <w:i/>
          <w:iCs/>
          <w:sz w:val="24"/>
          <w:szCs w:val="24"/>
        </w:rPr>
        <w:t xml:space="preserve">Java SE 17 documentation. </w:t>
      </w:r>
      <w:r>
        <w:rPr>
          <w:rFonts w:ascii="Times New Roman" w:cs="Times New Roman" w:eastAsia="Times New Roman" w:hAnsi="Times New Roman"/>
          <w:b w:val="false"/>
          <w:bCs w:val="false"/>
          <w:i w:val="false"/>
          <w:iCs w:val="false"/>
          <w:sz w:val="24"/>
          <w:szCs w:val="24"/>
        </w:rPr>
        <w:t xml:space="preserve">https://docs.oracle.com/en/java/javase/17/</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Presidencia de la República de Colombia. (2015, 26 de mayo). </w:t>
      </w:r>
      <w:r>
        <w:rPr>
          <w:rFonts w:ascii="Times New Roman" w:cs="Times New Roman" w:eastAsia="Times New Roman" w:hAnsi="Times New Roman"/>
          <w:b w:val="false"/>
          <w:bCs w:val="false"/>
          <w:i/>
          <w:iCs/>
          <w:sz w:val="24"/>
          <w:szCs w:val="24"/>
        </w:rPr>
        <w:t xml:space="preserve">Decreto 1074 de 2015. Decreto Único Reglamentario del Sector Comercio, Industria y Turismo. </w:t>
      </w:r>
      <w:r>
        <w:rPr>
          <w:rFonts w:ascii="Times New Roman" w:cs="Times New Roman" w:eastAsia="Times New Roman" w:hAnsi="Times New Roman"/>
          <w:b w:val="false"/>
          <w:bCs w:val="false"/>
          <w:i w:val="false"/>
          <w:iCs w:val="false"/>
          <w:sz w:val="24"/>
          <w:szCs w:val="24"/>
        </w:rPr>
        <w:t xml:space="preserve">Diario Oficial No. 49.523.</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Pressman, R. S., y Maxim, B. R. (2021). </w:t>
      </w:r>
      <w:r>
        <w:rPr>
          <w:rFonts w:ascii="Times New Roman" w:cs="Times New Roman" w:eastAsia="Times New Roman" w:hAnsi="Times New Roman"/>
          <w:b w:val="false"/>
          <w:bCs w:val="false"/>
          <w:i/>
          <w:iCs/>
          <w:sz w:val="24"/>
          <w:szCs w:val="24"/>
        </w:rPr>
        <w:t xml:space="preserve">Ingeniería del software: Un enfoque práctico </w:t>
      </w:r>
      <w:r>
        <w:rPr>
          <w:rFonts w:ascii="Times New Roman" w:cs="Times New Roman" w:eastAsia="Times New Roman" w:hAnsi="Times New Roman"/>
          <w:b w:val="false"/>
          <w:bCs w:val="false"/>
          <w:i w:val="false"/>
          <w:iCs w:val="false"/>
          <w:sz w:val="24"/>
          <w:szCs w:val="24"/>
        </w:rPr>
        <w:t xml:space="preserve">(9.ª ed.). McGraw-Hill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Schwaber, K., y Sutherland, J. (2020). </w:t>
      </w:r>
      <w:r>
        <w:rPr>
          <w:rFonts w:ascii="Times New Roman" w:cs="Times New Roman" w:eastAsia="Times New Roman" w:hAnsi="Times New Roman"/>
          <w:b w:val="false"/>
          <w:bCs w:val="false"/>
          <w:i/>
          <w:iCs/>
          <w:sz w:val="24"/>
          <w:szCs w:val="24"/>
        </w:rPr>
        <w:t xml:space="preserve">La guía de Scrum: Las reglas del juego. </w:t>
      </w:r>
      <w:r>
        <w:rPr>
          <w:rFonts w:ascii="Times New Roman" w:cs="Times New Roman" w:eastAsia="Times New Roman" w:hAnsi="Times New Roman"/>
          <w:b w:val="false"/>
          <w:bCs w:val="false"/>
          <w:i w:val="false"/>
          <w:iCs w:val="false"/>
          <w:sz w:val="24"/>
          <w:szCs w:val="24"/>
        </w:rPr>
        <w:t xml:space="preserve">Scrum.org. https://scrumguides.org</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Silberschatz, A., Korth, H. F., y Sudarshan, S. (2019). </w:t>
      </w:r>
      <w:r>
        <w:rPr>
          <w:rFonts w:ascii="Times New Roman" w:cs="Times New Roman" w:eastAsia="Times New Roman" w:hAnsi="Times New Roman"/>
          <w:b w:val="false"/>
          <w:bCs w:val="false"/>
          <w:i/>
          <w:iCs/>
          <w:sz w:val="24"/>
          <w:szCs w:val="24"/>
        </w:rPr>
        <w:t xml:space="preserve">Database system concepts </w:t>
      </w:r>
      <w:r>
        <w:rPr>
          <w:rFonts w:ascii="Times New Roman" w:cs="Times New Roman" w:eastAsia="Times New Roman" w:hAnsi="Times New Roman"/>
          <w:b w:val="false"/>
          <w:bCs w:val="false"/>
          <w:i w:val="false"/>
          <w:iCs w:val="false"/>
          <w:sz w:val="24"/>
          <w:szCs w:val="24"/>
        </w:rPr>
        <w:t xml:space="preserve">(7.ª ed.). McGraw-Hill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Sommerville, I. (2016). </w:t>
      </w:r>
      <w:r>
        <w:rPr>
          <w:rFonts w:ascii="Times New Roman" w:cs="Times New Roman" w:eastAsia="Times New Roman" w:hAnsi="Times New Roman"/>
          <w:b w:val="false"/>
          <w:bCs w:val="false"/>
          <w:i/>
          <w:iCs/>
          <w:sz w:val="24"/>
          <w:szCs w:val="24"/>
        </w:rPr>
        <w:t xml:space="preserve">Software engineering </w:t>
      </w:r>
      <w:r>
        <w:rPr>
          <w:rFonts w:ascii="Times New Roman" w:cs="Times New Roman" w:eastAsia="Times New Roman" w:hAnsi="Times New Roman"/>
          <w:b w:val="false"/>
          <w:bCs w:val="false"/>
          <w:i w:val="false"/>
          <w:iCs w:val="false"/>
          <w:sz w:val="24"/>
          <w:szCs w:val="24"/>
        </w:rPr>
        <w:t xml:space="preserve">(10.ª ed.). Pearson Education.</w:t>
      </w:r>
    </w:p>
    <w:p>
      <w:pPr>
        <w:spacing w:after="0" w:line="480"/>
        <w:ind w:left="720" w:hanging="720"/>
        <w:jc w:val="left"/>
      </w:pPr>
      <w:r>
        <w:rPr>
          <w:rFonts w:ascii="Times New Roman" w:cs="Times New Roman" w:eastAsia="Times New Roman" w:hAnsi="Times New Roman"/>
          <w:b w:val="false"/>
          <w:bCs w:val="false"/>
          <w:i w:val="false"/>
          <w:iCs w:val="false"/>
          <w:sz w:val="24"/>
          <w:szCs w:val="24"/>
        </w:rPr>
        <w:t xml:space="preserve">World Wide Web Consortium. (2018). </w:t>
      </w:r>
      <w:r>
        <w:rPr>
          <w:rFonts w:ascii="Times New Roman" w:cs="Times New Roman" w:eastAsia="Times New Roman" w:hAnsi="Times New Roman"/>
          <w:b w:val="false"/>
          <w:bCs w:val="false"/>
          <w:i/>
          <w:iCs/>
          <w:sz w:val="24"/>
          <w:szCs w:val="24"/>
        </w:rPr>
        <w:t xml:space="preserve">Web content accessibility guidelines (WCAG) 2.1. </w:t>
      </w:r>
      <w:r>
        <w:rPr>
          <w:rFonts w:ascii="Times New Roman" w:cs="Times New Roman" w:eastAsia="Times New Roman" w:hAnsi="Times New Roman"/>
          <w:b w:val="false"/>
          <w:bCs w:val="false"/>
          <w:i w:val="false"/>
          <w:iCs w:val="false"/>
          <w:sz w:val="24"/>
          <w:szCs w:val="24"/>
        </w:rPr>
        <w:t xml:space="preserve">https://www.w3.org/TR/WCAG21/</w:t>
      </w:r>
    </w:p>
    <w:p>
      <w:pPr>
        <w:pStyle w:val="Heading1"/>
        <w:pageBreakBefore/>
        <w:spacing w:after="0" w:before="240" w:line="480"/>
        <w:jc w:val="center"/>
      </w:pPr>
      <w:r>
        <w:rPr>
          <w:rFonts w:ascii="Times New Roman" w:cs="Times New Roman" w:eastAsia="Times New Roman" w:hAnsi="Times New Roman"/>
          <w:b/>
          <w:bCs/>
          <w:i w:val="false"/>
          <w:iCs w:val="false"/>
          <w:sz w:val="24"/>
          <w:szCs w:val="24"/>
        </w:rPr>
        <w:t xml:space="preserve">Anexos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A. Parámetros de configuración del sistema</w:t>
      </w:r>
    </w:p>
    <w:p>
      <w:pPr>
        <w:spacing w:after="0" w:before="240" w:line="240"/>
      </w:pPr>
      <w:r>
        <w:rPr>
          <w:rFonts w:ascii="Times New Roman" w:hAnsi="Times New Roman"/>
          <w:sz w:val="24"/>
        </w:rPr>
        <w:t>Tabla 25</w:t>
      </w:r>
    </w:p>
    <w:p>
      <w:pPr>
        <w:spacing w:after="120" w:line="240"/>
      </w:pPr>
      <w:r>
        <w:rPr>
          <w:rFonts w:ascii="Times New Roman" w:cs="Times New Roman" w:eastAsia="Times New Roman" w:hAnsi="Times New Roman"/>
          <w:b w:val="false"/>
          <w:bCs w:val="false"/>
          <w:i/>
          <w:iCs/>
          <w:sz w:val="22"/>
          <w:szCs w:val="22"/>
        </w:rPr>
        <w:t xml:space="preserve">Parámetros configurables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3860"/>
      </w:tblGrid>
      <w:tr>
        <w:trPr>
          <w:tblHeader/>
        </w:trPr>
        <w:tc>
          <w:tcPr>
            <w:tcW w:type="dxa" w:w="36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Clave</w:t>
            </w:r>
          </w:p>
        </w:tc>
        <w:tc>
          <w:tcPr>
            <w:tcW w:type="dxa" w:w="19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Valor inicial</w:t>
            </w:r>
          </w:p>
        </w:tc>
        <w:tc>
          <w:tcPr>
            <w:tcW w:type="dxa" w:w="38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Controla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sgip.bd.host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localhost</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Servidor de base de datos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sgip.bd.puerto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3306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Puerto de conexión</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sgip.bd.ssl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Cifrado de la conexión al motor</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sgip.uvt.anio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2026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Año gravable de la unidad de valor tributario vigente</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sgip.uvt.valor</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52374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Valor de la unidad de valor tributario en pesos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sgip.iva.tarifa.general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0.19</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Tarifa general del impuesto sobre las ventas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sgip.iva.umbral.computadores.uvt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Tope de exclusión para computadores personales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sgip.iva.umbral.moviles.uvt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22</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Tope de exclusión para celulares y tabletas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sgip.precio.margen.contado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aplicado a efectivo y transferencia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sgip.precio.margen.credito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1.25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Factor aplicado a tarjeta de crédito y crédito directo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sgip.precio.alerta.cruce.umbral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Aviso cuando un recálculo cruza el tope de exclusión</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sgip.envio.umbral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1000000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Compra mínima para envío sin costo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sgip.envio.base</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SUBTOTAL</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Base sobre la cual se evalúa el umbral de envío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sgip.envio.obsequio.permitido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Habilita regalar el envío por debajo del umbral</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sgip.envio.obsequio.exige.motivo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true</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Exige motivo y responsable al regalar el envío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sgip.cotizacion.vigencia.dias.habiles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Vigencia por defecto de las cotizaciones</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sgip.stock.minimo.defecto</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Umbral de existencia crítica por defecto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sgip.seguridad.clave.longitud.minima</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Longitud mínima de contraseña</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sgip.seguridad.sesion.minutos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30</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Expiración de la sesión por inactividad</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sgip.seguridad.intentos.maximos</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5</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Intentos fallidos antes del bloqueo</w:t>
            </w:r>
          </w:p>
        </w:tc>
      </w:tr>
      <w:tr>
        <w:trPr>
          <w:cantSplit/>
        </w:trPr>
        <w:tc>
          <w:tcPr>
            <w:tcW w:type="dxa" w:w="36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sgip.factura.proveedor.url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sin valor</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Punto de acceso del proveedor tecnológico</w:t>
            </w:r>
          </w:p>
        </w:tc>
      </w:tr>
      <w:tr>
        <w:trPr>
          <w:cantSplit/>
        </w:trPr>
        <w:tc>
          <w:tcPr>
            <w:tcW w:type="dxa" w:w="36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sgip.log.nivel</w:t>
            </w:r>
          </w:p>
        </w:tc>
        <w:tc>
          <w:tcPr>
            <w:tcW w:type="dxa" w:w="19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INFO</w:t>
            </w:r>
          </w:p>
        </w:tc>
        <w:tc>
          <w:tcPr>
            <w:tcW w:type="dxa" w:w="38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Nivel de detalle de la bitácora</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Los parámetros tributarios y comerciales se conservan con fecha de vigencia, no se sobrescriben. Un documento emitido en el pasado debe poder reconstruirse con los valores que regían en su fecha de emisión. Las credenciales de base de datos y del proveedor tecnológico se resuelven mediante variables de entorno y no se almacenan en archivos versionados.</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B. Códigos de error del dominio</w:t>
      </w:r>
    </w:p>
    <w:p>
      <w:pPr>
        <w:spacing w:after="0" w:before="240" w:line="240"/>
      </w:pPr>
      <w:r>
        <w:rPr>
          <w:rFonts w:ascii="Times New Roman" w:hAnsi="Times New Roman"/>
          <w:sz w:val="24"/>
        </w:rPr>
        <w:t>Tabla 26</w:t>
      </w:r>
    </w:p>
    <w:p>
      <w:pPr>
        <w:spacing w:after="120" w:line="240"/>
      </w:pPr>
      <w:r>
        <w:rPr>
          <w:rFonts w:ascii="Times New Roman" w:cs="Times New Roman" w:eastAsia="Times New Roman" w:hAnsi="Times New Roman"/>
          <w:b w:val="false"/>
          <w:bCs w:val="false"/>
          <w:i/>
          <w:iCs/>
          <w:sz w:val="22"/>
          <w:szCs w:val="22"/>
        </w:rPr>
        <w:t xml:space="preserve">Códigos de error previstos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Código</w:t>
            </w:r>
          </w:p>
        </w:tc>
        <w:tc>
          <w:tcPr>
            <w:tcW w:type="dxa" w:w="75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Condición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SGIP-VAL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Dato de entrada que no satisface las reglas de validación.</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SGIP-BD</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Fallo en el acceso a la base de datos.</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SGIP-STOCK</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Existencia insuficiente para completar la operación solicitada.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SGIP-AUTH</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Credenciales rechazadas o sesión expirada.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SGIP-ROL</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El usuario autenticado carece de permisos sobre el recurso.</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SGIP-IMP</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el procesamiento de una lista de precios importada.</w:t>
            </w:r>
          </w:p>
        </w:tc>
      </w:tr>
      <w:tr>
        <w:trPr>
          <w:cantSplit/>
        </w:trPr>
        <w:tc>
          <w:tcPr>
            <w:tcW w:type="dxa" w:w="18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SGIP-FE</w:t>
            </w:r>
          </w:p>
        </w:tc>
        <w:tc>
          <w:tcPr>
            <w:tcW w:type="dxa" w:w="75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Error en la transmisión o validación de la factura electrónica.</w:t>
            </w:r>
          </w:p>
        </w:tc>
      </w:tr>
      <w:tr>
        <w:trPr>
          <w:cantSplit/>
        </w:trPr>
        <w:tc>
          <w:tcPr>
            <w:tcW w:type="dxa" w:w="18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SGIP-PAR</w:t>
            </w:r>
          </w:p>
        </w:tc>
        <w:tc>
          <w:tcPr>
            <w:tcW w:type="dxa" w:w="75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Parámetro de configuración ausente, con formato inválido o sin vigencia aplicable a la fecha.</w:t>
            </w:r>
          </w:p>
        </w:tc>
      </w:tr>
    </w:tbl>
    <w:p>
      <w:pPr>
        <w:spacing w:after="120" w:line="240"/>
      </w:pPr>
      <w:r>
        <w:rPr>
          <w:rFonts w:ascii="Times New Roman" w:cs="Times New Roman" w:eastAsia="Times New Roman" w:hAnsi="Times New Roman"/>
          <w:b w:val="false"/>
          <w:bCs w:val="false"/>
          <w:i w:val="false"/>
          <w:iCs w:val="false"/>
          <w:sz w:val="20"/>
          <w:szCs w:val="20"/>
        </w:rPr>
        <w:t xml:space="preserve"/>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C. Antecedentes de la fase previa</w:t>
      </w:r>
    </w:p>
    <w:p>
      <w:pPr>
        <w:spacing w:after="0" w:before="240" w:line="240"/>
      </w:pPr>
      <w:r>
        <w:rPr>
          <w:rFonts w:ascii="Times New Roman" w:hAnsi="Times New Roman"/>
          <w:sz w:val="24"/>
        </w:rPr>
        <w:t>Tabla 27</w:t>
      </w:r>
    </w:p>
    <w:p>
      <w:pPr>
        <w:spacing w:after="120" w:line="240"/>
      </w:pPr>
      <w:r>
        <w:rPr>
          <w:rFonts w:ascii="Times New Roman" w:cs="Times New Roman" w:eastAsia="Times New Roman" w:hAnsi="Times New Roman"/>
          <w:b w:val="false"/>
          <w:bCs w:val="false"/>
          <w:i/>
          <w:iCs/>
          <w:sz w:val="22"/>
          <w:szCs w:val="22"/>
        </w:rPr>
        <w:t xml:space="preserve">Estado de los componentes construidos en la fase previa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Componente</w:t>
            </w:r>
          </w:p>
        </w:tc>
        <w:tc>
          <w:tcPr>
            <w:tcW w:type="dxa" w:w="4360"/>
            <w:tcBorders>
              <w:top w:val="single" w:color="000000" w:sz="6"/>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bCs/>
                <w:i w:val="false"/>
                <w:iCs w:val="false"/>
                <w:sz w:val="20"/>
                <w:szCs w:val="20"/>
              </w:rPr>
              <w:t xml:space="preserve">Estado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Lógica de negocio del dominio</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 con setenta y nueve pruebas unitarias</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Modelo de datos con cinco tablas en tercera forma normal</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Pantalla de acceso de la fase previa (Java Swing)</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hAnsi="Times New Roman"/>
                <w:b w:val="0"/>
                <w:sz w:val="20"/>
              </w:rPr>
              <w:t>Completa; se reimplementa en React</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Derivación de contraseñas y auditoría de accesos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Completo</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Panel de indicadores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Catálogo de productos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Reportes de ingresos y egresos</w:t>
            </w:r>
          </w:p>
        </w:tc>
        <w:tc>
          <w:tcPr>
            <w:tcW w:type="dxa" w:w="436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Prototipado, sin implementación</w:t>
            </w:r>
          </w:p>
        </w:tc>
      </w:tr>
      <w:tr>
        <w:trPr>
          <w:cantSplit/>
        </w:trPr>
        <w:tc>
          <w:tcPr>
            <w:tcW w:type="dxa" w:w="500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Exportación a documento portátil</w:t>
            </w:r>
          </w:p>
        </w:tc>
        <w:tc>
          <w:tcPr>
            <w:tcW w:type="dxa" w:w="4360"/>
            <w:tcBorders>
              <w:top w:val="none" w:color="FFFFFF" w:sz="0"/>
              <w:left w:val="none" w:color="FFFFFF" w:sz="0"/>
              <w:bottom w:val="single" w:color="000000" w:sz="6"/>
              <w:right w:val="none" w:color="FFFFFF" w:sz="0"/>
            </w:tcBorders>
            <w:tcMar>
              <w:top w:type="dxa" w:w="60"/>
              <w:left w:type="dxa" w:w="90"/>
              <w:bottom w:type="dxa" w:w="60"/>
              <w:right w:type="dxa" w:w="90"/>
            </w:tcMar>
            <w:vAlign w:val="top"/>
          </w:tcPr>
          <w:p>
            <w:pPr>
              <w:spacing w:after="0" w:line="240"/>
              <w:jc w:val="left"/>
            </w:pPr>
            <w:r>
              <w:rPr>
                <w:rFonts w:ascii="Times New Roman" w:cs="Times New Roman" w:eastAsia="Times New Roman" w:hAnsi="Times New Roman"/>
                <w:b w:val="false"/>
                <w:bCs w:val="false"/>
                <w:i w:val="false"/>
                <w:iCs w:val="false"/>
                <w:sz w:val="20"/>
                <w:szCs w:val="20"/>
              </w:rPr>
              <w:t xml:space="preserve">Sin iniciar</w:t>
            </w:r>
          </w:p>
        </w:tc>
      </w:tr>
    </w:tbl>
    <w:p>
      <w:pPr>
        <w:spacing w:after="240" w:before="120" w:line="240"/>
        <w:jc w:val="both"/>
      </w:pPr>
      <w:r>
        <w:rPr>
          <w:rFonts w:ascii="Times New Roman" w:cs="Times New Roman" w:eastAsia="Times New Roman" w:hAnsi="Times New Roman"/>
          <w:b w:val="false"/>
          <w:bCs w:val="false"/>
          <w:i/>
          <w:iCs/>
          <w:sz w:val="20"/>
          <w:szCs w:val="20"/>
        </w:rPr>
        <w:t xml:space="preserve">Nota. </w:t>
      </w:r>
      <w:r>
        <w:rPr>
          <w:rFonts w:ascii="Times New Roman" w:cs="Times New Roman" w:eastAsia="Times New Roman" w:hAnsi="Times New Roman"/>
          <w:b w:val="false"/>
          <w:bCs w:val="false"/>
          <w:i w:val="false"/>
          <w:iCs w:val="false"/>
          <w:sz w:val="20"/>
          <w:szCs w:val="20"/>
        </w:rPr>
        <w:t xml:space="preserve">La totalidad de los componentes marcados como completos se reutiliza en el presente proyecto sin reescritura.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D. Modelo entidad-relación completo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Figura 37 presenta el modelo relacional completo en una sola vista. Se incluye como referencia de conjunto; para su lectura detallada deben consultarse las vistas por dominio de las Figuras 19 a 22.</w:t>
      </w:r>
    </w:p>
    <w:p>
      <w:pPr>
        <w:keepNext/>
        <w:spacing w:after="0" w:before="240" w:line="240"/>
      </w:pPr>
      <w:r>
        <w:rPr>
          <w:rFonts w:ascii="Times New Roman" w:cs="Times New Roman" w:eastAsia="Times New Roman" w:hAnsi="Times New Roman"/>
          <w:b/>
          <w:bCs/>
          <w:i w:val="false"/>
          <w:iCs w:val="false"/>
          <w:sz w:val="22"/>
          <w:szCs w:val="22"/>
        </w:rPr>
        <w:t xml:space="preserve">Figura 37</w:t>
      </w:r>
    </w:p>
    <w:p>
      <w:pPr>
        <w:keepNext/>
        <w:spacing w:after="120" w:line="240"/>
      </w:pPr>
      <w:r>
        <w:rPr>
          <w:rFonts w:ascii="Times New Roman" w:cs="Times New Roman" w:eastAsia="Times New Roman" w:hAnsi="Times New Roman"/>
          <w:b w:val="false"/>
          <w:bCs w:val="false"/>
          <w:i/>
          <w:iCs/>
          <w:sz w:val="22"/>
          <w:szCs w:val="22"/>
        </w:rPr>
        <w:t xml:space="preserve">Modelo entidad-relación completo del SGIP</w:t>
      </w:r>
    </w:p>
    <w:p>
      <w:pPr>
        <w:keepNext/>
        <w:spacing w:after="120"/>
        <w:jc w:val="center"/>
      </w:pPr>
      <w:r>
        <w:drawing>
          <wp:inline distT="0" distB="0" distL="0" distR="0">
            <wp:extent cx="5943600" cy="17019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1701902"/>
                    </a:xfrm>
                    <a:prstGeom prst="rect">
                      <a:avLst/>
                    </a:prstGeom>
                  </pic:spPr>
                </pic:pic>
              </a:graphicData>
            </a:graphic>
          </wp:inline>
        </w:drawing>
      </w:r>
    </w:p>
    <w:p>
      <w:pPr>
        <w:spacing w:after="240" w:line="240"/>
        <w:jc w:val="both"/>
      </w:pPr>
      <w:r>
        <w:rPr>
          <w:rFonts w:ascii="Times New Roman" w:hAnsi="Times New Roman"/>
          <w:sz w:val="20"/>
        </w:rPr>
        <w:t>Nota. Treinta y cuatro entidades con sus claves primarias, foráneas y columnas generadas. Las entidades de cada empresa llevan empresa_id, que el filtro de autorización aplica en toda consulta. Elaboración propia.</w:t>
      </w:r>
    </w:p>
    <w:p>
      <w:pPr>
        <w:pStyle w:val="Heading2"/>
        <w:spacing w:after="0" w:before="240" w:line="480"/>
        <w:jc w:val="left"/>
      </w:pPr>
      <w:r>
        <w:rPr>
          <w:rFonts w:ascii="Times New Roman" w:cs="Times New Roman" w:eastAsia="Times New Roman" w:hAnsi="Times New Roman"/>
          <w:b/>
          <w:bCs/>
          <w:i w:val="false"/>
          <w:iCs w:val="false"/>
          <w:sz w:val="24"/>
          <w:szCs w:val="24"/>
        </w:rPr>
        <w:t xml:space="preserve">Anexo E. Especificación expandida de casos de uso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especificación detallada de los dieciocho casos de uso se desarrolla en documento independiente, bajo el título SGIP — Anexo E. Especificación Expandida de Casos de Uso. Cada ficha contiene actor principal y secundarios, disparador, precondiciones, postcondiciones, flujo principal paso a paso, flujos alternativos, flujos de excepción, reglas de negocio aplicables, requisitos asociados, prioridad y frecuencia de uso.</w:t>
      </w:r>
    </w:p>
    <w:p>
      <w:pPr>
        <w:spacing w:after="0" w:line="480"/>
        <w:ind w:firstLine="720"/>
        <w:jc w:val="both"/>
      </w:pPr>
      <w:r>
        <w:rPr>
          <w:rFonts w:ascii="Times New Roman" w:cs="Times New Roman" w:eastAsia="Times New Roman" w:hAnsi="Times New Roman"/>
          <w:b w:val="false"/>
          <w:bCs w:val="false"/>
          <w:i w:val="false"/>
          <w:iCs w:val="false"/>
          <w:sz w:val="24"/>
          <w:szCs w:val="24"/>
        </w:rPr>
        <w:t xml:space="preserve">La separación en documento aparte responde a su extensión y a su ritmo de cambio: las fichas se ajustan con cada iteración de desarrollo, mientras que el cuerpo de este informe permanece estable.</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35593e1ebc082778caad3e3e255739fb7801ff96.png"/><Relationship Id="rId9" Type="http://schemas.openxmlformats.org/officeDocument/2006/relationships/image" Target="media/61c98c5780482b337f37f4f4c96666c96d46abac.png"/><Relationship Id="rId10" Type="http://schemas.openxmlformats.org/officeDocument/2006/relationships/image" Target="media/860b541ad0e0c441bd2cbf95290b4a1f64b60419.png"/><Relationship Id="rId11" Type="http://schemas.openxmlformats.org/officeDocument/2006/relationships/image" Target="media/17b59a3d87d22b38866614d1341fdbc1736cdd86.png"/><Relationship Id="rId12" Type="http://schemas.openxmlformats.org/officeDocument/2006/relationships/image" Target="media/0d42305339b00026e7e6127851e50b9a6c657573.png"/><Relationship Id="rId13" Type="http://schemas.openxmlformats.org/officeDocument/2006/relationships/image" Target="media/ff36b7d0c132e7c81680f3582c54b1ae72cae1ad.png"/><Relationship Id="rId14" Type="http://schemas.openxmlformats.org/officeDocument/2006/relationships/image" Target="media/8764e24956a0f475223d87ec1fddabd1f8c107aa.png"/><Relationship Id="rId15" Type="http://schemas.openxmlformats.org/officeDocument/2006/relationships/image" Target="media/ef91f9ae6e58a04270fdb0ca8f802eb9f5048a64.png"/><Relationship Id="rId16" Type="http://schemas.openxmlformats.org/officeDocument/2006/relationships/image" Target="media/af4b45cbeea3b614ce7ebc7841cd979bd42fc432.png"/><Relationship Id="rId17" Type="http://schemas.openxmlformats.org/officeDocument/2006/relationships/image" Target="media/17c7fd81863a1167e05a4fd919c143f2e29c5f4b.png"/><Relationship Id="rId18" Type="http://schemas.openxmlformats.org/officeDocument/2006/relationships/image" Target="media/daa4c4792e84a9804aa1b1a828c0fbe16c0795bc.png"/><Relationship Id="rId19" Type="http://schemas.openxmlformats.org/officeDocument/2006/relationships/image" Target="media/de022bce4f51ffe928c2d92ed6206aeacaad04a8.png"/><Relationship Id="rId20" Type="http://schemas.openxmlformats.org/officeDocument/2006/relationships/image" Target="media/f39831fa54e2934b9f17a9f16ee9184736dbdfcb.png"/><Relationship Id="rId21" Type="http://schemas.openxmlformats.org/officeDocument/2006/relationships/image" Target="media/a382d3a8b3038dd2b6e3fb6206ab6994a58d4e1f.png"/><Relationship Id="rId22" Type="http://schemas.openxmlformats.org/officeDocument/2006/relationships/image" Target="media/32030e637bc6bc8ac29f7c7b47112102fad40993.png"/><Relationship Id="rId23" Type="http://schemas.openxmlformats.org/officeDocument/2006/relationships/image" Target="media/d290b9518f6c5d1134fa3d3cec6baf729612caea.png"/><Relationship Id="rId24" Type="http://schemas.openxmlformats.org/officeDocument/2006/relationships/image" Target="media/c8995bd9c59edf011ea8801e9f0edb32eb216208.png"/><Relationship Id="rId25" Type="http://schemas.openxmlformats.org/officeDocument/2006/relationships/image" Target="media/66a906dd6709603bb47951b843ce2e1951c30d65.png"/><Relationship Id="rId26" Type="http://schemas.openxmlformats.org/officeDocument/2006/relationships/image" Target="media/decc3c1ae5e80a257ce4e59822ca8eb565e345b7.png"/><Relationship Id="rId27" Type="http://schemas.openxmlformats.org/officeDocument/2006/relationships/image" Target="media/58c5b54a9501c811281668e581e500f6b0933a3c.png"/><Relationship Id="rId28" Type="http://schemas.openxmlformats.org/officeDocument/2006/relationships/image" Target="media/f317f56b709df72211c7ae6c20daa6588941c037.png"/><Relationship Id="rId29" Type="http://schemas.openxmlformats.org/officeDocument/2006/relationships/image" Target="media/8ee12f629eda042bfce99be1ea5d83b0edf78028.png"/><Relationship Id="rId30" Type="http://schemas.openxmlformats.org/officeDocument/2006/relationships/image" Target="media/5f7cd61fde977b47d560eeee88097b51136f1723.png"/><Relationship Id="rId31" Type="http://schemas.openxmlformats.org/officeDocument/2006/relationships/image" Target="media/c09ebf22d2b031877f13aeeebb15b568067e49b0.png"/><Relationship Id="rId32" Type="http://schemas.openxmlformats.org/officeDocument/2006/relationships/image" Target="media/ed302453f6d0f16f355e0870aa0c1c86afc8150b.png"/><Relationship Id="rId33" Type="http://schemas.openxmlformats.org/officeDocument/2006/relationships/image" Target="media/6184ea13d64fd1c11fa563288705103ad8930aab.png"/><Relationship Id="rId34" Type="http://schemas.openxmlformats.org/officeDocument/2006/relationships/image" Target="media/3a9286ab447ba5758e90c12fcfc1192067d58ad9.png"/><Relationship Id="rId35" Type="http://schemas.openxmlformats.org/officeDocument/2006/relationships/image" Target="media/0cf6046b44b3f847b0df43516490d7dceafe60c6.png"/><Relationship Id="rId36" Type="http://schemas.openxmlformats.org/officeDocument/2006/relationships/image" Target="media/76bf913347fc00b4aead73bb98f055579dbb783f.png"/><Relationship Id="rId37" Type="http://schemas.openxmlformats.org/officeDocument/2006/relationships/image" Target="media/f42a7f46430e19cb911f198d2e190ca08e8d5ed5.png"/><Relationship Id="rId38" Type="http://schemas.openxmlformats.org/officeDocument/2006/relationships/image" Target="media/0762cd5fec337d561a428e25aca3a16b8224e761.png"/><Relationship Id="rId39" Type="http://schemas.openxmlformats.org/officeDocument/2006/relationships/image" Target="media/f7e72251e63c7cf1de2f9a6b63abe4994022eb0d.png"/><Relationship Id="rId40" Type="http://schemas.openxmlformats.org/officeDocument/2006/relationships/image" Target="media/7c94a3f41c0f6d299cc9bd675113337a364d2ee3.png"/><Relationship Id="rId41" Type="http://schemas.openxmlformats.org/officeDocument/2006/relationships/image" Target="media/ea4088c66dd143ed092900eee4978b0f53d3e816.png"/><Relationship Id="rId42" Type="http://schemas.openxmlformats.org/officeDocument/2006/relationships/image" Target="media/641a114c6af748e4586cfdfc70e447a11865eac6.png"/><Relationship Id="rId43" Type="http://schemas.openxmlformats.org/officeDocument/2006/relationships/image" Target="media/b622dfc26c43f05867ef0668620880760e3a23b1.png"/><Relationship Id="rId44" Type="http://schemas.openxmlformats.org/officeDocument/2006/relationships/image" Target="media/64f8f6cd0472c717c4c84b29d2dca54dc6aa2ad4.png"/><Relationship Id="rId45" Type="http://schemas.openxmlformats.org/officeDocument/2006/relationships/fontTable" Target="fontTable.xml"/><Relationship Id="rId46"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SGIP — Informe de Inicio del Proyecto</dc:title>
  <dc:creator>Jesús Manuel Durán Muñoz</dc:creator>
  <dc:description>Informe de inicio del proyecto SGIP para el programa de Tecnología en Análisis y Desarrollo de Software, SENA.</dc:description>
  <cp:lastModifiedBy>Un-named</cp:lastModifiedBy>
  <cp:revision>1</cp:revision>
  <dcterms:created xsi:type="dcterms:W3CDTF">2026-09-20T01:27:20.953Z</dcterms:created>
  <dcterms:modified xsi:type="dcterms:W3CDTF">2026-09-20T01:27:20.960Z</dcterms:modified>
</cp:coreProperties>
</file>

<file path=docProps/custom.xml><?xml version="1.0" encoding="utf-8"?>
<Properties xmlns="http://schemas.openxmlformats.org/officeDocument/2006/custom-properties" xmlns:vt="http://schemas.openxmlformats.org/officeDocument/2006/docPropsVTypes"/>
</file>