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SGIP — Sistema de Gestión de Inventario de Productos</w:t>
      </w:r>
    </w:p>
    <w:p>
      <w:pPr>
        <w:spacing w:line="480"/>
        <w:jc w:val="center"/>
      </w:pPr>
      <w:r>
        <w:rPr>
          <w:rFonts w:ascii="Times New Roman" w:cs="Times New Roman" w:eastAsia="Times New Roman" w:hAnsi="Times New Roman"/>
          <w:b/>
          <w:bCs/>
          <w:i w:val="false"/>
          <w:iCs w:val="false"/>
          <w:sz w:val="24"/>
          <w:szCs w:val="24"/>
        </w:rPr>
        <w:t xml:space="preserve">Informe de Inicio del Proyecto</w:t>
      </w:r>
    </w:p>
    <w:p>
      <w:pPr>
        <w:spacing w:line="480"/>
        <w:jc w:val="center"/>
      </w:pPr>
      <w:r>
        <w:rPr>
          <w:rFonts w:ascii="Times New Roman" w:cs="Times New Roman" w:eastAsia="Times New Roman" w:hAnsi="Times New Roman"/>
          <w:b w:val="false"/>
          <w:bCs w:val="false"/>
          <w:i w:val="false"/>
          <w:iCs w:val="false"/>
          <w:sz w:val="24"/>
          <w:szCs w:val="24"/>
        </w:rPr>
        <w:t xml:space="preserve">Plataforma de gestión de inventario, precios y comercialización para Black Steel Parts</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Jesús Manuel Durán Muñoz</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line="480"/>
        <w:jc w:val="center"/>
      </w:pPr>
      <w:r>
        <w:rPr>
          <w:rFonts w:ascii="Times New Roman" w:cs="Times New Roman" w:eastAsia="Times New Roman" w:hAnsi="Times New Roman"/>
          <w:b w:val="false"/>
          <w:bCs w:val="false"/>
          <w:i w:val="false"/>
          <w:iCs w:val="false"/>
          <w:sz w:val="24"/>
          <w:szCs w:val="24"/>
        </w:rPr>
        <w:t xml:space="preserve">Centro Industrial de Mantenimiento Integral (CIMI)</w:t>
      </w:r>
    </w:p>
    <w:p>
      <w:pPr>
        <w:spacing w:line="480"/>
        <w:jc w:val="center"/>
      </w:pPr>
      <w:r>
        <w:rPr>
          <w:rFonts w:ascii="Times New Roman" w:cs="Times New Roman" w:eastAsia="Times New Roman" w:hAnsi="Times New Roman"/>
          <w:b w:val="false"/>
          <w:bCs w:val="false"/>
          <w:i w:val="false"/>
          <w:iCs w:val="false"/>
          <w:sz w:val="24"/>
          <w:szCs w:val="24"/>
        </w:rPr>
        <w:t xml:space="preserve">Tecnología en Análisis y Desarrollo de Software</w:t>
      </w:r>
    </w:p>
    <w:p>
      <w:pPr>
        <w:spacing w:line="480"/>
        <w:jc w:val="center"/>
      </w:pPr>
      <w:r>
        <w:rPr>
          <w:rFonts w:ascii="Times New Roman" w:cs="Times New Roman" w:eastAsia="Times New Roman" w:hAnsi="Times New Roman"/>
          <w:b w:val="false"/>
          <w:bCs w:val="false"/>
          <w:i w:val="false"/>
          <w:iCs w:val="false"/>
          <w:sz w:val="24"/>
          <w:szCs w:val="24"/>
        </w:rPr>
        <w:t xml:space="preserve">Ficha 3234206</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Instructora: Yeimi Barrera</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Bucaramanga, Santander</w:t>
      </w:r>
    </w:p>
    <w:p>
      <w:pPr>
        <w:spacing w:line="480"/>
        <w:jc w:val="center"/>
      </w:pPr>
      <w:r>
        <w:rPr>
          <w:rFonts w:ascii="Times New Roman" w:cs="Times New Roman" w:eastAsia="Times New Roman" w:hAnsi="Times New Roman"/>
          <w:b w:val="false"/>
          <w:bCs w:val="false"/>
          <w:i w:val="false"/>
          <w:iCs w:val="false"/>
          <w:sz w:val="24"/>
          <w:szCs w:val="24"/>
        </w:rPr>
        <w:t xml:space="preserve">2026</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Identificación del Proyecto</w:t>
      </w:r>
    </w:p>
    <w:p>
      <w:pPr>
        <w:spacing w:line="4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Nombre del proyecto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 — Sistema de Gestión de Inventario de Productos</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 de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Informe de inicio del proyecto</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Versión del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Empresa objeto de estudio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Black Steel Parts (BSP) — distribución de tecnología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Aprendiz</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Jesús Manuel Durán Muñoz</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Programa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Tecnología en Análisis y Desarrollo de Software</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Número de ficha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3234206</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Centro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Centro Industrial de Mantenimiento Integral (CIMI)</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Regional</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Santander</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Instructora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Yeimi Barrera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Modalidad de trabajo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Individual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Metodología de desarrollo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adaptado a equipo unipersonal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Ciudad</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Bucaramanga, Santander</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Fase de inicio — planificación y análisis</w:t>
            </w:r>
          </w:p>
        </w:tc>
      </w:tr>
    </w:tbl>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Tabla de Contenido</w:t>
      </w:r>
    </w:p>
    <w:p>
      <w:pPr>
        <w:spacing w:line="480"/>
      </w:pPr>
      <w:r>
        <w:rPr>
          <w:rFonts w:ascii="Times New Roman" w:cs="Times New Roman" w:eastAsia="Times New Roman" w:hAnsi="Times New Roman"/>
          <w:b w:val="false"/>
          <w:bCs w:val="false"/>
          <w:i w:val="false"/>
          <w:iCs w:val="false"/>
          <w:sz w:val="24"/>
          <w:szCs w:val="24"/>
        </w:rP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Resumen</w:t>
      </w:r>
    </w:p>
    <w:p>
      <w:pPr>
        <w:spacing w:after="0" w:line="480"/>
        <w:jc w:val="both"/>
      </w:pPr>
      <w:r>
        <w:rPr>
          <w:rFonts w:ascii="Times New Roman" w:cs="Times New Roman" w:eastAsia="Times New Roman" w:hAnsi="Times New Roman"/>
          <w:b w:val="false"/>
          <w:bCs w:val="false"/>
          <w:i w:val="false"/>
          <w:iCs w:val="false"/>
          <w:sz w:val="24"/>
          <w:szCs w:val="24"/>
        </w:rPr>
        <w:t xml:space="preserve">El presente informe documenta la fase de inicio del proyecto SGIP, una plataforma de gestión de inventario y comercialización desarrollada para Black Steel Parts, distribuidora colombiana de equipos de tecnología. El sistema se estructura en tres componentes: un servicio backend en Java que expone la lógica de negocio mediante una interfaz de programación de aplicaciones de tipo REST, una aplicación móvil Android dirigida a clientes y fuerza de ventas, y un módulo administrativo de escritorio que conserva las funciones de configuración y auditoría. El aporte diferencial de la propuesta reside en el módulo de actualización automática de precios, que consume listas de proveedores en formato de hoja de cálculo y a través de servicios web, aplica reglas de margen configurables por categoría y proveedor, y mantiene el catálogo alineado con el costo real de reposición sin intervención manual. Sobre esa base el sistema genera cotizaciones formales y emite factura electrónica mediante un proveedor tecnológico autorizado por la Dirección de Impuestos y Aduanas Nacionales. El documento presenta el planteamiento del problema, la justificación, los objetivos, el alcance, el marco referencial, la metodología de trabajo bajo Scrum, el análisis de requisitos, el modelado preliminar del sistema, el diseño de la base de datos y el plan de trabajo por iteraciones.</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jc w:val="both"/>
      </w:pPr>
      <w:r>
        <w:rPr>
          <w:rFonts w:ascii="Times New Roman" w:cs="Times New Roman" w:eastAsia="Times New Roman" w:hAnsi="Times New Roman"/>
          <w:b w:val="false"/>
          <w:bCs w:val="false"/>
          <w:i/>
          <w:iCs/>
          <w:sz w:val="24"/>
          <w:szCs w:val="24"/>
        </w:rPr>
        <w:t xml:space="preserve">Palabras clave: </w:t>
      </w:r>
      <w:r>
        <w:rPr>
          <w:rFonts w:ascii="Times New Roman" w:cs="Times New Roman" w:eastAsia="Times New Roman" w:hAnsi="Times New Roman"/>
          <w:b w:val="false"/>
          <w:bCs w:val="false"/>
          <w:i w:val="false"/>
          <w:iCs w:val="false"/>
          <w:sz w:val="24"/>
          <w:szCs w:val="24"/>
        </w:rPr>
        <w:t xml:space="preserve">gestión de inventario, API REST, aplicación móvil, facturación electrónica, automatización de precios, Scrum, Java, Android.</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1. Introducción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de Gestión de Inventario de Productos, en adelante SGIP, responde a esa problemática mediante una plataforma que centraliza el catálogo, automatiza la actualización de precios a partir de las listas que envían los proveedores, controla las existencias en tiempo real y soporta el ciclo comercial completo desde la cotización hasta la factura electrónica.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 Antecedentes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2. Planteamiento del Problema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2.1 Descripción de la situación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proceso comercial de Black Steel Parts atraviesa cuatro puntos de falla identificados durante el levantamiento de información.</w:t>
      </w:r>
    </w:p>
    <w:p>
      <w:pPr>
        <w:pStyle w:val="Heading3"/>
        <w:spacing w:after="0" w:before="240" w:line="480"/>
        <w:jc w:val="left"/>
      </w:pPr>
      <w:r>
        <w:rPr>
          <w:rFonts w:ascii="Times New Roman" w:cs="Times New Roman" w:eastAsia="Times New Roman" w:hAnsi="Times New Roman"/>
          <w:b/>
          <w:bCs/>
          <w:i/>
          <w:iCs/>
          <w:sz w:val="24"/>
          <w:szCs w:val="24"/>
        </w:rPr>
        <w:t xml:space="preserve">Desfase entre existencias registradas y existencias reales.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pPr>
        <w:pStyle w:val="Heading3"/>
        <w:spacing w:after="0" w:before="240" w:line="480"/>
        <w:jc w:val="left"/>
      </w:pPr>
      <w:r>
        <w:rPr>
          <w:rFonts w:ascii="Times New Roman" w:cs="Times New Roman" w:eastAsia="Times New Roman" w:hAnsi="Times New Roman"/>
          <w:b/>
          <w:bCs/>
          <w:i/>
          <w:iCs/>
          <w:sz w:val="24"/>
          <w:szCs w:val="24"/>
        </w:rPr>
        <w:t xml:space="preserve">Cálculo manual de precios sobre costos variables.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pPr>
        <w:pStyle w:val="Heading3"/>
        <w:spacing w:after="0" w:before="240" w:line="480"/>
        <w:jc w:val="left"/>
      </w:pPr>
      <w:r>
        <w:rPr>
          <w:rFonts w:ascii="Times New Roman" w:cs="Times New Roman" w:eastAsia="Times New Roman" w:hAnsi="Times New Roman"/>
          <w:b/>
          <w:bCs/>
          <w:i/>
          <w:iCs/>
          <w:sz w:val="24"/>
          <w:szCs w:val="24"/>
        </w:rPr>
        <w:t xml:space="preserve">Desactualización frente a las listas de proveedores.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pPr>
        <w:pStyle w:val="Heading3"/>
        <w:spacing w:after="0" w:before="240" w:line="480"/>
        <w:jc w:val="left"/>
      </w:pPr>
      <w:r>
        <w:rPr>
          <w:rFonts w:ascii="Times New Roman" w:cs="Times New Roman" w:eastAsia="Times New Roman" w:hAnsi="Times New Roman"/>
          <w:b/>
          <w:bCs/>
          <w:i/>
          <w:iCs/>
          <w:sz w:val="24"/>
          <w:szCs w:val="24"/>
        </w:rPr>
        <w:t xml:space="preserve">Ausencia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Cuando se detecta un faltante de mercancía no existe mecanismo para reconstruir su origen. No es posible determinar si la unidad se vendió, se devolvió, nunca ingresó del proveedor o se registró de forma errónea.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2.2 Formulación del problema</w:t>
      </w:r>
    </w:p>
    <w:p>
      <w:pPr>
        <w:spacing w:after="0" w:line="480"/>
        <w:jc w:val="both"/>
      </w:pPr>
      <w:r>
        <w:rPr>
          <w:rFonts w:ascii="Times New Roman" w:cs="Times New Roman" w:eastAsia="Times New Roman" w:hAnsi="Times New Roman"/>
          <w:b w:val="false"/>
          <w:bCs w:val="false"/>
          <w:i w:val="false"/>
          <w:iCs w:val="false"/>
          <w:sz w:val="24"/>
          <w:szCs w:val="24"/>
        </w:rPr>
        <w:t xml:space="preserve">¿De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2.3 Sistematización del problema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¿Cuáles son los requisitos funcionales y no funcionales que debe satisfacer el sistema para cubrir el ciclo comercial completo de la empresa?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estructura debe tener el modelo de datos para soportar múltiples proveedores, listas de precios con vigencia y reglas de margen diferenciadas, conservando la integridad referencial?</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¿Cómo debe diseñarse el módulo de importación para procesar archivos de hoja de cálculo con estructuras heterogéneas y servicios web de distintos proveedores bajo una interfaz común?</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arquitectura permite que una aplicación móvil, un módulo de escritorio y eventuales clientes adicionales consuman la misma lógica de negocio sin duplicarla?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condiciones normativas y técnicas debe cumplir el sistema para emitir factura electrónica válida ante la Dirección de Impuestos y Aduanas Nacionales?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3. Justificación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justificación del proyecto se sostiene sobre tres dimensiones: la operativa, la tecnológica y la formativa.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3.1 Justificación operativa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Cada uno de los problemas descritos tiene un mecanismo de solución directo y verificable dentro del sistema propuesto. La Tabla 1 establece esa correspondencia.</w:t>
      </w:r>
    </w:p>
    <w:p>
      <w:pPr>
        <w:spacing w:after="0" w:before="240" w:line="240"/>
      </w:pPr>
      <w:r>
        <w:rPr>
          <w:rFonts w:ascii="Times New Roman" w:cs="Times New Roman" w:eastAsia="Times New Roman" w:hAnsi="Times New Roman"/>
          <w:b/>
          <w:bCs/>
          <w:i w:val="false"/>
          <w:iCs w:val="false"/>
          <w:sz w:val="22"/>
          <w:szCs w:val="22"/>
        </w:rPr>
        <w:t xml:space="preserve">Tabla 1</w:t>
      </w:r>
    </w:p>
    <w:p>
      <w:pPr>
        <w:spacing w:after="120" w:line="240"/>
      </w:pPr>
      <w:r>
        <w:rPr>
          <w:rFonts w:ascii="Times New Roman" w:cs="Times New Roman" w:eastAsia="Times New Roman" w:hAnsi="Times New Roman"/>
          <w:b w:val="false"/>
          <w:bCs w:val="false"/>
          <w:i/>
          <w:iCs/>
          <w:sz w:val="22"/>
          <w:szCs w:val="22"/>
        </w:rPr>
        <w:t xml:space="preserve">Correspondencia entre problemas identificados y mecanismos de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Problema</w:t>
            </w:r>
          </w:p>
        </w:tc>
        <w:tc>
          <w:tcPr>
            <w:tcW w:type="dxa" w:w="4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Mecanismo del SGIP</w:t>
            </w:r>
          </w:p>
        </w:tc>
        <w:tc>
          <w:tcPr>
            <w:tcW w:type="dxa" w:w="2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Resultado esperado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Existencias desactualizadas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Descuento automático al confirmar cada venta dentro de una transacción atómica</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 consistente en todo momento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cálculo de márgenes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 derivados por el sistema a partir de reglas configurables</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Eliminación del cálculo manual</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desalineados del proveedor</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 programada de listas de precios y recálculo automático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alineado con el costo de reposición</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Capital inmovilizado no detectado</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 de rotación con indicador de capital retenido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Identificación temprana de referencias sin movimiento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Ausencia de trazabilidad</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movimientos con existencia anterior y posterior</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Reconstrucción completa del historial de cada referencia</w:t>
            </w:r>
          </w:p>
        </w:tc>
      </w:tr>
      <w:tr>
        <w:trPr>
          <w:cantSplit/>
        </w:trPr>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 y facturación manuales</w:t>
            </w:r>
          </w:p>
        </w:tc>
        <w:tc>
          <w:tcPr>
            <w:tcW w:type="dxa" w:w="4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Generación de cotización formal y emisión de factura electrónica</w:t>
            </w:r>
          </w:p>
        </w:tc>
        <w:tc>
          <w:tcPr>
            <w:tcW w:type="dxa" w:w="2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Reducción del tiempo de cierre comercial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3.2 Justificación tecnológica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3.3 Justificación formativa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4. Objetivos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4.1 Objetivo general</w:t>
      </w:r>
    </w:p>
    <w:p>
      <w:pPr>
        <w:spacing w:after="0" w:line="480"/>
        <w:jc w:val="both"/>
      </w:pPr>
      <w:r>
        <w:rPr>
          <w:rFonts w:ascii="Times New Roman" w:cs="Times New Roman" w:eastAsia="Times New Roman" w:hAnsi="Times New Roman"/>
          <w:b w:val="false"/>
          <w:bCs w:val="false"/>
          <w:i w:val="false"/>
          <w:iCs w:val="false"/>
          <w:sz w:val="24"/>
          <w:szCs w:val="24"/>
        </w:rPr>
        <w:t xml:space="preserve">Desarrollar el Sistema de Gestión de Inventario de Productos (SGIP) para Black Steel Parts, compuesto por un servicio backend con interfaz de programación de aplicaciones de tipo REST, una aplicación móvil Android y un módulo administrativo de escritorio, que automatice la actualización de precios a partir de listas de proveedores, el control de existencias, la generación de cotizaciones y la emisión de factura electrónica.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4.2 Objetivos específicos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Analizar los procesos de gestión de inventario, cotización y facturación de Black Steel Parts para especificar los requisitos funcionales y no funcionales del sistema con criterios de aceptación medibles.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Diseñar el modelo de datos relacional en tercera forma normal y la arquitectura en capas de la solución, definiendo los contratos de la interfaz de programación de aplicaciones.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Implementar el servicio backend en Java con los módulos de catálogo, inventario, precios y auditoría, reutilizando el dominio validado en la fase previa del proyecto.</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Construir el módulo de importación de listas de precios capaz de procesar archivos de hoja de cálculo y servicios web de distintos proveedores, y de recalcular los precios de venta según reglas de margen configurables.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Desarrollar la aplicación móvil Android que consuma la interfaz de programación de aplicaciones para consulta de catálogo, generación de cotizaciones y registro de pedidos.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Integrar la emisión de factura electrónica a través de un proveedor tecnológico autorizado por la Dirección de Impuestos y Aduanas Nacionales, verificando el cumplimiento de los requisitos normativos aplicables.</w:t>
      </w:r>
    </w:p>
    <w:p>
      <w:pPr>
        <w:pStyle w:val="ListParagraph"/>
        <w:numPr>
          <w:ilvl w:val="0"/>
          <w:numId w:val="3"/>
        </w:numPr>
        <w:spacing w:after="0" w:line="480"/>
        <w:jc w:val="both"/>
      </w:pPr>
      <w:r>
        <w:rPr>
          <w:rFonts w:ascii="Times New Roman" w:cs="Times New Roman" w:eastAsia="Times New Roman" w:hAnsi="Times New Roman"/>
          <w:b w:val="false"/>
          <w:bCs w:val="false"/>
          <w:i w:val="false"/>
          <w:iCs w:val="false"/>
          <w:sz w:val="24"/>
          <w:szCs w:val="24"/>
        </w:rPr>
        <w:t xml:space="preserve">Validar el sistema mediante pruebas unitarias, de integración y de aceptación con el usuario final, documentando los resultados obtenidos.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5. Alcance y Delimitación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5.1 Alcance funcional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en la versión objeto de este proyecto, comprende las siguientes capacidades: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Autenticación de usuarios con roles diferenciados y control de sesión.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Administración del catálogo de productos con categorías, proveedores y existencias.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y administración de proveedores con sus condiciones comerciales.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Importación de listas de precios desde archivos de hoja de cálculo y desde servicios web de proveedores.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Motor de reglas de margen configurable por categoría, proveedor y forma de pago.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Recálculo automático del precio de venta al actualizarse el costo de reposición.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Control de existencias con descuento automático y alertas de nivel mínimo.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auditoría de todos los movimientos de inventario.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Generación de cotizaciones formales con vigencia y exportación a formato de documento portátil.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pedidos y ventas con conversión desde cotización.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Emisión de factura electrónica mediante integración con proveedor tecnológico autorizado.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Reportes de existencias, rotación, ingresos y egresos.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Aplicación móvil Android para consulta de catálogo, cotización y pedido.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Interfaz de programación de aplicaciones de tipo REST documentada como contrato entre componentes.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5.2 Fuera del alcance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siguientes capacidades se excluyen de forma explícita de la versión actual y se documentan como trabajo futuro: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Integración con pasarelas de pago en línea.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Operación con múltiples bodegas o sucursales.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Aplicación para el sistema operativo iOS.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Portal web público de comercio electrónico dirigido a consumidor final.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Módulo contable y de nómina.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Lectura de códigos de barras mediante hardware dedicado; la versión actual contempla únicamente la cámara del dispositivo móvil.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Desarrollo propio del componente de firma y validación ante la Dirección de Impuestos y Aduanas Nacionales, que se resuelve mediante proveedor autorizado.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5.3 Supuestos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opera con un único punto de venta y una sola bodega.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valores monetarios se expresan en pesos colombianos.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proveedores mantienen la estructura de sus listas de precios de forma razonablemente estable entre envíos.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cuenta o contará con habilitación como facturador electrónico ante la autoridad tributaria.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servidor de base de datos opera en red local o en un proveedor de infraestructura en la nube con conectividad permanente.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5.4 Restricciones</w:t>
      </w:r>
    </w:p>
    <w:p>
      <w:pPr>
        <w:spacing w:after="0" w:before="240" w:line="240"/>
      </w:pPr>
      <w:r>
        <w:rPr>
          <w:rFonts w:ascii="Times New Roman" w:cs="Times New Roman" w:eastAsia="Times New Roman" w:hAnsi="Times New Roman"/>
          <w:b/>
          <w:bCs/>
          <w:i w:val="false"/>
          <w:iCs w:val="false"/>
          <w:sz w:val="22"/>
          <w:szCs w:val="22"/>
        </w:rPr>
        <w:t xml:space="preserve">Tabla 2</w:t>
      </w:r>
    </w:p>
    <w:p>
      <w:pPr>
        <w:spacing w:after="120" w:line="240"/>
      </w:pPr>
      <w:r>
        <w:rPr>
          <w:rFonts w:ascii="Times New Roman" w:cs="Times New Roman" w:eastAsia="Times New Roman" w:hAnsi="Times New Roman"/>
          <w:b w:val="false"/>
          <w:bCs w:val="false"/>
          <w:i/>
          <w:iCs/>
          <w:sz w:val="22"/>
          <w:szCs w:val="22"/>
        </w:rPr>
        <w:t xml:space="preserve">Restricciones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Restricción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Temporal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desarrollo debe completarse dentro del calendario académico del programa de formación.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 recurso</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es individual; una sola persona asume los roles de análisis, desarrollo y pruebas.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Tecnológica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backend debe desarrollarse en Java por alineación con el programa de formación y con la fase previa.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Normativa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emisión de factura electrónica depende de la habilitación de la empresa ante la autoridad tributaria, trámite externo al proyecto.</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Presupuestal</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no contempla adquisición de licencias de software comercial; se utilizan herramientas libres o de uso gratuito para estudiantes.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6. Marco Referencial</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6.1 Marco teórico</w:t>
      </w:r>
    </w:p>
    <w:p>
      <w:pPr>
        <w:pStyle w:val="Heading3"/>
        <w:spacing w:after="0" w:before="240" w:line="480"/>
        <w:jc w:val="left"/>
      </w:pPr>
      <w:r>
        <w:rPr>
          <w:rFonts w:ascii="Times New Roman" w:cs="Times New Roman" w:eastAsia="Times New Roman" w:hAnsi="Times New Roman"/>
          <w:b/>
          <w:bCs/>
          <w:i/>
          <w:iCs/>
          <w:sz w:val="24"/>
          <w:szCs w:val="24"/>
        </w:rPr>
        <w:t xml:space="preserve">Gestión de inventarios.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pPr>
        <w:pStyle w:val="Heading3"/>
        <w:spacing w:after="0" w:before="240" w:line="480"/>
        <w:jc w:val="left"/>
      </w:pPr>
      <w:r>
        <w:rPr>
          <w:rFonts w:ascii="Times New Roman" w:cs="Times New Roman" w:eastAsia="Times New Roman" w:hAnsi="Times New Roman"/>
          <w:b/>
          <w:bCs/>
          <w:i/>
          <w:iCs/>
          <w:sz w:val="24"/>
          <w:szCs w:val="24"/>
        </w:rPr>
        <w:t xml:space="preserve">Ingeniería de software y ciclo de vida.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pPr>
        <w:pStyle w:val="Heading3"/>
        <w:spacing w:after="0" w:before="240" w:line="480"/>
        <w:jc w:val="left"/>
      </w:pPr>
      <w:r>
        <w:rPr>
          <w:rFonts w:ascii="Times New Roman" w:cs="Times New Roman" w:eastAsia="Times New Roman" w:hAnsi="Times New Roman"/>
          <w:b/>
          <w:bCs/>
          <w:i/>
          <w:iCs/>
          <w:sz w:val="24"/>
          <w:szCs w:val="24"/>
        </w:rPr>
        <w:t xml:space="preserve">Arquitectura en capas y separación de responsabilidades.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pPr>
        <w:pStyle w:val="Heading3"/>
        <w:spacing w:after="0" w:before="240" w:line="480"/>
        <w:jc w:val="left"/>
      </w:pPr>
      <w:r>
        <w:rPr>
          <w:rFonts w:ascii="Times New Roman" w:cs="Times New Roman" w:eastAsia="Times New Roman" w:hAnsi="Times New Roman"/>
          <w:b/>
          <w:bCs/>
          <w:i/>
          <w:iCs/>
          <w:sz w:val="24"/>
          <w:szCs w:val="24"/>
        </w:rPr>
        <w:t xml:space="preserve">Servicios web de tipo REST.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6.2 Marco conceptual</w:t>
      </w:r>
    </w:p>
    <w:p>
      <w:pPr>
        <w:spacing w:after="0" w:before="240" w:line="240"/>
      </w:pPr>
      <w:r>
        <w:rPr>
          <w:rFonts w:ascii="Times New Roman" w:cs="Times New Roman" w:eastAsia="Times New Roman" w:hAnsi="Times New Roman"/>
          <w:b/>
          <w:bCs/>
          <w:i w:val="false"/>
          <w:iCs w:val="false"/>
          <w:sz w:val="22"/>
          <w:szCs w:val="22"/>
        </w:rPr>
        <w:t xml:space="preserve">Tabla 3</w:t>
      </w:r>
    </w:p>
    <w:p>
      <w:pPr>
        <w:spacing w:after="120" w:line="240"/>
      </w:pPr>
      <w:r>
        <w:rPr>
          <w:rFonts w:ascii="Times New Roman" w:cs="Times New Roman" w:eastAsia="Times New Roman" w:hAnsi="Times New Roman"/>
          <w:b w:val="false"/>
          <w:bCs w:val="false"/>
          <w:i/>
          <w:iCs/>
          <w:sz w:val="22"/>
          <w:szCs w:val="22"/>
        </w:rPr>
        <w:t xml:space="preserve">Definición de términos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Término</w:t>
            </w:r>
          </w:p>
        </w:tc>
        <w:tc>
          <w:tcPr>
            <w:tcW w:type="dxa" w:w="7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Definición operativa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 de reposición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que la empresa debe pagar al proveedor para adquirir nuevamente una unidad del producto.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 de margen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Expresión configurable que determina el precio de venta a partir del costo, en función de la categoría, el proveedor y la forma de pago.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 de precios</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Conjunto de costos remitido por un proveedor, con fecha de vigencia y estado de aplicación.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crítica</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Condición de un producto cuya cantidad disponible alcanzó o descendió del umbral mínimo configurado.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 de inventario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auditoría de todo cambio en la cantidad disponible, con su valor anterior y posterior.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Oferta comercial formal con vigencia determinada, que no compromete existencias hasta su conversión en pedido.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API REST</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Interfaz de programación de aplicaciones que expone los recursos del sistema mediante el protocolo de transferencia de hipertexto.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Entidad autorizada por la administración tributaria para transmitir y validar documentos electrónicos en nombre del facturador.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CUFE</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Código único de factura electrónica que identifica de forma inequívoca cada documento validado.</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Tercera forma normal</w:t>
            </w:r>
          </w:p>
        </w:tc>
        <w:tc>
          <w:tcPr>
            <w:tcW w:type="dxa" w:w="7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Estado de un modelo relacional en el que ningún atributo no clave depende de otro atributo no clave.</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6.3 Marco tecnológico</w:t>
      </w:r>
    </w:p>
    <w:p>
      <w:pPr>
        <w:spacing w:after="0" w:before="240" w:line="240"/>
      </w:pPr>
      <w:r>
        <w:rPr>
          <w:rFonts w:ascii="Times New Roman" w:cs="Times New Roman" w:eastAsia="Times New Roman" w:hAnsi="Times New Roman"/>
          <w:b/>
          <w:bCs/>
          <w:i w:val="false"/>
          <w:iCs w:val="false"/>
          <w:sz w:val="22"/>
          <w:szCs w:val="22"/>
        </w:rPr>
        <w:t xml:space="preserve">Tabla 4</w:t>
      </w:r>
    </w:p>
    <w:p>
      <w:pPr>
        <w:spacing w:after="120" w:line="240"/>
      </w:pPr>
      <w:r>
        <w:rPr>
          <w:rFonts w:ascii="Times New Roman" w:cs="Times New Roman" w:eastAsia="Times New Roman" w:hAnsi="Times New Roman"/>
          <w:b w:val="false"/>
          <w:bCs w:val="false"/>
          <w:i/>
          <w:iCs/>
          <w:sz w:val="22"/>
          <w:szCs w:val="22"/>
        </w:rPr>
        <w:t xml:space="preserve">Tecnologías previstas para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Tecnología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Justificación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Lenguaje del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17</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Alineación con el programa de formación y con el dominio ya desarrollado.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web</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Spring Boot 3</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Reduce el código de infraestructura y ofrece soporte nativo para servicios REST y seguridad.</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de datos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MySQL 8.0</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relacional con soporte de columnas generadas y transacciones, ya empleado en la fase previa.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Android nativo con Kotlin</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Acceso directo a la cámara para lectura de códigos y mejor rendimiento que las alternativas híbridas.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 HTTP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Retrofit y OkHttp</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Estándar de facto para consumo de servicios REST en Android.</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hojas de cálculo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Apache POI</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Biblioteca que permite procesar archivos de hoja de cálculo sin dependencia de software de ofimática.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administrativo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Swing</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Componente heredado de la fase previa, conservado sin reescritura.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JUnit 5 y Mockito</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Soporte para pruebas unitarias y de integración con dobles de prueba.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Control de versiones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Git y GitHub</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Historial del proyecto y soporte para integración continua.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Integración continua</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GitHub Actions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Ejecución automática de compilación y pruebas en cada envío de cambios.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Documentación de la API</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OpenAPI y Swagger UI</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Contrato legible por humanos y por máquinas entre backend y clientes.</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de interfaz</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Figma</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Diseño de pantallas previo a la implementación.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6.4 Marco legal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pPr>
        <w:spacing w:after="0" w:before="240" w:line="240"/>
      </w:pPr>
      <w:r>
        <w:rPr>
          <w:rFonts w:ascii="Times New Roman" w:cs="Times New Roman" w:eastAsia="Times New Roman" w:hAnsi="Times New Roman"/>
          <w:b/>
          <w:bCs/>
          <w:i w:val="false"/>
          <w:iCs w:val="false"/>
          <w:sz w:val="22"/>
          <w:szCs w:val="22"/>
        </w:rPr>
        <w:t xml:space="preserve">Tabla 5</w:t>
      </w:r>
    </w:p>
    <w:p>
      <w:pPr>
        <w:spacing w:after="120" w:line="240"/>
      </w:pPr>
      <w:r>
        <w:rPr>
          <w:rFonts w:ascii="Times New Roman" w:cs="Times New Roman" w:eastAsia="Times New Roman" w:hAnsi="Times New Roman"/>
          <w:b w:val="false"/>
          <w:bCs w:val="false"/>
          <w:i/>
          <w:iCs/>
          <w:sz w:val="22"/>
          <w:szCs w:val="22"/>
        </w:rPr>
        <w:t xml:space="preserve">Marco normativo aplicable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Norma</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Materia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Implicación para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1581 de 2012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Protección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Obliga a obtener autorización del titular, informar la finalidad del tratamiento y garantizar los derechos de acceso, rectificación y supresión sobre los datos de clientes y usuarios.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Decreto 1074 de 2015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Reglamentación del régimen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Establece las condiciones de la política de tratamiento y el registro de bases de datos.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1273 de 2009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Delitos informáticos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Fundamenta los controles de acceso, el cifrado de credenciales y el registro de auditoría de accesos.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527 de 1999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Comercio electrónico y firma digital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Otorga validez jurídica a los mensajes de datos y a los documentos electrónicos generados por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000165 de 2023</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de facturación electrónica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Define los requisitos técnicos y de contenido de la factura electrónica de venta y del documento soporte.</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1480 de 2011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del Consumidor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Determina las obligaciones de información de precio, garantía y condiciones de la oferta comercial.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numerales 5 y 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Bienes excluidos del impuesto sobre las ventas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del impuesto los computadores personales cuyo valor no exceda 50 UVT y los dispositivos móviles inteligentes cuyo valor no exceda 22 UVT. Obliga a que el cálculo del impuesto dependa de la categoría y del precio de venta, no de una tarifa única.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23 de 1982 y Decisión Andina 351 de 1993</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Derechos de autor sobre soporte lógico</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Regula la titularidad del código fuente producido y el uso de bibliotecas de terceros según su licencia.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normativa tributaria se actualiza periódicamente. Antes del despliegue en producción debe verificarse la vigencia de la resolución citada y de las disposiciones que la modifiquen.</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7. Metodología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7.1 Marco de trabajo seleccionado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se desarrolla bajo Scrum, marco de trabajo ágil basado en iteraciones de duración fija denominadas sprints, al final de las cuales se entrega un incremento de producto potencialmente utilizable.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7.2 Adaptación a un equipo unipersonal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Scrum presupone un equipo con roles diferenciados. En un proyecto individual esa separación no puede darse por personas, pero sí puede conservarse por momentos de trabajo, que es lo que aporta el valor del marco. La Tabla 6 documenta la adaptación.</w:t>
      </w:r>
    </w:p>
    <w:p>
      <w:pPr>
        <w:spacing w:after="0" w:before="240" w:line="240"/>
      </w:pPr>
      <w:r>
        <w:rPr>
          <w:rFonts w:ascii="Times New Roman" w:cs="Times New Roman" w:eastAsia="Times New Roman" w:hAnsi="Times New Roman"/>
          <w:b/>
          <w:bCs/>
          <w:i w:val="false"/>
          <w:iCs w:val="false"/>
          <w:sz w:val="22"/>
          <w:szCs w:val="22"/>
        </w:rPr>
        <w:t xml:space="preserve">Tabla 6</w:t>
      </w:r>
    </w:p>
    <w:p>
      <w:pPr>
        <w:spacing w:after="120" w:line="240"/>
      </w:pPr>
      <w:r>
        <w:rPr>
          <w:rFonts w:ascii="Times New Roman" w:cs="Times New Roman" w:eastAsia="Times New Roman" w:hAnsi="Times New Roman"/>
          <w:b w:val="false"/>
          <w:bCs w:val="false"/>
          <w:i/>
          <w:iCs/>
          <w:sz w:val="22"/>
          <w:szCs w:val="22"/>
        </w:rPr>
        <w:t xml:space="preserve">Adaptación de los roles de Scrum al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Rol</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Asignación</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Ejercicio en la práctica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 Owner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consulta con Black Steel Parts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Prioriza el backlog al inicio de cada sprint según el valor que la empresa declara.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Master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al cierre de cada sprint los impedimentos registrados y ajusta la estimación siguiente.</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 de desarrollo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Ejecuta análisis, diseño, codificación y pruebas del incremento.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académico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Yeimi Barrera</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los incrementos y verifica el cumplimiento de los resultados de aprendizaje.</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del negocio</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Black Steel Parts</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 los incrementos funcionales contra la operación real de la empresa.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concentración de roles en una sola persona es una limitación reconocida del proyecto. Se mitiga mediante el registro escrito de las decisiones de priorización, que obliga a explicitar el criterio en lugar de resolverlo de forma implícita.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7.3 Artefactos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Product backlog: lista priorizada de historias de usuario derivadas de los requisitos funcionales, mantenida en el repositorio del proyecto.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Sprint backlog: subconjunto de historias comprometidas para la iteración en curso, con sus tareas técnicas desglosadas.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Incremento: conjunto de funcionalidad terminada al cierre del sprint, integrada en la rama principal y con las pruebas en verde.</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decisiones de arquitectura: documento por cada decisión técnica relevante, con su contexto, la alternativa elegida y sus consecuencias.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7.4 Ceremonias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7.5 Definición de terminado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Una historia de usuario se considera terminada únicamente si satisface la totalidad de las condiciones siguientes: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código está integrado en la rama principal del repositorio.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Existen pruebas unitarias sobre la lógica de negocio introducida y la suite completa se ejecuta sin fallos.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flujo de integración continua finaliza en estado satisfactorio.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funcionalidad satisface los criterios de aceptación definidos en el requisito asociado.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documentación técnica afectada se encuentra actualizada.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No se han introducido credenciales ni datos sensibles en el código fuente.</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8. Análisis de Requisitos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requisitos se especifican con criterios de aceptación verificables. Un requisito sin criterio de aceptación no puede darse por cumplido, porque no existe forma objetiva de determinar cuándo se satisface. La prioridad se establece según el impacto de su ausencia sobre la operación de la empresa.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8.1 Requisitos funcionales</w:t>
      </w:r>
    </w:p>
    <w:p>
      <w:pPr>
        <w:spacing w:after="0" w:before="240" w:line="240"/>
      </w:pPr>
      <w:r>
        <w:rPr>
          <w:rFonts w:ascii="Times New Roman" w:cs="Times New Roman" w:eastAsia="Times New Roman" w:hAnsi="Times New Roman"/>
          <w:b/>
          <w:bCs/>
          <w:i w:val="false"/>
          <w:iCs w:val="false"/>
          <w:sz w:val="22"/>
          <w:szCs w:val="22"/>
        </w:rPr>
        <w:t xml:space="preserve">Tabla 7</w:t>
      </w:r>
    </w:p>
    <w:p>
      <w:pPr>
        <w:spacing w:after="120" w:line="240"/>
      </w:pPr>
      <w:r>
        <w:rPr>
          <w:rFonts w:ascii="Times New Roman" w:cs="Times New Roman" w:eastAsia="Times New Roman" w:hAnsi="Times New Roman"/>
          <w:b w:val="false"/>
          <w:bCs w:val="false"/>
          <w:i/>
          <w:iCs/>
          <w:sz w:val="22"/>
          <w:szCs w:val="22"/>
        </w:rPr>
        <w:t xml:space="preserve">Requisitos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20"/>
        <w:gridCol w:w="3180"/>
        <w:gridCol w:w="3060"/>
        <w:gridCol w:w="900"/>
      </w:tblGrid>
      <w:tr>
        <w:trPr>
          <w:tblHeader/>
        </w:trPr>
        <w:tc>
          <w:tcPr>
            <w:tcW w:type="dxa" w:w="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152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Módulo</w:t>
            </w:r>
          </w:p>
        </w:tc>
        <w:tc>
          <w:tcPr>
            <w:tcW w:type="dxa" w:w="318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w:t>
            </w:r>
          </w:p>
        </w:tc>
        <w:tc>
          <w:tcPr>
            <w:tcW w:type="dxa" w:w="30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Criterio de aceptación</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Autenticar al usuario mediante correo y contraseña, emitiendo un token de acceso con vigencia limitada.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Credenciales válidas devuelven token; credenciales inválidas devuelven error genérico sin revelar la causa.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Bloquear la cuenta tras cinco intentos fallidos consecutivos.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sexto intento devuelve cuenta bloqueada y genera registro de auditoría.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todo intento de acceso con fecha, origen y resultado.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Cada intento, exitoso o fallido, produce un registro consultable.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Restringir el acceso a los recursos según el rol del usuario autenticado.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usuario con rol Cliente recibe error de autorización al invocar recursos de administración.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 con código, nombre, categoría, proveedor, costo, existencia y umbral mínimo.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producto queda consultable y con sus precios de venta calculados.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los datos de un producto conservando el historial de cambios de costo.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del costo genera un registro histórico con fecha de vigencia.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el catálogo con filtros por categoría, proveedor y estado de existencia, con paginación.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consulta devuelve resultados paginados en menos de un segundo con diez mil referencias.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un producto mediante lectura de su código de barras o código QR desde la cámara del dispositivo.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lectura de un código registrado despliega la ficha del producto.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un producto sin eliminarlo, preservando su historial de movimientos.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producto desactivado no aparece en el catálogo pero conserva sus registros históricos.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proveedores con identificación tributaria, contacto y condiciones comerciales.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proveedor queda disponible para asociación con productos y listas de precios.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Cargar una lista de precios de proveedor desde archivo de hoja de cálculo.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procesa el archivo y presenta una vista previa antes de aplicarlo.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la lista de precios de un proveedor desde su servicio web cuando este se encuentre disponible.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consulta obtiene los precios vigentes y los presenta bajo el mismo formato que la carga de archivo.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por proveedor la correspondencia entre las columnas del archivo de origen y los campos del sistema.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configuración se guarda y se reutiliza en cargas posteriores del mismo proveedor.</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Validar la lista importada antes de aplicarla, reportando los registros rechazados con su causa.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registros con costo no numérico, negativo o sin referencia se rechazan y se listan.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Aplicar la lista validada actualizando el costo de los productos correspondientes.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costos quedan actualizados y la carga registra cuántos registros se aplicaron.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Conservar el historial de costos de cada producto con su fecha de vigencia.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 posible consultar el costo vigente de un producto en cualquier fecha pasada.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 por categoría, proveedor y forma de pago.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 una regla no requiere recompilar ni desplegar el sistema.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Recalcular automáticamente el precio de venta de los productos afectados al aplicarse una lista de precios.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Tras aplicar la lista, ningún producto conserva un precio derivado de un costo anterior.</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Presentar el precio de contado y el precio de crédito de cada producto.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Ambos precios se muestran en la ficha del producto y en el catálogo.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 con varias líneas de producto, cliente asociado y fecha de vigencia.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cotización se guarda con estado vigente y no compromete existencias.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Exportar la cotización a formato de documento portátil con la identidad visual de la empresa.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documento generado incluye líneas, subtotal, impuesto, total y vigencia.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una cotización vigente en pedido sin reingresar la información.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pedido conserva los precios congelados en la cotización de origen.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la venta descontando las existencias dentro de una única transacción de base de datos.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 falla cualquiera de los dos pasos, no se persiste ninguno de los 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 mediante el proveedor tecnológico autorizado y almacenar el código único devuelto.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factura validada queda asociada a la venta con su código único.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el estado de validación de cada factura emitida.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distingue entre factura enviada, validada y rechazada, con el motivo del rechazo.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 aumentando la existencia y generando el movimiento correspondiente.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ingreso incrementa la existencia y produce un registro de movimiento.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todo cambio de existencia con su valor anterior y posterior, tipo de movimiento y usuario responsable.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 posible reconstruir la totalidad del historial de existencias de cualquier referencia.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Notificar los productos cuya existencia alcanza o desciende del umbral mínimo configurado.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notificación se genera en el momento en que la existencia cruza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existencias valorizadas al costo y al precio de venta.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totaliza el valor del inventario y admite filtro por categoría.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rotación con indicación del capital inmovilizado por referencia.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identifica las referencias sin movimiento en el período seleccionado.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reporte de ingresos y egresos por período.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reporte discrimina por tipo de movimiento y totaliza por período.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Permitir la consulta del catálogo previamente sincronizado sin conexión a la red.</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aplicación muestra los datos sincronizados e indica la fecha de la última sincronización.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Baja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Determinar el tratamiento tributario de cada producto según su categoría y el umbral en unidades de valor tributario vigente.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computador con precio de venta igual o inferior al umbral se factura sin impuesto; uno superior lo causa a la tarifa general.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Advertir cuando el recálculo de precios hace que un producto cruce el umbral de exclusión del impuesto.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Tras aplicar una lista de precios, el sistema lista las referencias que pasaron de excluidas a gravadas.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Aplicar envío sin costo cuando el subtotal de la compra, antes del impuesto, supera el umbral configurado.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subtotal de novecientos mil pesos genera cobro de envío aunque su total con impuesto supere el millón; un subtotal superior al umbral no lo genera.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Permitir que el vendedor otorgue el envío sin costo por debajo del umbral, registrando motivo y responsable de la autorización.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documento distingue si el envío proviene de la regla o de una decisión manual, y el obsequio manual sin motivo o sin responsable se rechaza.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RF-36</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Administrar desde la interfaz el valor anual de la unidad de valor tributario, los umbrales, las tarifas de impuesto, los factores de margen, la vigencia de cotización y el umbral de envío.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modificación de cualquiera de estos valores no requiere recompilar ni desplegar el sistema.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Se especifican treinta y siete requisitos funcionales distribuidos en diez módulos. Los requisitos de prioridad alta constituyen el producto mínimo viable del proyecto.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8.2 Requisitos no funcionales</w:t>
      </w:r>
    </w:p>
    <w:p>
      <w:pPr>
        <w:spacing w:after="0" w:before="240" w:line="240"/>
      </w:pPr>
      <w:r>
        <w:rPr>
          <w:rFonts w:ascii="Times New Roman" w:cs="Times New Roman" w:eastAsia="Times New Roman" w:hAnsi="Times New Roman"/>
          <w:b/>
          <w:bCs/>
          <w:i w:val="false"/>
          <w:iCs w:val="false"/>
          <w:sz w:val="22"/>
          <w:szCs w:val="22"/>
        </w:rPr>
        <w:t xml:space="preserve">Tabla 8</w:t>
      </w:r>
    </w:p>
    <w:p>
      <w:pPr>
        <w:spacing w:after="120" w:line="240"/>
      </w:pPr>
      <w:r>
        <w:rPr>
          <w:rFonts w:ascii="Times New Roman" w:cs="Times New Roman" w:eastAsia="Times New Roman" w:hAnsi="Times New Roman"/>
          <w:b w:val="false"/>
          <w:bCs w:val="false"/>
          <w:i/>
          <w:iCs/>
          <w:sz w:val="22"/>
          <w:szCs w:val="22"/>
        </w:rPr>
        <w:t xml:space="preserve">Requisitos no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800"/>
        <w:gridCol w:w="3460"/>
      </w:tblGrid>
      <w:tr>
        <w:trPr>
          <w:tblHeader/>
        </w:trPr>
        <w:tc>
          <w:tcPr>
            <w:tcW w:type="dxa" w:w="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1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Categoría</w:t>
            </w:r>
          </w:p>
        </w:tc>
        <w:tc>
          <w:tcPr>
            <w:tcW w:type="dxa" w:w="3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w:t>
            </w:r>
          </w:p>
        </w:tc>
        <w:tc>
          <w:tcPr>
            <w:tcW w:type="dxa" w:w="34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Criterio de aceptación</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 usuario sin capacitación previa completa el registro de un producto en menos de dos minutos.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con tres usuarios nuevos; tiempo medido inferior a ciento veinte segundos.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flujo de generación de una cotización desde el catálogo móvil no supera cinco interacciones.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Recorrido verificado sobre el prototipo y sobre la aplicación construida.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interfaz de programación de aplicaciones responde en menos de quinientos milisegundos.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Percentil noventa y cinco medido con catálogo de diez mil referencias.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procesamiento de una lista de precios de cinco mil registros se completa en menos de sesenta 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Medición sobre archivo de prueba con cinco mil filas.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Escalabilidad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opera con diez mil productos y cincuenta usuarios concurrentes sin degradación perceptible.</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carga con las magnitudes indicadas.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Las contraseñas se almacenan mediante derivación de clave con función PBKDF2, ciento veinte mil iteraciones y sal aleatoria de dieciséis bytes por usuario.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Inspección del formato almacenado; ruta de migración a Argon2id documentada como decisión de arquitectura.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RNF-07</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Toda comunicación entre clientes y servicio se realiza sobre TLS 1.2 o superior.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Verificación del certificado y rechazo de conexiones no cifradas.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token de sesión expira a los treinta minutos de inactividad y requiere renovación explícita.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expiración con temporizador.</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Trazabilidad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 cambio de existencia queda registrado con valor anterior y posterior.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totalidad de los movimientos de una referencia permite reconstruir su existencia actual.</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servicio se encuentra disponible el noventa y nueve por ciento del horario laboral.</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Monitoreo mensual de disponibilidad.</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Mantenibilidad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cobertura de pruebas sobre las capas de dominio y lógica de negocio alcanza al menos el setenta por ciento.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Informe de cobertura generado en la integración continua.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Compatibilidad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aplicación móvil opera sobre Android 10 o versiones posteriores.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instalación y ejecución en tres versiones distintas del sistema operativo.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contraste entre texto y fondo no es inferior a la relación 4,5 a 1.</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Validación con herramienta de análisis de contraste conforme a WCAG 2.1 nivel AA.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Localización</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Los valores monetarios se presentan en pesos colombianos con punto como separador de miles. Las tarifas de impuesto, los umbrales expresados en unidades de valor tributario, los factores de margen y el umbral de envío son parametrizables.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modificación de cada parámetro sin despliegue, con verificación del efecto sobre el cálculo.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Respaldo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base de datos cuenta con respaldo diario automatizado y retención de treinta días.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Prueba de restauración completa sobre entorno de pruebas.</w:t>
            </w:r>
          </w:p>
        </w:tc>
      </w:tr>
      <w:tr>
        <w:trPr>
          <w:cantSplit/>
        </w:trPr>
        <w:tc>
          <w:tcPr>
            <w:tcW w:type="dxa" w:w="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RNF-16</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Legal</w:t>
            </w:r>
          </w:p>
        </w:tc>
        <w:tc>
          <w:tcPr>
            <w:tcW w:type="dxa" w:w="3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registra la autorización del titular para el tratamiento de sus datos personales.</w:t>
            </w:r>
          </w:p>
        </w:tc>
        <w:tc>
          <w:tcPr>
            <w:tcW w:type="dxa" w:w="34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Cada registro de cliente conserva fecha y medio de la autorización.</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requisito RNF-06 corrige la especificación de la fase previa, que exigía el algoritmo bcrypt mientras la implementación empleaba PBKDF2. Se documenta el mecanismo efectivamente implementado junto con su ruta de migración.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8.3 Matriz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matriz vincula cada objetivo específico con los requisitos que lo materializan. Su función es doble: evita que un objetivo quede sin desarrollo asociado y evita que se desarrolle funcionalidad que ningún objetivo respalda.</w:t>
      </w:r>
    </w:p>
    <w:p>
      <w:pPr>
        <w:spacing w:after="0" w:before="240" w:line="240"/>
      </w:pPr>
      <w:r>
        <w:rPr>
          <w:rFonts w:ascii="Times New Roman" w:cs="Times New Roman" w:eastAsia="Times New Roman" w:hAnsi="Times New Roman"/>
          <w:b/>
          <w:bCs/>
          <w:i w:val="false"/>
          <w:iCs w:val="false"/>
          <w:sz w:val="22"/>
          <w:szCs w:val="22"/>
        </w:rPr>
        <w:t xml:space="preserve">Tabla 9</w:t>
      </w:r>
    </w:p>
    <w:p>
      <w:pPr>
        <w:spacing w:after="120" w:line="240"/>
      </w:pPr>
      <w:r>
        <w:rPr>
          <w:rFonts w:ascii="Times New Roman" w:cs="Times New Roman" w:eastAsia="Times New Roman" w:hAnsi="Times New Roman"/>
          <w:b w:val="false"/>
          <w:bCs w:val="false"/>
          <w:i/>
          <w:iCs/>
          <w:sz w:val="22"/>
          <w:szCs w:val="22"/>
        </w:rPr>
        <w:t xml:space="preserve">Trazabilidad entre objetivos específicos y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Objetivo específico</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 Analizar procesos y especificar requisitos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Transversal a la totalidad de los requisitos</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Diseñar el modelo de datos y la arquitectura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RF-06, RF-16, RF-27</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 Implementar el backend y sus módulos núcleo</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a RF-09, RF-23, RF-26 a RF-31, RF-35 a RF-37</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4. Construir el módulo de importación y el motor de precios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a RF-19, RF-33, RF-34</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Desarrollar la aplicación móvil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RF-08, RF-19, RF-20, RF-22, RF-32</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6. Integrar la facturación electrónica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rPr>
          <w:cantSplit/>
        </w:trPr>
        <w:tc>
          <w:tcPr>
            <w:tcW w:type="dxa" w:w="4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7. Validar el sistema mediante pruebas</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Verificación de los criterios de aceptación de todos los requisitos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8.4 Reglas de negocio parametrizadas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valores que gobiernan el cálculo comercial provienen de decisiones de la empresa y de la normativa tributaria, y ambas cambian. Por esa razón ninguno se codifica: todos se almacenan como parámetros con fecha de vigencia y se administran desde la interfaz.</w:t>
      </w:r>
    </w:p>
    <w:p>
      <w:pPr>
        <w:pStyle w:val="Heading3"/>
        <w:spacing w:after="0" w:before="240" w:line="480"/>
        <w:jc w:val="left"/>
      </w:pPr>
      <w:r>
        <w:rPr>
          <w:rFonts w:ascii="Times New Roman" w:cs="Times New Roman" w:eastAsia="Times New Roman" w:hAnsi="Times New Roman"/>
          <w:b/>
          <w:bCs/>
          <w:i/>
          <w:iCs/>
          <w:sz w:val="24"/>
          <w:szCs w:val="24"/>
        </w:rPr>
        <w:t xml:space="preserve">Márgenes de rentabilidad.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margen se diferencia por forma de pago. El diferencial de cinco puntos sobre las operaciones a crédito compensa el costo financiero y la comisión de la franquicia.</w:t>
      </w:r>
    </w:p>
    <w:p>
      <w:pPr>
        <w:spacing w:after="0" w:before="240" w:line="240"/>
      </w:pPr>
      <w:r>
        <w:rPr>
          <w:rFonts w:ascii="Times New Roman" w:cs="Times New Roman" w:eastAsia="Times New Roman" w:hAnsi="Times New Roman"/>
          <w:b/>
          <w:bCs/>
          <w:i w:val="false"/>
          <w:iCs w:val="false"/>
          <w:sz w:val="22"/>
          <w:szCs w:val="22"/>
        </w:rPr>
        <w:t xml:space="preserve">Tabla 10</w:t>
      </w:r>
    </w:p>
    <w:p>
      <w:pPr>
        <w:spacing w:after="120" w:line="240"/>
      </w:pPr>
      <w:r>
        <w:rPr>
          <w:rFonts w:ascii="Times New Roman" w:cs="Times New Roman" w:eastAsia="Times New Roman" w:hAnsi="Times New Roman"/>
          <w:b w:val="false"/>
          <w:bCs w:val="false"/>
          <w:i/>
          <w:iCs/>
          <w:sz w:val="22"/>
          <w:szCs w:val="22"/>
        </w:rPr>
        <w:t xml:space="preserve">Factores de margen vigentes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Forma de pago</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Medios que la componen</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Factor</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Margen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Contado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Efectivo, transferencia bancaria</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20 %</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Crédito</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Tarjeta de crédito, crédito directo</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25 %</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3"/>
        <w:spacing w:after="0" w:before="240" w:line="480"/>
        <w:jc w:val="left"/>
      </w:pPr>
      <w:r>
        <w:rPr>
          <w:rFonts w:ascii="Times New Roman" w:cs="Times New Roman" w:eastAsia="Times New Roman" w:hAnsi="Times New Roman"/>
          <w:b/>
          <w:bCs/>
          <w:i/>
          <w:iCs/>
          <w:sz w:val="24"/>
          <w:szCs w:val="24"/>
        </w:rPr>
        <w:t xml:space="preserve">Tratamiento del impuesto sobre las ventas.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cuyo valor no exceda veintidós. La exclusión opera por debajo del umbral: el equipo económico no causa impuesto y el costoso sí. El valor de referencia es el precio de venta al público.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del costo. Para el sistema la diferencia se refleja en cómo se registra el documento, no solo en el valor cobrado al cliente.</w:t>
      </w:r>
    </w:p>
    <w:p>
      <w:pPr>
        <w:spacing w:after="0" w:before="240" w:line="240"/>
      </w:pPr>
      <w:r>
        <w:rPr>
          <w:rFonts w:ascii="Times New Roman" w:cs="Times New Roman" w:eastAsia="Times New Roman" w:hAnsi="Times New Roman"/>
          <w:b/>
          <w:bCs/>
          <w:i w:val="false"/>
          <w:iCs w:val="false"/>
          <w:sz w:val="22"/>
          <w:szCs w:val="22"/>
        </w:rPr>
        <w:t xml:space="preserve">Tabla 11</w:t>
      </w:r>
    </w:p>
    <w:p>
      <w:pPr>
        <w:spacing w:after="120" w:line="240"/>
      </w:pPr>
      <w:r>
        <w:rPr>
          <w:rFonts w:ascii="Times New Roman" w:cs="Times New Roman" w:eastAsia="Times New Roman" w:hAnsi="Times New Roman"/>
          <w:b w:val="false"/>
          <w:bCs w:val="false"/>
          <w:i/>
          <w:iCs/>
          <w:sz w:val="22"/>
          <w:szCs w:val="22"/>
        </w:rPr>
        <w:t xml:space="preserve">Tratamiento tributario por categoría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1500"/>
        <w:gridCol w:w="1660"/>
        <w:gridCol w:w="160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Categoría</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Tratamiento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Umbral</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Equivalencia 2026</w:t>
            </w:r>
          </w:p>
        </w:tc>
        <w:tc>
          <w:tcPr>
            <w:tcW w:type="dxa" w:w="1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Tarifa</w:t>
            </w:r>
          </w:p>
        </w:tc>
        <w:tc>
          <w:tcPr>
            <w:tcW w:type="dxa" w:w="1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Fundamento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Computadores de escritorio y portátiles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$2.618.700</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5 ET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Celulares y tabletas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$1.152.228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6 ET</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Resto del catálogo</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Gravado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pPr>
        <w:pStyle w:val="Heading3"/>
        <w:spacing w:after="0" w:before="240" w:line="480"/>
        <w:jc w:val="left"/>
      </w:pPr>
      <w:r>
        <w:rPr>
          <w:rFonts w:ascii="Times New Roman" w:cs="Times New Roman" w:eastAsia="Times New Roman" w:hAnsi="Times New Roman"/>
          <w:b/>
          <w:bCs/>
          <w:i/>
          <w:iCs/>
          <w:sz w:val="24"/>
          <w:szCs w:val="24"/>
        </w:rPr>
        <w:t xml:space="preserve">El salto de precio en el umbral.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incremento de cien mil pesos en el costo produce un salto superior a seiscientos mil pesos en el precio final.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Por eso el requisito RF-34 exige que el sistema advierta cuando un recálculo cruza el umbral. La decisión de reducir el margen para permanecer por debajo del tope es comercial, no automática, pero no puede tomarse si el sistema no señala la situación.</w:t>
      </w:r>
    </w:p>
    <w:p>
      <w:pPr>
        <w:pStyle w:val="Heading3"/>
        <w:spacing w:after="0" w:before="240" w:line="480"/>
        <w:jc w:val="left"/>
      </w:pPr>
      <w:r>
        <w:rPr>
          <w:rFonts w:ascii="Times New Roman" w:cs="Times New Roman" w:eastAsia="Times New Roman" w:hAnsi="Times New Roman"/>
          <w:b/>
          <w:bCs/>
          <w:i/>
          <w:iCs/>
          <w:sz w:val="24"/>
          <w:szCs w:val="24"/>
        </w:rPr>
        <w:t xml:space="preserve">Condiciones de envío y de vigencia.</w:t>
      </w:r>
    </w:p>
    <w:p>
      <w:pPr>
        <w:spacing w:after="0" w:before="240" w:line="240"/>
      </w:pPr>
      <w:r>
        <w:rPr>
          <w:rFonts w:ascii="Times New Roman" w:cs="Times New Roman" w:eastAsia="Times New Roman" w:hAnsi="Times New Roman"/>
          <w:b/>
          <w:bCs/>
          <w:i w:val="false"/>
          <w:iCs w:val="false"/>
          <w:sz w:val="22"/>
          <w:szCs w:val="22"/>
        </w:rPr>
        <w:t xml:space="preserve">Tabla 12</w:t>
      </w:r>
    </w:p>
    <w:p>
      <w:pPr>
        <w:spacing w:after="120" w:line="240"/>
      </w:pPr>
      <w:r>
        <w:rPr>
          <w:rFonts w:ascii="Times New Roman" w:cs="Times New Roman" w:eastAsia="Times New Roman" w:hAnsi="Times New Roman"/>
          <w:b w:val="false"/>
          <w:bCs w:val="false"/>
          <w:i/>
          <w:iCs/>
          <w:sz w:val="22"/>
          <w:szCs w:val="22"/>
        </w:rPr>
        <w:t xml:space="preserve">Condiciones comerciales parametrizadas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c>
          <w:tcPr>
            <w:tcW w:type="dxa" w:w="3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3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Base de cálculo o precisión</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sin costo</w:t>
            </w:r>
          </w:p>
        </w:tc>
        <w:tc>
          <w:tcPr>
            <w:tcW w:type="dxa" w:w="3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 superior a $1.000.000</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 antes del impuesto. La comparación es estricta: un subtotal de exactamente un millón no alcanza el beneficio.</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Obsequio manual de envío</w:t>
            </w:r>
          </w:p>
        </w:tc>
        <w:tc>
          <w:tcPr>
            <w:tcW w:type="dxa" w:w="3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Permitido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puede otorgarlo por debajo del umbral indicando motivo y responsable.</w:t>
            </w:r>
          </w:p>
        </w:tc>
      </w:tr>
      <w:tr>
        <w:trPr>
          <w:cantSplit/>
        </w:trP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la cotización</w:t>
            </w:r>
          </w:p>
        </w:tc>
        <w:tc>
          <w:tcPr>
            <w:tcW w:type="dxa" w:w="3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sábados, domingos y festivos de Colombia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base del umbral de envío es el subtotal y no el total, porque con referencias excluidas del impuesto en el catálogo dos compras con la misma mercancía caerían en lados distintos del umbral solo por su tratamiento tributario. El cómputo en días hábiles exige una tabla de días no laborables, porque el calendario colombiano se rige por la Ley 51 de 1983 y traslada varias festividades al lunes siguiente.</w:t>
      </w:r>
    </w:p>
    <w:p>
      <w:pPr>
        <w:spacing w:after="0" w:before="240" w:line="240"/>
      </w:pPr>
      <w:r>
        <w:rPr>
          <w:rFonts w:ascii="Times New Roman" w:cs="Times New Roman" w:eastAsia="Times New Roman" w:hAnsi="Times New Roman"/>
          <w:b/>
          <w:bCs/>
          <w:i w:val="false"/>
          <w:iCs w:val="false"/>
          <w:sz w:val="22"/>
          <w:szCs w:val="22"/>
        </w:rPr>
        <w:t xml:space="preserve">Tabla 13</w:t>
      </w:r>
    </w:p>
    <w:p>
      <w:pPr>
        <w:spacing w:after="120" w:line="240"/>
      </w:pPr>
      <w:r>
        <w:rPr>
          <w:rFonts w:ascii="Times New Roman" w:cs="Times New Roman" w:eastAsia="Times New Roman" w:hAnsi="Times New Roman"/>
          <w:b w:val="false"/>
          <w:bCs w:val="false"/>
          <w:i/>
          <w:iCs/>
          <w:sz w:val="22"/>
          <w:szCs w:val="22"/>
        </w:rPr>
        <w:t xml:space="preserve">Valores de referencia vigentes al momento de la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Parámetro</w:t>
            </w:r>
          </w:p>
        </w:tc>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4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Fuente y vigencia</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Unidad de valor tributario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000238 de 2025, año gravable 2026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468</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computadores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5</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celulares y tabletas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contado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crédito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envío sin costo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 de subtotal</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Obsequio manual de envío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Permitido, con motivo y responsable</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cotización</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4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estos valores es susceptible de cambio. El sistema los administra como parámetros con fecha de vigencia, y conserva el histórico para que un documento emitido en el pasado pueda reconstruirse con los valores que regían en su momento.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9. Modelado del Sistema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diagramas se dividen por dominio funcional en lugar de presentarse como una sola pieza. Un diagrama que no se puede leer no documenta nada, y la totalidad del sistema en una sola imagen resultaría ilegible a tamaño de página.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9.1 Actores</w:t>
      </w:r>
    </w:p>
    <w:p>
      <w:pPr>
        <w:spacing w:after="0" w:before="240" w:line="240"/>
      </w:pPr>
      <w:r>
        <w:rPr>
          <w:rFonts w:ascii="Times New Roman" w:cs="Times New Roman" w:eastAsia="Times New Roman" w:hAnsi="Times New Roman"/>
          <w:b/>
          <w:bCs/>
          <w:i w:val="false"/>
          <w:iCs w:val="false"/>
          <w:sz w:val="22"/>
          <w:szCs w:val="22"/>
        </w:rPr>
        <w:t xml:space="preserve">Tabla 14</w:t>
      </w:r>
    </w:p>
    <w:p>
      <w:pPr>
        <w:spacing w:after="120" w:line="240"/>
      </w:pPr>
      <w:r>
        <w:rPr>
          <w:rFonts w:ascii="Times New Roman" w:cs="Times New Roman" w:eastAsia="Times New Roman" w:hAnsi="Times New Roman"/>
          <w:b w:val="false"/>
          <w:bCs w:val="false"/>
          <w:i/>
          <w:iCs/>
          <w:sz w:val="22"/>
          <w:szCs w:val="22"/>
        </w:rPr>
        <w:t xml:space="preserve">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5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Personal con acceso completo. Gestiona catálogo, proveedores, reglas de margen, usuarios y reportes.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catálogo, genera cotizaciones y registra pedidos desde la aplicación móvil.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Principal</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catálogo y precios, y recibe cotizaciones. Acceso restringido a información comercial.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de proveedor</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externo que expone listas de precios mediante servicio web.</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 de facturación</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externo autorizado que transmite y valida las facturas electrónicas ante la autoridad tributaria.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SGIP</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Secundario</w:t>
            </w:r>
          </w:p>
        </w:tc>
        <w:tc>
          <w:tcPr>
            <w:tcW w:type="dxa" w:w="5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Ejecuta cálculos, valida entradas, actualiza existencias y genera registros de auditoría de forma automática.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9.2 Diagramas de casos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identifican dieciocho casos de uso. La Tabla 15 los relaciona con su actor principal y con los requisitos funcionales que materializan; las Figuras 1 a 3 los representan agrupados por dominio. La especificación expandida de cada uno, con flujo principal, flujos alternativos, flujos de excepción y reglas de negocio, se desarrolla en el Anexo E, que se presenta como documento independiente por su extensión.</w:t>
      </w:r>
    </w:p>
    <w:p>
      <w:pPr>
        <w:spacing w:after="0" w:before="240" w:line="240"/>
      </w:pPr>
      <w:r>
        <w:rPr>
          <w:rFonts w:ascii="Times New Roman" w:cs="Times New Roman" w:eastAsia="Times New Roman" w:hAnsi="Times New Roman"/>
          <w:b/>
          <w:bCs/>
          <w:i w:val="false"/>
          <w:iCs w:val="false"/>
          <w:sz w:val="22"/>
          <w:szCs w:val="22"/>
        </w:rPr>
        <w:t xml:space="preserve">Tabla 15</w:t>
      </w:r>
    </w:p>
    <w:p>
      <w:pPr>
        <w:spacing w:after="120" w:line="240"/>
      </w:pPr>
      <w:r>
        <w:rPr>
          <w:rFonts w:ascii="Times New Roman" w:cs="Times New Roman" w:eastAsia="Times New Roman" w:hAnsi="Times New Roman"/>
          <w:b w:val="false"/>
          <w:bCs w:val="false"/>
          <w:i/>
          <w:iCs/>
          <w:sz w:val="22"/>
          <w:szCs w:val="22"/>
        </w:rPr>
        <w:t xml:space="preserve">Casos de uso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350"/>
        <w:gridCol w:w="2810"/>
      </w:tblGrid>
      <w:tr>
        <w:trPr>
          <w:tblHeader/>
        </w:trPr>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ID</w:t>
            </w:r>
          </w:p>
        </w:tc>
        <w:tc>
          <w:tcPr>
            <w:tcW w:type="dxa" w:w="3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Caso de uso</w:t>
            </w:r>
          </w:p>
        </w:tc>
        <w:tc>
          <w:tcPr>
            <w:tcW w:type="dxa" w:w="235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281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que cubre</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Iniciar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RF-03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Cerrar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usuarios y roles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catálogo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RF-19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CU-08</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producto por código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CU-09</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proveedores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CU-10</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correspondencia de columnas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Importar lista de precios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 RF-12, RF-14, RF-15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 RF-18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 RF-21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cotización en pedido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venta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 RF-27</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CU-18</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reportes</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 RF-30, RF-31</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spacing w:after="0" w:before="240" w:line="240"/>
      </w:pPr>
      <w:r>
        <w:rPr>
          <w:rFonts w:ascii="Times New Roman" w:cs="Times New Roman" w:eastAsia="Times New Roman" w:hAnsi="Times New Roman"/>
          <w:b/>
          <w:bCs/>
          <w:i w:val="false"/>
          <w:iCs w:val="false"/>
          <w:sz w:val="22"/>
          <w:szCs w:val="22"/>
        </w:rPr>
        <w:t xml:space="preserve">Figura 1</w:t>
      </w:r>
    </w:p>
    <w:p>
      <w:pPr>
        <w:keepNext/>
        <w:spacing w:after="120" w:line="240"/>
      </w:pPr>
      <w:r>
        <w:rPr>
          <w:rFonts w:ascii="Times New Roman" w:cs="Times New Roman" w:eastAsia="Times New Roman" w:hAnsi="Times New Roman"/>
          <w:b w:val="false"/>
          <w:bCs w:val="false"/>
          <w:i/>
          <w:iCs/>
          <w:sz w:val="22"/>
          <w:szCs w:val="22"/>
        </w:rPr>
        <w:t xml:space="preserve">Casos de uso de seguridad y catálogo</w:t>
      </w:r>
    </w:p>
    <w:p>
      <w:pPr>
        <w:keepNext/>
        <w:spacing w:after="120"/>
        <w:jc w:val="center"/>
      </w:pPr>
      <w:r>
        <w:drawing>
          <wp:inline distT="0" distB="0" distL="0" distR="0">
            <wp:extent cx="38195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95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inicio de sesión es precondición de los demás casos de uso, no una relación de inclusión.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w:t>
      </w:r>
    </w:p>
    <w:p>
      <w:pPr>
        <w:keepNext/>
        <w:spacing w:after="120" w:line="240"/>
      </w:pPr>
      <w:r>
        <w:rPr>
          <w:rFonts w:ascii="Times New Roman" w:cs="Times New Roman" w:eastAsia="Times New Roman" w:hAnsi="Times New Roman"/>
          <w:b w:val="false"/>
          <w:bCs w:val="false"/>
          <w:i/>
          <w:iCs/>
          <w:sz w:val="22"/>
          <w:szCs w:val="22"/>
        </w:rPr>
        <w:t xml:space="preserve">Casos de uso de abastecimiento y precios</w:t>
      </w:r>
    </w:p>
    <w:p>
      <w:pPr>
        <w:keepNext/>
        <w:spacing w:after="12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050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importación de una lista de precios incluye la validación de sus registros y el recálculo de los precios de venta, que a su vez depende de las reglas de margen vigentes.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w:t>
      </w:r>
    </w:p>
    <w:p>
      <w:pPr>
        <w:keepNext/>
        <w:spacing w:after="120" w:line="240"/>
      </w:pPr>
      <w:r>
        <w:rPr>
          <w:rFonts w:ascii="Times New Roman" w:cs="Times New Roman" w:eastAsia="Times New Roman" w:hAnsi="Times New Roman"/>
          <w:b w:val="false"/>
          <w:bCs w:val="false"/>
          <w:i/>
          <w:iCs/>
          <w:sz w:val="22"/>
          <w:szCs w:val="22"/>
        </w:rPr>
        <w:t xml:space="preserve">Casos de uso comerciales, de inventario y de reportes</w:t>
      </w:r>
    </w:p>
    <w:p>
      <w:pPr>
        <w:keepNext/>
        <w:spacing w:after="120"/>
        <w:jc w:val="center"/>
      </w:pPr>
      <w:r>
        <w:drawing>
          <wp:inline distT="0" distB="0" distL="0" distR="0">
            <wp:extent cx="59436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86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registro de la venta incluye la emisión de la factura y el registro del movimiento de inventario. La conversión de la cotización en pedido extiende la generación de la cotización, por ser un flujo opcional posterior.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9.3 Diagramas de clases</w:t>
      </w:r>
    </w:p>
    <w:p>
      <w:pPr>
        <w:pStyle w:val="Heading3"/>
        <w:spacing w:after="0" w:before="240" w:line="480"/>
        <w:jc w:val="left"/>
      </w:pPr>
      <w:r>
        <w:rPr>
          <w:rFonts w:ascii="Times New Roman" w:cs="Times New Roman" w:eastAsia="Times New Roman" w:hAnsi="Times New Roman"/>
          <w:b/>
          <w:bCs/>
          <w:i/>
          <w:iCs/>
          <w:sz w:val="24"/>
          <w:szCs w:val="24"/>
        </w:rPr>
        <w:t xml:space="preserve">Capa de modelo.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pPr>
        <w:keepNext/>
        <w:spacing w:after="0" w:before="240" w:line="240"/>
      </w:pPr>
      <w:r>
        <w:rPr>
          <w:rFonts w:ascii="Times New Roman" w:cs="Times New Roman" w:eastAsia="Times New Roman" w:hAnsi="Times New Roman"/>
          <w:b/>
          <w:bCs/>
          <w:i w:val="false"/>
          <w:iCs w:val="false"/>
          <w:sz w:val="22"/>
          <w:szCs w:val="22"/>
        </w:rPr>
        <w:t xml:space="preserve">Figura 4</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catálogo y abastecimiento</w:t>
      </w:r>
    </w:p>
    <w:p>
      <w:pPr>
        <w:keepNext/>
        <w:spacing w:after="120"/>
        <w:jc w:val="center"/>
      </w:pPr>
      <w:r>
        <w:drawing>
          <wp:inline distT="0" distB="0" distL="0" distR="0">
            <wp:extent cx="47053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053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relaciones de composición indican que la entidad contenida no existe fuera del contenedor: un histórico de costos y un detalle de carga carecen de sentido sin su producto y sin su carga.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5</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comercial, facturación y auditoría</w:t>
      </w:r>
    </w:p>
    <w:p>
      <w:pPr>
        <w:keepNext/>
        <w:spacing w:after="120"/>
        <w:jc w:val="center"/>
      </w:pPr>
      <w:r>
        <w:drawing>
          <wp:inline distT="0" distB="0" distL="0" distR="0">
            <wp:extent cx="42957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relación opcional entre cotización y venta representa que una venta puede originarse en una cotización previa o registrarse de forma directa. Elaboración propia.</w:t>
      </w:r>
    </w:p>
    <w:p>
      <w:pPr>
        <w:pStyle w:val="Heading3"/>
        <w:spacing w:after="0" w:before="240" w:line="480"/>
        <w:jc w:val="left"/>
      </w:pPr>
      <w:r>
        <w:rPr>
          <w:rFonts w:ascii="Times New Roman" w:cs="Times New Roman" w:eastAsia="Times New Roman" w:hAnsi="Times New Roman"/>
          <w:b/>
          <w:bCs/>
          <w:i/>
          <w:iCs/>
          <w:sz w:val="24"/>
          <w:szCs w:val="24"/>
        </w:rPr>
        <w:t xml:space="preserve">Capa de 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pPr>
        <w:keepNext/>
        <w:spacing w:after="0" w:before="240" w:line="240"/>
      </w:pPr>
      <w:r>
        <w:rPr>
          <w:rFonts w:ascii="Times New Roman" w:cs="Times New Roman" w:eastAsia="Times New Roman" w:hAnsi="Times New Roman"/>
          <w:b/>
          <w:bCs/>
          <w:i w:val="false"/>
          <w:iCs w:val="false"/>
          <w:sz w:val="22"/>
          <w:szCs w:val="22"/>
        </w:rPr>
        <w:t xml:space="preserve">Figura 6</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inventario, precios e importación</w:t>
      </w:r>
    </w:p>
    <w:p>
      <w:pPr>
        <w:keepNext/>
        <w:spacing w:after="12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Aplicación del principio de inversión de dependencias sobre el lector de listas de precios.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7</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servicios comerciales</w:t>
      </w:r>
    </w:p>
    <w:p>
      <w:pPr>
        <w:keepNext/>
        <w:spacing w:after="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004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8</w:t>
      </w:r>
    </w:p>
    <w:p>
      <w:pPr>
        <w:keepNext/>
        <w:spacing w:after="120" w:line="240"/>
      </w:pPr>
      <w:r>
        <w:rPr>
          <w:rFonts w:ascii="Times New Roman" w:cs="Times New Roman" w:eastAsia="Times New Roman" w:hAnsi="Times New Roman"/>
          <w:b w:val="false"/>
          <w:bCs w:val="false"/>
          <w:i/>
          <w:iCs/>
          <w:sz w:val="22"/>
          <w:szCs w:val="22"/>
        </w:rPr>
        <w:t xml:space="preserve">Diagrama de clases del subsistema de seguridad</w:t>
      </w:r>
    </w:p>
    <w:p>
      <w:pPr>
        <w:keepNext/>
        <w:spacing w:after="12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861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derivación de contraseñas se aísla en una clase de utilidad, de modo que la migración futura a Argon2id afecte a un solo punto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9.4 Diagramas de secuencia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modelan los cuatro procesos cuyo comportamiento no resulta evidente a partir de la estructura: la autenticación, las dos fases de la importación de listas de precios y el registro de venta con emisión de factura.</w:t>
      </w:r>
    </w:p>
    <w:p>
      <w:pPr>
        <w:keepNext/>
        <w:spacing w:after="0" w:before="240" w:line="240"/>
      </w:pPr>
      <w:r>
        <w:rPr>
          <w:rFonts w:ascii="Times New Roman" w:cs="Times New Roman" w:eastAsia="Times New Roman" w:hAnsi="Times New Roman"/>
          <w:b/>
          <w:bCs/>
          <w:i w:val="false"/>
          <w:iCs w:val="false"/>
          <w:sz w:val="22"/>
          <w:szCs w:val="22"/>
        </w:rPr>
        <w:t xml:space="preserve">Figura 9</w:t>
      </w:r>
    </w:p>
    <w:p>
      <w:pPr>
        <w:keepNext/>
        <w:spacing w:after="120" w:line="240"/>
      </w:pPr>
      <w:r>
        <w:rPr>
          <w:rFonts w:ascii="Times New Roman" w:cs="Times New Roman" w:eastAsia="Times New Roman" w:hAnsi="Times New Roman"/>
          <w:b w:val="false"/>
          <w:bCs w:val="false"/>
          <w:i/>
          <w:iCs/>
          <w:sz w:val="22"/>
          <w:szCs w:val="22"/>
        </w:rPr>
        <w:t xml:space="preserve">Diagrama de secuencia: autenticación de usuario</w:t>
      </w:r>
    </w:p>
    <w:p>
      <w:pPr>
        <w:keepNext/>
        <w:spacing w:after="120"/>
        <w:jc w:val="center"/>
      </w:pPr>
      <w:r>
        <w:drawing>
          <wp:inline distT="0" distB="0" distL="0" distR="0">
            <wp:extent cx="55340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340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sistema devuelve el mismo mensaje ante correo inexistente y ante contraseña incorrecta. Distinguirlos permitiría a un atacante determinar qué correos corresponden a usuarios válidos.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10</w:t>
      </w:r>
    </w:p>
    <w:p>
      <w:pPr>
        <w:keepNext/>
        <w:spacing w:after="120" w:line="240"/>
      </w:pPr>
      <w:r>
        <w:rPr>
          <w:rFonts w:ascii="Times New Roman" w:cs="Times New Roman" w:eastAsia="Times New Roman" w:hAnsi="Times New Roman"/>
          <w:b w:val="false"/>
          <w:bCs w:val="false"/>
          <w:i/>
          <w:iCs/>
          <w:sz w:val="22"/>
          <w:szCs w:val="22"/>
        </w:rPr>
        <w:t xml:space="preserve">Diagrama de secuencia: lectura y validación de una lista de precios</w:t>
      </w:r>
    </w:p>
    <w:p>
      <w:pPr>
        <w:keepNext/>
        <w:spacing w:after="120"/>
        <w:jc w:val="center"/>
      </w:pPr>
      <w:r>
        <w:drawing>
          <wp:inline distT="0" distB="0" distL="0" distR="0">
            <wp:extent cx="5943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48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lectura no altera el catálogo. Produce una carga en estado validado que el administrador revisa antes de aplicar.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11</w:t>
      </w:r>
    </w:p>
    <w:p>
      <w:pPr>
        <w:keepNext/>
        <w:spacing w:after="120" w:line="240"/>
      </w:pPr>
      <w:r>
        <w:rPr>
          <w:rFonts w:ascii="Times New Roman" w:cs="Times New Roman" w:eastAsia="Times New Roman" w:hAnsi="Times New Roman"/>
          <w:b w:val="false"/>
          <w:bCs w:val="false"/>
          <w:i/>
          <w:iCs/>
          <w:sz w:val="22"/>
          <w:szCs w:val="22"/>
        </w:rPr>
        <w:t xml:space="preserve">Diagrama de secuencia: aplicación de la lista y recálculo de precios</w:t>
      </w:r>
    </w:p>
    <w:p>
      <w:pPr>
        <w:keepNext/>
        <w:spacing w:after="120"/>
        <w:jc w:val="center"/>
      </w:pPr>
      <w:r>
        <w:drawing>
          <wp:inline distT="0" distB="0" distL="0" distR="0">
            <wp:extent cx="5943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909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precios de venta se mantienen sincronizados mediante columnas generadas del motor de base de datos, lo que impide que queden desalineados del costo.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12</w:t>
      </w:r>
    </w:p>
    <w:p>
      <w:pPr>
        <w:keepNext/>
        <w:spacing w:after="120" w:line="240"/>
      </w:pPr>
      <w:r>
        <w:rPr>
          <w:rFonts w:ascii="Times New Roman" w:cs="Times New Roman" w:eastAsia="Times New Roman" w:hAnsi="Times New Roman"/>
          <w:b w:val="false"/>
          <w:bCs w:val="false"/>
          <w:i/>
          <w:iCs/>
          <w:sz w:val="22"/>
          <w:szCs w:val="22"/>
        </w:rPr>
        <w:t xml:space="preserve">Diagrama de secuencia: registro de venta y emisión de factura electrónica</w:t>
      </w:r>
    </w:p>
    <w:p>
      <w:pPr>
        <w:keepNext/>
        <w:spacing w:after="120"/>
        <w:jc w:val="center"/>
      </w:pPr>
      <w:r>
        <w:drawing>
          <wp:inline distT="0" distB="0" distL="0" distR="0">
            <wp:extent cx="59436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819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descuento de existencias y el registro de la venta ocurren en una sola transacción. La emisión de la factura se ejecuta fuera de ella, de modo que un fallo del servicio externo no revierta una venta ya consumada.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9.5 Diagrama de actividades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ciclo de importación y aplicación de precios concentra la mayor complejidad de control del sistema: combina validación registro por registro, decisión del usuario y efectos en cadena sobre el catálogo.</w:t>
      </w:r>
    </w:p>
    <w:p>
      <w:pPr>
        <w:keepNext/>
        <w:spacing w:after="0" w:before="240" w:line="240"/>
      </w:pPr>
      <w:r>
        <w:rPr>
          <w:rFonts w:ascii="Times New Roman" w:cs="Times New Roman" w:eastAsia="Times New Roman" w:hAnsi="Times New Roman"/>
          <w:b/>
          <w:bCs/>
          <w:i w:val="false"/>
          <w:iCs w:val="false"/>
          <w:sz w:val="22"/>
          <w:szCs w:val="22"/>
        </w:rPr>
        <w:t xml:space="preserve">Figura 13</w:t>
      </w:r>
    </w:p>
    <w:p>
      <w:pPr>
        <w:keepNext/>
        <w:spacing w:after="120" w:line="240"/>
      </w:pPr>
      <w:r>
        <w:rPr>
          <w:rFonts w:ascii="Times New Roman" w:cs="Times New Roman" w:eastAsia="Times New Roman" w:hAnsi="Times New Roman"/>
          <w:b w:val="false"/>
          <w:bCs w:val="false"/>
          <w:i/>
          <w:iCs/>
          <w:sz w:val="22"/>
          <w:szCs w:val="22"/>
        </w:rPr>
        <w:t xml:space="preserve">Diagrama de actividades: importación y aplicación de una lista de precios</w:t>
      </w:r>
    </w:p>
    <w:p>
      <w:pPr>
        <w:keepNext/>
        <w:spacing w:after="120"/>
        <w:jc w:val="center"/>
      </w:pPr>
      <w:r>
        <w:drawing>
          <wp:inline distT="0" distB="0" distL="0" distR="0">
            <wp:extent cx="46196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96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calles de actividad separan las acciones del administrador de las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9.6 Diagramas de estados</w:t>
      </w:r>
    </w:p>
    <w:p>
      <w:pPr>
        <w:keepNext/>
        <w:spacing w:after="0" w:before="240" w:line="240"/>
      </w:pPr>
      <w:r>
        <w:rPr>
          <w:rFonts w:ascii="Times New Roman" w:cs="Times New Roman" w:eastAsia="Times New Roman" w:hAnsi="Times New Roman"/>
          <w:b/>
          <w:bCs/>
          <w:i w:val="false"/>
          <w:iCs w:val="false"/>
          <w:sz w:val="22"/>
          <w:szCs w:val="22"/>
        </w:rPr>
        <w:t xml:space="preserve">Figura 14</w:t>
      </w:r>
    </w:p>
    <w:p>
      <w:pPr>
        <w:keepNext/>
        <w:spacing w:after="120" w:line="240"/>
      </w:pPr>
      <w:r>
        <w:rPr>
          <w:rFonts w:ascii="Times New Roman" w:cs="Times New Roman" w:eastAsia="Times New Roman" w:hAnsi="Times New Roman"/>
          <w:b w:val="false"/>
          <w:bCs w:val="false"/>
          <w:i/>
          <w:iCs/>
          <w:sz w:val="22"/>
          <w:szCs w:val="22"/>
        </w:rPr>
        <w:t xml:space="preserve">Diagrama de estados: producto</w:t>
      </w:r>
    </w:p>
    <w:p>
      <w:pPr>
        <w:keepNext/>
        <w:spacing w:after="120"/>
        <w:jc w:val="center"/>
      </w:pPr>
      <w:r>
        <w:drawing>
          <wp:inline distT="0" distB="0" distL="0" distR="0">
            <wp:extent cx="59436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115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estados de existencia se derivan de la cantidad disponible frente al umbral mínimo configurado, no se asignan de forma manual.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15</w:t>
      </w:r>
    </w:p>
    <w:p>
      <w:pPr>
        <w:keepNext/>
        <w:spacing w:after="120" w:line="240"/>
      </w:pPr>
      <w:r>
        <w:rPr>
          <w:rFonts w:ascii="Times New Roman" w:cs="Times New Roman" w:eastAsia="Times New Roman" w:hAnsi="Times New Roman"/>
          <w:b w:val="false"/>
          <w:bCs w:val="false"/>
          <w:i/>
          <w:iCs/>
          <w:sz w:val="22"/>
          <w:szCs w:val="22"/>
        </w:rPr>
        <w:t xml:space="preserve">Diagrama de estados: cotización</w:t>
      </w:r>
    </w:p>
    <w:p>
      <w:pPr>
        <w:keepNext/>
        <w:spacing w:after="120"/>
        <w:jc w:val="center"/>
      </w:pPr>
      <w:r>
        <w:drawing>
          <wp:inline distT="0" distB="0" distL="0" distR="0">
            <wp:extent cx="59436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60102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prórroga de una cotización vencida recalcula los precios contra el costo vigente, lo que impide honrar precios derivados de costos superados.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16</w:t>
      </w:r>
    </w:p>
    <w:p>
      <w:pPr>
        <w:keepNext/>
        <w:spacing w:after="120" w:line="240"/>
      </w:pPr>
      <w:r>
        <w:rPr>
          <w:rFonts w:ascii="Times New Roman" w:cs="Times New Roman" w:eastAsia="Times New Roman" w:hAnsi="Times New Roman"/>
          <w:b w:val="false"/>
          <w:bCs w:val="false"/>
          <w:i/>
          <w:iCs/>
          <w:sz w:val="22"/>
          <w:szCs w:val="22"/>
        </w:rPr>
        <w:t xml:space="preserve">Diagrama de estados: factura electrónica</w:t>
      </w:r>
    </w:p>
    <w:p>
      <w:pPr>
        <w:keepNext/>
        <w:spacing w:after="12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526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rechazo del documento por parte de la autoridad tributaria no revierte la venta registrada.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9.7 Diagramas de componentes y de despliegue</w:t>
      </w:r>
    </w:p>
    <w:p>
      <w:pPr>
        <w:keepNext/>
        <w:spacing w:after="0" w:before="240" w:line="240"/>
      </w:pPr>
      <w:r>
        <w:rPr>
          <w:rFonts w:ascii="Times New Roman" w:cs="Times New Roman" w:eastAsia="Times New Roman" w:hAnsi="Times New Roman"/>
          <w:b/>
          <w:bCs/>
          <w:i w:val="false"/>
          <w:iCs w:val="false"/>
          <w:sz w:val="22"/>
          <w:szCs w:val="22"/>
        </w:rPr>
        <w:t xml:space="preserve">Figura 17</w:t>
      </w:r>
    </w:p>
    <w:p>
      <w:pPr>
        <w:keepNext/>
        <w:spacing w:after="120" w:line="240"/>
      </w:pPr>
      <w:r>
        <w:rPr>
          <w:rFonts w:ascii="Times New Roman" w:cs="Times New Roman" w:eastAsia="Times New Roman" w:hAnsi="Times New Roman"/>
          <w:b w:val="false"/>
          <w:bCs w:val="false"/>
          <w:i/>
          <w:iCs/>
          <w:sz w:val="22"/>
          <w:szCs w:val="22"/>
        </w:rPr>
        <w:t xml:space="preserve">Diagrama de componentes de la solución</w:t>
      </w:r>
    </w:p>
    <w:p>
      <w:pPr>
        <w:keepNext/>
        <w:spacing w:after="120"/>
        <w:jc w:val="center"/>
      </w:pPr>
      <w:r>
        <w:drawing>
          <wp:inline distT="0" distB="0" distL="0" distR="0">
            <wp:extent cx="45148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148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dependencias internas del servicio apuntan siempre hacia el modelo de dominio.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18</w:t>
      </w:r>
    </w:p>
    <w:p>
      <w:pPr>
        <w:keepNext/>
        <w:spacing w:after="120" w:line="240"/>
      </w:pPr>
      <w:r>
        <w:rPr>
          <w:rFonts w:ascii="Times New Roman" w:cs="Times New Roman" w:eastAsia="Times New Roman" w:hAnsi="Times New Roman"/>
          <w:b w:val="false"/>
          <w:bCs w:val="false"/>
          <w:i/>
          <w:iCs/>
          <w:sz w:val="22"/>
          <w:szCs w:val="22"/>
        </w:rPr>
        <w:t xml:space="preserve">Diagrama de despliegue</w:t>
      </w:r>
    </w:p>
    <w:p>
      <w:pPr>
        <w:keepNext/>
        <w:spacing w:after="120"/>
        <w:jc w:val="center"/>
      </w:pPr>
      <w:r>
        <w:drawing>
          <wp:inline distT="0" distB="0" distL="0" distR="0">
            <wp:extent cx="59436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3338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comunicación entre los clientes y el servicio se realiza sobre canal cifrado. Elaboración propia.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10. Diseño de la Base de Datos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10.1 Entidades propuestas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pPr>
        <w:spacing w:after="0" w:before="240" w:line="240"/>
      </w:pPr>
      <w:r>
        <w:rPr>
          <w:rFonts w:ascii="Times New Roman" w:cs="Times New Roman" w:eastAsia="Times New Roman" w:hAnsi="Times New Roman"/>
          <w:b/>
          <w:bCs/>
          <w:i w:val="false"/>
          <w:iCs w:val="false"/>
          <w:sz w:val="22"/>
          <w:szCs w:val="22"/>
        </w:rPr>
        <w:t xml:space="preserve">Tabla 16</w:t>
      </w:r>
    </w:p>
    <w:p>
      <w:pPr>
        <w:spacing w:after="120" w:line="240"/>
      </w:pPr>
      <w:r>
        <w:rPr>
          <w:rFonts w:ascii="Times New Roman" w:cs="Times New Roman" w:eastAsia="Times New Roman" w:hAnsi="Times New Roman"/>
          <w:b w:val="false"/>
          <w:bCs w:val="false"/>
          <w:i/>
          <w:iCs/>
          <w:sz w:val="22"/>
          <w:szCs w:val="22"/>
        </w:rPr>
        <w:t xml:space="preserve">Entidades propuestas para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560"/>
        <w:gridCol w:w="1200"/>
      </w:tblGrid>
      <w:tr>
        <w:trPr>
          <w:tblHeader/>
        </w:trPr>
        <w:tc>
          <w:tcPr>
            <w:tcW w:type="dxa" w:w="2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Tabla</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Dominio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Propósito</w:t>
            </w:r>
          </w:p>
        </w:tc>
        <w:tc>
          <w:tcPr>
            <w:tcW w:type="dxa" w:w="1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Entrega</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roles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roles y sus permisos asociados.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 del sistema con credenciales derivadas y rol asignado.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auditoria_accesos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intentos de inicio de sesión con su resultado.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sesiones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Tokens de acceso emitidos, con vigencia y dispositivo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 de la empresa con identificación tributaria y contacto.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Abastecimiento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 con identificación tributaria y condiciones comerciales.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categorias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Clasificación del catálogo, normalizada como tabla en lugar de enumeración.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Referencias del catálogo con costo vigente, existencia y umbral mínimo.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historico_costos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 cada producto con su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reglas_margen</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Márgenes configurables por categoría, proveedor y forma de pago.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cargas_precios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cada importación: proveedor, origen, fecha, estado y totales.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detalle_carga_precios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Registros individuales de la carga, con su resultado de validación.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mapeos_proveedor</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Correspondencia entre columnas del archivo de origen y campos del sistema.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cotización con cliente, vigencia y estado.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cotización con precio congelado al momento de su emisión.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venta, con referencia opcional a la cotización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venta con precio unitario histórico y cantidad.</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facturas_electronicas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Documento emitido, con código único, estado de validación y respuesta del proveedor tecnológico.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v2.0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movimientos_inventario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Auditoría de todo cambio de existencia, con valor anterior y posterior.</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parametros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Valores de configuración con clave, tipo de dato y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uvt_anual</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por año gravable, con la resolución que lo fija.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reglas_iva</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Tratamiento tributario por categoría, con umbral en unidades de valor tributario y tarifa.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reglas_envio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y base de cálculo del envío sin costo.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calendario_habil</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Días no laborables de Colombia, necesarios para calcular vigencias en días hábiles.</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columna de entrega orienta el orden de construcción por incrementos y no constituye una restricción del modelo. Las entidades de detalle pueden fusionarse con su encabezado si el alcance se reduce.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10.2 Decisiones de modelado</w:t>
      </w:r>
    </w:p>
    <w:p>
      <w:pPr>
        <w:pStyle w:val="Heading3"/>
        <w:spacing w:after="0" w:before="240" w:line="480"/>
        <w:jc w:val="left"/>
      </w:pPr>
      <w:r>
        <w:rPr>
          <w:rFonts w:ascii="Times New Roman" w:cs="Times New Roman" w:eastAsia="Times New Roman" w:hAnsi="Times New Roman"/>
          <w:b/>
          <w:bCs/>
          <w:i/>
          <w:iCs/>
          <w:sz w:val="24"/>
          <w:szCs w:val="24"/>
        </w:rPr>
        <w:t xml:space="preserve">Separación entre usuarios y clientes.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pPr>
        <w:pStyle w:val="Heading3"/>
        <w:spacing w:after="0" w:before="240" w:line="480"/>
        <w:jc w:val="left"/>
      </w:pPr>
      <w:r>
        <w:rPr>
          <w:rFonts w:ascii="Times New Roman" w:cs="Times New Roman" w:eastAsia="Times New Roman" w:hAnsi="Times New Roman"/>
          <w:b/>
          <w:bCs/>
          <w:i/>
          <w:iCs/>
          <w:sz w:val="24"/>
          <w:szCs w:val="24"/>
        </w:rPr>
        <w:t xml:space="preserve">Normalización de la categoría.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categoría estaba implementada como enumeración en el código. Trasladarla a tabla permite que la empresa agregue categorías sin recompilar el sistema, y permite asociar reglas de margen a la categoría como clave foránea.</w:t>
      </w:r>
    </w:p>
    <w:p>
      <w:pPr>
        <w:pStyle w:val="Heading3"/>
        <w:spacing w:after="0" w:before="240" w:line="480"/>
        <w:jc w:val="left"/>
      </w:pPr>
      <w:r>
        <w:rPr>
          <w:rFonts w:ascii="Times New Roman" w:cs="Times New Roman" w:eastAsia="Times New Roman" w:hAnsi="Times New Roman"/>
          <w:b/>
          <w:bCs/>
          <w:i/>
          <w:iCs/>
          <w:sz w:val="24"/>
          <w:szCs w:val="24"/>
        </w:rPr>
        <w:t xml:space="preserve">Precio congelado en las líneas de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pPr>
        <w:pStyle w:val="Heading3"/>
        <w:spacing w:after="0" w:before="240" w:line="480"/>
        <w:jc w:val="left"/>
      </w:pPr>
      <w:r>
        <w:rPr>
          <w:rFonts w:ascii="Times New Roman" w:cs="Times New Roman" w:eastAsia="Times New Roman" w:hAnsi="Times New Roman"/>
          <w:b/>
          <w:bCs/>
          <w:i/>
          <w:iCs/>
          <w:sz w:val="24"/>
          <w:szCs w:val="24"/>
        </w:rPr>
        <w:t xml:space="preserve">El envío otorgado a mano se registra como tal.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documento no guarda solamente el valor del envío: guarda también si ese valor proviene de la regla o de una decisión del vendedor, junto con el motivo y el usuario que la autorizó. Regalar el envío por debajo del umbral es un descuento, y un descuento sin responsable identificable no puede auditarse. La restricción de integridad rechaza el envío manual que no traiga ambos datos.</w:t>
      </w:r>
    </w:p>
    <w:p>
      <w:pPr>
        <w:pStyle w:val="Heading3"/>
        <w:spacing w:after="0" w:before="240" w:line="480"/>
        <w:jc w:val="left"/>
      </w:pPr>
      <w:r>
        <w:rPr>
          <w:rFonts w:ascii="Times New Roman" w:cs="Times New Roman" w:eastAsia="Times New Roman" w:hAnsi="Times New Roman"/>
          <w:b/>
          <w:bCs/>
          <w:i/>
          <w:iCs/>
          <w:sz w:val="24"/>
          <w:szCs w:val="24"/>
        </w:rPr>
        <w:t xml:space="preserve">Umbrales almacenados en unidades de valor tributario.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documentos emitidos con el valor anterior. Con el umbral en unidades y una tabla de valores anuales, el tope en pesos se deriva para la fecha que corresponda, incluida una fecha pasada.</w:t>
      </w:r>
    </w:p>
    <w:p>
      <w:pPr>
        <w:pStyle w:val="Heading3"/>
        <w:spacing w:after="0" w:before="240" w:line="480"/>
        <w:jc w:val="left"/>
      </w:pPr>
      <w:r>
        <w:rPr>
          <w:rFonts w:ascii="Times New Roman" w:cs="Times New Roman" w:eastAsia="Times New Roman" w:hAnsi="Times New Roman"/>
          <w:b/>
          <w:bCs/>
          <w:i/>
          <w:iCs/>
          <w:sz w:val="24"/>
          <w:szCs w:val="24"/>
        </w:rPr>
        <w:t xml:space="preserve">Encabezado y detalle separados en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previo registraba únicamente líneas de venta, sin encabezado. Esa estructura impide representar una venta con varios productos como una unidad, requisito indispensable para emitir una factura electrónica que agrupe varias líneas bajo un solo documento.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10.4 Modelo entidad-relación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pPr>
        <w:keepNext/>
        <w:spacing w:after="0" w:before="240" w:line="240"/>
      </w:pPr>
      <w:r>
        <w:rPr>
          <w:rFonts w:ascii="Times New Roman" w:cs="Times New Roman" w:eastAsia="Times New Roman" w:hAnsi="Times New Roman"/>
          <w:b/>
          <w:bCs/>
          <w:i w:val="false"/>
          <w:iCs w:val="false"/>
          <w:sz w:val="22"/>
          <w:szCs w:val="22"/>
        </w:rPr>
        <w:t xml:space="preserve">Figura 19</w:t>
      </w:r>
    </w:p>
    <w:p>
      <w:pPr>
        <w:keepNext/>
        <w:spacing w:after="120" w:line="240"/>
      </w:pPr>
      <w:r>
        <w:rPr>
          <w:rFonts w:ascii="Times New Roman" w:cs="Times New Roman" w:eastAsia="Times New Roman" w:hAnsi="Times New Roman"/>
          <w:b w:val="false"/>
          <w:bCs w:val="false"/>
          <w:i/>
          <w:iCs/>
          <w:sz w:val="22"/>
          <w:szCs w:val="22"/>
        </w:rPr>
        <w:t xml:space="preserve">Modelo entidad-relación: seguridad y auditoría</w:t>
      </w:r>
    </w:p>
    <w:p>
      <w:pPr>
        <w:keepNext/>
        <w:spacing w:after="120"/>
        <w:jc w:val="center"/>
      </w:pPr>
      <w:r>
        <w:drawing>
          <wp:inline distT="0" distB="0" distL="0" distR="0">
            <wp:extent cx="40767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76700" cy="56292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tabla de auditoría de accesos conserva el correo utilizado en el intento aunque no corresponda a un usuario registrado.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20</w:t>
      </w:r>
    </w:p>
    <w:p>
      <w:pPr>
        <w:keepNext/>
        <w:spacing w:after="120" w:line="240"/>
      </w:pPr>
      <w:r>
        <w:rPr>
          <w:rFonts w:ascii="Times New Roman" w:cs="Times New Roman" w:eastAsia="Times New Roman" w:hAnsi="Times New Roman"/>
          <w:b w:val="false"/>
          <w:bCs w:val="false"/>
          <w:i/>
          <w:iCs/>
          <w:sz w:val="22"/>
          <w:szCs w:val="22"/>
        </w:rPr>
        <w:t xml:space="preserve">Modelo entidad-relación: catálogo, abastecimiento y precios</w:t>
      </w:r>
    </w:p>
    <w:p>
      <w:pPr>
        <w:keepNext/>
        <w:spacing w:after="120"/>
        <w:jc w:val="center"/>
      </w:pPr>
      <w:r>
        <w:drawing>
          <wp:inline distT="0" distB="0" distL="0" distR="0">
            <wp:extent cx="59436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3243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columnas de precio de contado y de crédito son generadas a partir del costo y de la regla de margen vigente.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21</w:t>
      </w:r>
    </w:p>
    <w:p>
      <w:pPr>
        <w:keepNext/>
        <w:spacing w:after="120" w:line="240"/>
      </w:pPr>
      <w:r>
        <w:rPr>
          <w:rFonts w:ascii="Times New Roman" w:cs="Times New Roman" w:eastAsia="Times New Roman" w:hAnsi="Times New Roman"/>
          <w:b w:val="false"/>
          <w:bCs w:val="false"/>
          <w:i/>
          <w:iCs/>
          <w:sz w:val="22"/>
          <w:szCs w:val="22"/>
        </w:rPr>
        <w:t xml:space="preserve">Modelo entidad-relación: comercial y facturación</w:t>
      </w:r>
    </w:p>
    <w:p>
      <w:pPr>
        <w:keepNext/>
        <w:spacing w:after="120"/>
        <w:jc w:val="center"/>
      </w:pPr>
      <w:r>
        <w:drawing>
          <wp:inline distT="0" distB="0" distL="0" distR="0">
            <wp:extent cx="43624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624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entidades de usuario y producto se presentan de forma resumida por corresponder a vistas anteriores. La relación entre cotización y venta es opcional en ambos extremos.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22</w:t>
      </w:r>
    </w:p>
    <w:p>
      <w:pPr>
        <w:keepNext/>
        <w:spacing w:after="120" w:line="240"/>
      </w:pPr>
      <w:r>
        <w:rPr>
          <w:rFonts w:ascii="Times New Roman" w:cs="Times New Roman" w:eastAsia="Times New Roman" w:hAnsi="Times New Roman"/>
          <w:b w:val="false"/>
          <w:bCs w:val="false"/>
          <w:i/>
          <w:iCs/>
          <w:sz w:val="22"/>
          <w:szCs w:val="22"/>
        </w:rPr>
        <w:t xml:space="preserve">Modelo entidad-relación: parametrización de reglas comerciales y tributarias</w:t>
      </w:r>
    </w:p>
    <w:p>
      <w:pPr>
        <w:keepNext/>
        <w:spacing w:after="120"/>
        <w:jc w:val="center"/>
      </w:pPr>
      <w:r>
        <w:drawing>
          <wp:inline distT="0" distB="0" distL="0" distR="0">
            <wp:extent cx="59436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8670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reglas conservan fecha de vigencia inicial y final, de modo que un documento emitido en el pasado puede reconstruirse con las condiciones que regían entonces. El umbral de envío se evalúa sobre el subtotal.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10.3 Normalización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como columnas generadas que el motor de base de datos mantiene sincronizadas de forma automática.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11. Arquitectura de la Solución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11.1 Vista general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solución se estructura en tres componentes desplegables que comparten una única fuente de lógica de negocio. El servicio backend concentra el dominio, las reglas y el acceso a datos, y expone sus capacidades mediante una interfaz de programación de aplicaciones de tipo REST. La aplicación móvil Android y el módulo administrativo de escritorio consumen esa interfaz; ninguno de los dos implementa lógica de negocio propia.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decisión evita el problema que produciría duplicar las reglas en cada cliente: dos implementaciones de la misma regla divergen con el tiempo, y la divergencia se manifiesta como comportamientos distintos según el canal por el cual el usuario accede.</w:t>
      </w:r>
    </w:p>
    <w:p>
      <w:pPr>
        <w:spacing w:after="0" w:before="240" w:line="240"/>
      </w:pPr>
      <w:r>
        <w:rPr>
          <w:rFonts w:ascii="Times New Roman" w:cs="Times New Roman" w:eastAsia="Times New Roman" w:hAnsi="Times New Roman"/>
          <w:b/>
          <w:bCs/>
          <w:i w:val="false"/>
          <w:iCs w:val="false"/>
          <w:sz w:val="22"/>
          <w:szCs w:val="22"/>
        </w:rPr>
        <w:t xml:space="preserve">Tabla 17</w:t>
      </w:r>
    </w:p>
    <w:p>
      <w:pPr>
        <w:spacing w:after="120" w:line="240"/>
      </w:pPr>
      <w:r>
        <w:rPr>
          <w:rFonts w:ascii="Times New Roman" w:cs="Times New Roman" w:eastAsia="Times New Roman" w:hAnsi="Times New Roman"/>
          <w:b w:val="false"/>
          <w:bCs w:val="false"/>
          <w:i/>
          <w:iCs/>
          <w:sz w:val="22"/>
          <w:szCs w:val="22"/>
        </w:rPr>
        <w:t xml:space="preserve">Componentes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Tecnología</w:t>
            </w:r>
          </w:p>
        </w:tc>
        <w:tc>
          <w:tcPr>
            <w:tcW w:type="dxa" w:w="4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Responsabilidad</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17 y Spring Boot 3</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Dominio, reglas de negocio, persistencia, seguridad y exposición de la API REST.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de importación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y Apache POI</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listas de proveedores, validación, correspondencia de columnas y aplicación de costos.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Android nativo con Kotlin</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 de catálogo, lectura de códigos, cotización y registro de pedidos.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 administrativo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Swing</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 administración de catálogo y consulta de auditoría. Componente heredado.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de datos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MySQL 8.0</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Persistencia transaccional y vistas de consulta.</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Integración de facturación</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 HTTP hacia proveedor autorizado</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Transmisión del documento electrónico y recepción del resultado de validación.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11.2 Capas del servicio backend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la coordinación de casos de uso; la capa de datos aísla el acceso al motor relacional; la capa de modelo alberga las entidades del dominio y no depende de ninguna otra. Los paquetes de utilidades, configuración y excepciones son transversales.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11.3 Contrato de la interfaz de programación de aplicaciones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12. Diseño de Interfaz</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12.1 Identidad visual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interfaz adopta la identidad corporativa de Black Steel Parts. La paleta se construye sobre el rojo corporativo como color de acción, el negro profundo como fondo dominante y el blanco y el plateado como elementos de contraste y separación. Los colores de estado, verde y ámbar, se reservan de forma exclusiva para la señalización de disponibilidad de existencias, de modo que su aparición tenga significado inequívoco.</w:t>
      </w:r>
    </w:p>
    <w:p>
      <w:pPr>
        <w:spacing w:after="0" w:before="240" w:line="240"/>
      </w:pPr>
      <w:r>
        <w:rPr>
          <w:rFonts w:ascii="Times New Roman" w:cs="Times New Roman" w:eastAsia="Times New Roman" w:hAnsi="Times New Roman"/>
          <w:b/>
          <w:bCs/>
          <w:i w:val="false"/>
          <w:iCs w:val="false"/>
          <w:sz w:val="22"/>
          <w:szCs w:val="22"/>
        </w:rPr>
        <w:t xml:space="preserve">Tabla 18</w:t>
      </w:r>
    </w:p>
    <w:p>
      <w:pPr>
        <w:spacing w:after="120" w:line="240"/>
      </w:pPr>
      <w:r>
        <w:rPr>
          <w:rFonts w:ascii="Times New Roman" w:cs="Times New Roman" w:eastAsia="Times New Roman" w:hAnsi="Times New Roman"/>
          <w:b w:val="false"/>
          <w:bCs w:val="false"/>
          <w:i/>
          <w:iCs/>
          <w:sz w:val="22"/>
          <w:szCs w:val="22"/>
        </w:rPr>
        <w:t xml:space="preserve">Paleta cromática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Color</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Código hexadecimal</w:t>
            </w:r>
          </w:p>
        </w:tc>
        <w:tc>
          <w:tcPr>
            <w:tcW w:type="dxa" w:w="2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Uso</w:t>
            </w:r>
          </w:p>
        </w:tc>
        <w:tc>
          <w:tcPr>
            <w:tcW w:type="dxa" w:w="3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Justificación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Rojo corporativo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#CC0000</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Acciones primarias y acentos</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Refuerza la identidad de marca y concentra el foco visual.</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Negro profundo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#111111</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Fondos y barras de navegación</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Aporta contraste máximo con el texto claro.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Blanco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#FFFFFF</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Texto principal y superficies de formulario</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Garantiza legibilidad del contenido.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Plateado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#C0C0C0</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Bordes, separadores e iconografía secundaria</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Delimita sin competir con el color de acción.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Verde de estado</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#1E7E34</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Indicador de existencia activa</w:t>
            </w:r>
          </w:p>
        </w:tc>
        <w:tc>
          <w:tcPr>
            <w:tcW w:type="dxa" w:w="3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Convención establecida de confirmación.</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Ámbar de estado</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#C45800</w:t>
            </w:r>
          </w:p>
        </w:tc>
        <w:tc>
          <w:tcPr>
            <w:tcW w:type="dxa" w:w="2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Indicador de existencia crítica</w:t>
            </w:r>
          </w:p>
        </w:tc>
        <w:tc>
          <w:tcPr>
            <w:tcW w:type="dxa" w:w="3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Señala advertencia sin el carácter terminal del rojo.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12.2 Pantalla implementada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pantalla de acceso constituye el único componente de interfaz construido a la fecha (Figura 23). Aplica la paleta definida y resuelve la selección de rol previa a la autenticación, la entrada de credenciales con opción de visibilidad de la contraseña y la persistencia opcional de la sesión.</w:t>
      </w:r>
    </w:p>
    <w:p>
      <w:pPr>
        <w:keepNext/>
        <w:spacing w:after="0" w:before="240" w:line="240"/>
      </w:pPr>
      <w:r>
        <w:rPr>
          <w:rFonts w:ascii="Times New Roman" w:cs="Times New Roman" w:eastAsia="Times New Roman" w:hAnsi="Times New Roman"/>
          <w:b/>
          <w:bCs/>
          <w:i w:val="false"/>
          <w:iCs w:val="false"/>
          <w:sz w:val="22"/>
          <w:szCs w:val="22"/>
        </w:rPr>
        <w:t xml:space="preserve">Figura 23</w:t>
      </w:r>
    </w:p>
    <w:p>
      <w:pPr>
        <w:keepNext/>
        <w:spacing w:after="120" w:line="240"/>
      </w:pPr>
      <w:r>
        <w:rPr>
          <w:rFonts w:ascii="Times New Roman" w:cs="Times New Roman" w:eastAsia="Times New Roman" w:hAnsi="Times New Roman"/>
          <w:b w:val="false"/>
          <w:bCs w:val="false"/>
          <w:i/>
          <w:iCs/>
          <w:sz w:val="22"/>
          <w:szCs w:val="22"/>
        </w:rPr>
        <w:t xml:space="preserve">Pantalla de acceso del SGIP</w:t>
      </w:r>
    </w:p>
    <w:p>
      <w:pPr>
        <w:keepNext/>
        <w:spacing w:after="120"/>
        <w:jc w:val="center"/>
      </w:pPr>
      <w:r>
        <w:drawing>
          <wp:inline distT="0" distB="0" distL="0" distR="0">
            <wp:extent cx="3238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30289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Implementación en Java Swing del módulo administrativo. La selección de rol precede a la autenticación y determina la vista posterior.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12.3 Pantallas previstas</w:t>
      </w:r>
    </w:p>
    <w:p>
      <w:pPr>
        <w:spacing w:after="0" w:before="240" w:line="240"/>
      </w:pPr>
      <w:r>
        <w:rPr>
          <w:rFonts w:ascii="Times New Roman" w:cs="Times New Roman" w:eastAsia="Times New Roman" w:hAnsi="Times New Roman"/>
          <w:b/>
          <w:bCs/>
          <w:i w:val="false"/>
          <w:iCs w:val="false"/>
          <w:sz w:val="22"/>
          <w:szCs w:val="22"/>
        </w:rPr>
        <w:t xml:space="preserve">Tabla 19</w:t>
      </w:r>
    </w:p>
    <w:p>
      <w:pPr>
        <w:spacing w:after="120" w:line="240"/>
      </w:pPr>
      <w:r>
        <w:rPr>
          <w:rFonts w:ascii="Times New Roman" w:cs="Times New Roman" w:eastAsia="Times New Roman" w:hAnsi="Times New Roman"/>
          <w:b w:val="false"/>
          <w:bCs w:val="false"/>
          <w:i/>
          <w:iCs/>
          <w:sz w:val="22"/>
          <w:szCs w:val="22"/>
        </w:rPr>
        <w:t xml:space="preserve">Inventario de pantallas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2200"/>
        <w:gridCol w:w="1860"/>
      </w:tblGrid>
      <w:tr>
        <w:trPr>
          <w:tblHeader/>
        </w:trPr>
        <w:tc>
          <w:tcPr>
            <w:tcW w:type="dxa" w:w="3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Pantalla</w:t>
            </w:r>
          </w:p>
        </w:tc>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Canal</w:t>
            </w:r>
          </w:p>
        </w:tc>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Usuario</w:t>
            </w:r>
          </w:p>
        </w:tc>
        <w:tc>
          <w:tcPr>
            <w:tcW w:type="dxa" w:w="1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Acceso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Implementada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Panel de indicadores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productos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Ficha de producto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 y 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Todos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y edición de producto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Gestión de proveedores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 de lista de precios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 de reglas de margen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Generación de cotización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Lectura de código de barras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Móvil</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Ingresos y egresos</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Diseñada</w:t>
            </w:r>
          </w:p>
        </w:tc>
      </w:tr>
      <w:tr>
        <w:trPr>
          <w:cantSplit/>
        </w:trPr>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 de rotación</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r>
        <w:trPr>
          <w:cantSplit/>
        </w:trPr>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Emisión y consulta de facturas</w:t>
            </w:r>
          </w:p>
        </w:tc>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Escritorio</w:t>
            </w:r>
          </w:p>
        </w:tc>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c>
          <w:tcPr>
            <w:tcW w:type="dxa" w:w="1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Pendiente</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estado diseñada indica que existe prototipo en la herramienta de diseño sin implementación en código.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13. Plan de Trabajo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13.1 Planificación por iteraciones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desarrollo se organiza en una iteración preparatoria y ocho sprints de dos semanas, para un total estimado de dieciocho semanas. Las fechas se determinarán al confirmarse el calendario académico; la secuencia y la duración relativa de las iteraciones se mantienen con independencia de la fecha de inicio.</w:t>
      </w:r>
    </w:p>
    <w:p>
      <w:pPr>
        <w:spacing w:after="0" w:before="240" w:line="240"/>
      </w:pPr>
      <w:r>
        <w:rPr>
          <w:rFonts w:ascii="Times New Roman" w:cs="Times New Roman" w:eastAsia="Times New Roman" w:hAnsi="Times New Roman"/>
          <w:b/>
          <w:bCs/>
          <w:i w:val="false"/>
          <w:iCs w:val="false"/>
          <w:sz w:val="22"/>
          <w:szCs w:val="22"/>
        </w:rPr>
        <w:t xml:space="preserve">Tabla 20</w:t>
      </w:r>
    </w:p>
    <w:p>
      <w:pPr>
        <w:spacing w:after="120" w:line="240"/>
      </w:pPr>
      <w:r>
        <w:rPr>
          <w:rFonts w:ascii="Times New Roman" w:cs="Times New Roman" w:eastAsia="Times New Roman" w:hAnsi="Times New Roman"/>
          <w:b w:val="false"/>
          <w:bCs w:val="false"/>
          <w:i/>
          <w:iCs/>
          <w:sz w:val="22"/>
          <w:szCs w:val="22"/>
        </w:rPr>
        <w:t xml:space="preserve">Planificación de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560"/>
        <w:gridCol w:w="1500"/>
      </w:tblGrid>
      <w:tr>
        <w:trPr>
          <w:tblHeader/>
        </w:trPr>
        <w:tc>
          <w:tcPr>
            <w:tcW w:type="dxa" w:w="1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Sprint</w:t>
            </w:r>
          </w:p>
        </w:tc>
        <w:tc>
          <w:tcPr>
            <w:tcW w:type="dxa" w:w="4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Objetivo del incremento</w:t>
            </w:r>
          </w:p>
        </w:tc>
        <w:tc>
          <w:tcPr>
            <w:tcW w:type="dxa" w:w="2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Duración</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0</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Preparación del entorno, repositorio, integración continua y construcción del backlog inicial.</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 semana</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1</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Modelo de datos completo, migraciones versionadas y datos de prueba.</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RF-27</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2</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backend con autenticación, autorización por rol y auditoría de accesos.</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a RF-04</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3</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Módulos de catálogo e inventario expuestos mediante la API REST.</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 a RF-09, RF-26 a RF-28</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4</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Gestión de proveedores e importación de listas de precios desde archivo.</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RF-11, RF-13, RF-14</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5</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de reglas de margen, recálculo automático e histórico de costos.</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RF-15 a RF-19</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6</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Aplicación móvil con consulta de catálogo, lectura de códigos y sincronización.</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RF-08, RF-19, RF-32</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7</w:t>
            </w:r>
          </w:p>
        </w:tc>
        <w:tc>
          <w:tcPr>
            <w:tcW w:type="dxa" w:w="4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 conversión en pedido y registro de venta transaccional.</w:t>
            </w:r>
          </w:p>
        </w:tc>
        <w:tc>
          <w:tcPr>
            <w:tcW w:type="dxa" w:w="2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RF-20 a RF-23</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r>
        <w:trPr>
          <w:cantSplit/>
        </w:trPr>
        <w:tc>
          <w:tcPr>
            <w:tcW w:type="dxa" w:w="1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Sprint 8</w:t>
            </w:r>
          </w:p>
        </w:tc>
        <w:tc>
          <w:tcPr>
            <w:tcW w:type="dxa" w:w="4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 electrónica, reportes, pruebas de aceptación y documentación final.</w:t>
            </w:r>
          </w:p>
        </w:tc>
        <w:tc>
          <w:tcPr>
            <w:tcW w:type="dxa" w:w="2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 RF-29 a RF-31</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 semanas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importación desde servicio web de proveedor, requisito RF-12, se incorpora al Sprint 4 o al Sprint 5 según la disponibilidad de un proveedor que ofrezca esa interfaz.</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13.2 Recursos</w:t>
      </w:r>
    </w:p>
    <w:p>
      <w:pPr>
        <w:spacing w:after="0" w:before="240" w:line="240"/>
      </w:pPr>
      <w:r>
        <w:rPr>
          <w:rFonts w:ascii="Times New Roman" w:cs="Times New Roman" w:eastAsia="Times New Roman" w:hAnsi="Times New Roman"/>
          <w:b/>
          <w:bCs/>
          <w:i w:val="false"/>
          <w:iCs w:val="false"/>
          <w:sz w:val="22"/>
          <w:szCs w:val="22"/>
        </w:rPr>
        <w:t xml:space="preserve">Tabla 21</w:t>
      </w:r>
    </w:p>
    <w:p>
      <w:pPr>
        <w:spacing w:after="120" w:line="240"/>
      </w:pPr>
      <w:r>
        <w:rPr>
          <w:rFonts w:ascii="Times New Roman" w:cs="Times New Roman" w:eastAsia="Times New Roman" w:hAnsi="Times New Roman"/>
          <w:b w:val="false"/>
          <w:bCs w:val="false"/>
          <w:i/>
          <w:iCs/>
          <w:sz w:val="22"/>
          <w:szCs w:val="22"/>
        </w:rPr>
        <w:t xml:space="preserve">Recursos requeridos por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5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Recurso</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Disponibilidad</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los roles de análisis, desarrollo y pruebas</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para revisión técnica y seguimiento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Personal de Black Steel Parts para validación funcional</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confirmar</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 de desarrollo y dispositivo Android de prueba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Development Kit 17, entorno de desarrollo integrado y Android Studio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 licencia libre o para estudiantes</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MySQL 8.0 y cliente de administración</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Repositorio remoto con integración continua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Cuenta de prueba con proveedor tecnológico de facturación electrónica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r>
        <w:trPr>
          <w:cantSplit/>
        </w:trPr>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Insumo</w:t>
            </w:r>
          </w:p>
        </w:tc>
        <w:tc>
          <w:tcPr>
            <w:tcW w:type="dxa" w:w="5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Listas de precios reales de al menos tres proveedores distintos</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13.3 Riesgos</w:t>
      </w:r>
    </w:p>
    <w:p>
      <w:pPr>
        <w:spacing w:after="0" w:before="240" w:line="240"/>
      </w:pPr>
      <w:r>
        <w:rPr>
          <w:rFonts w:ascii="Times New Roman" w:cs="Times New Roman" w:eastAsia="Times New Roman" w:hAnsi="Times New Roman"/>
          <w:b/>
          <w:bCs/>
          <w:i w:val="false"/>
          <w:iCs w:val="false"/>
          <w:sz w:val="22"/>
          <w:szCs w:val="22"/>
        </w:rPr>
        <w:t xml:space="preserve">Tabla 22</w:t>
      </w:r>
    </w:p>
    <w:p>
      <w:pPr>
        <w:spacing w:after="120" w:line="240"/>
      </w:pPr>
      <w:r>
        <w:rPr>
          <w:rFonts w:ascii="Times New Roman" w:cs="Times New Roman" w:eastAsia="Times New Roman" w:hAnsi="Times New Roman"/>
          <w:b w:val="false"/>
          <w:bCs w:val="false"/>
          <w:i/>
          <w:iCs/>
          <w:sz w:val="22"/>
          <w:szCs w:val="22"/>
        </w:rPr>
        <w:t xml:space="preserve">Identificación y tratamiento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Riesgo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Impacto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Estrategia de mitigación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habilitación como facturador electrónico no se obtiene dentro del calendario del proyecto.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Desarrollar contra el entorno de pruebas del proveedor tecnológico y documentar la integración como verificada en ambiente de habilitación.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Las listas de precios de los proveedores presentan estructuras más heterogéneas de lo previsto.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Diseñar la correspondencia de columnas como configuración por proveedor desde el primer incremento, en lugar de resolverla en código.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concentración de todos los roles en una sola persona produce sesgo en la priorización.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por escrito el criterio de priorización de cada sprint y someterlo a revisión de la instructora.</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alcance resulta excesivo para el tiempo disponible.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Declarar el producto mínimo viable como el conjunto de requisitos de prioridad alta y tratar los de prioridad media y baja como incrementos opcionales.</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empresa no dispone de personal para validar los incrementos.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Definir un único interlocutor con disponibilidad acordada al inicio del proyecto.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ausencia de pruebas sobre la capa de datos permite que errores de consulta lleguen a producción.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Incorporar pruebas de integración con base de datos en contenedor desde el Sprint 1.</w:t>
            </w:r>
          </w:p>
        </w:tc>
      </w:tr>
      <w:tr>
        <w:trPr>
          <w:cantSplit/>
        </w:trPr>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Pérdida de información por fallo del equipo de desarrollo.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Baja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diario de cambios al repositorio remoto y respaldo del esquema de base de datos.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riesgos se reevalúan al cierre de cada sprint durante la retrospectiva.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14. Conclusiones de la Fase de Inicio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fase de inicio del proyecto permite establecer las siguientes conclusiones. Se enuncian como resultados de la planificación, no como logros de implementación, dado que el desarrollo no ha comenzado.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problema fue delimitado sobre una operación real con consecuencias cuantificables, lo que permite que los requisitos se contrasten contra restricciones concretas y no contra supuestos.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alcance se reencuadró respecto de la fase previa. La aplicación de escritorio deja de ser el producto final y pasa a ser un módulo dentro de una solución de tres componentes articulados por una interfaz de programación de aplicaciones.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trabajo de la fase anterior se conserva en su totalidad: el modelo de dominio, las reglas de negocio validadas, el esquema de base de datos normalizado y la suite de pruebas se reutilizan sin reescritura.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especificaron treinta y siete requisitos funcionales y dieciséis no funcionales, todos con criterio de aceptación verificable, y se estableció su trazabilidad respecto de los objetivos específicos.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detectaron y corrigieron inconsistencias entre la documentación técnica y la especificación de la fase previa, particularmente en el algoritmo de derivación de contraseñas y en los umbrales de existencia crítica.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modelo de datos se amplía de cinco a veinticuatro entidades para soportar proveedores, importación de listas de precios con vigencia, cotización y facturación electrónica.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módulo de importación de listas de precios se identifica como el componente de mayor valor técnico y como el diferenciador del proyecto frente a soluciones convencionales de inventario.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identificaron siete riesgos con su estrategia de mitigación, siendo el más crítico la dependencia respecto de un trámite de habilitación tributaria externo al control del proyecto.</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siguiente paso corresponde a la ejecución del Sprint 0, orientado a la preparación del entorno de desarrollo y a la construcción del backlog detallado a partir de los requisitos aquí especificados.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Referencias</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Booch, G., Rumbaugh, J., y Jacobson, I. (2005). </w:t>
      </w:r>
      <w:r>
        <w:rPr>
          <w:rFonts w:ascii="Times New Roman" w:cs="Times New Roman" w:eastAsia="Times New Roman" w:hAnsi="Times New Roman"/>
          <w:b w:val="false"/>
          <w:bCs w:val="false"/>
          <w:i/>
          <w:iCs/>
          <w:sz w:val="24"/>
          <w:szCs w:val="24"/>
        </w:rPr>
        <w:t xml:space="preserve">The unified modeling language user guide </w:t>
      </w:r>
      <w:r>
        <w:rPr>
          <w:rFonts w:ascii="Times New Roman" w:cs="Times New Roman" w:eastAsia="Times New Roman" w:hAnsi="Times New Roman"/>
          <w:b w:val="false"/>
          <w:bCs w:val="false"/>
          <w:i w:val="false"/>
          <w:iCs w:val="false"/>
          <w:sz w:val="24"/>
          <w:szCs w:val="24"/>
        </w:rPr>
        <w:t xml:space="preserve">(2.ª ed.). Addison-Wesley Professional.</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(1982, 28 de enero). </w:t>
      </w:r>
      <w:r>
        <w:rPr>
          <w:rFonts w:ascii="Times New Roman" w:cs="Times New Roman" w:eastAsia="Times New Roman" w:hAnsi="Times New Roman"/>
          <w:b w:val="false"/>
          <w:bCs w:val="false"/>
          <w:i/>
          <w:iCs/>
          <w:sz w:val="24"/>
          <w:szCs w:val="24"/>
        </w:rPr>
        <w:t xml:space="preserve">Ley 23 de 1982. Sobre derechos de autor. </w:t>
      </w:r>
      <w:r>
        <w:rPr>
          <w:rFonts w:ascii="Times New Roman" w:cs="Times New Roman" w:eastAsia="Times New Roman" w:hAnsi="Times New Roman"/>
          <w:b w:val="false"/>
          <w:bCs w:val="false"/>
          <w:i w:val="false"/>
          <w:iCs w:val="false"/>
          <w:sz w:val="24"/>
          <w:szCs w:val="24"/>
        </w:rPr>
        <w:t xml:space="preserve">Diario Oficial No. 35.949.</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(1999, 18 de agosto). </w:t>
      </w:r>
      <w:r>
        <w:rPr>
          <w:rFonts w:ascii="Times New Roman" w:cs="Times New Roman" w:eastAsia="Times New Roman" w:hAnsi="Times New Roman"/>
          <w:b w:val="false"/>
          <w:bCs w:val="false"/>
          <w:i/>
          <w:iCs/>
          <w:sz w:val="24"/>
          <w:szCs w:val="24"/>
        </w:rPr>
        <w:t xml:space="preserve">Ley 527 de 1999. Por medio de la cual se define y reglamenta el acceso y uso de los mensajes de datos, del comercio electrónico y de las firmas digitales. </w:t>
      </w:r>
      <w:r>
        <w:rPr>
          <w:rFonts w:ascii="Times New Roman" w:cs="Times New Roman" w:eastAsia="Times New Roman" w:hAnsi="Times New Roman"/>
          <w:b w:val="false"/>
          <w:bCs w:val="false"/>
          <w:i w:val="false"/>
          <w:iCs w:val="false"/>
          <w:sz w:val="24"/>
          <w:szCs w:val="24"/>
        </w:rPr>
        <w:t xml:space="preserve">Diario Oficial No. 43.673.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(2009, 5 de enero). </w:t>
      </w:r>
      <w:r>
        <w:rPr>
          <w:rFonts w:ascii="Times New Roman" w:cs="Times New Roman" w:eastAsia="Times New Roman" w:hAnsi="Times New Roman"/>
          <w:b w:val="false"/>
          <w:bCs w:val="false"/>
          <w:i/>
          <w:iCs/>
          <w:sz w:val="24"/>
          <w:szCs w:val="24"/>
        </w:rPr>
        <w:t xml:space="preserve">Ley 1273 de 2009. Por medio de la cual se modifica el Código Penal y se crea un nuevo bien jurídico tutelado denominado de la protección de la información y de los datos. </w:t>
      </w:r>
      <w:r>
        <w:rPr>
          <w:rFonts w:ascii="Times New Roman" w:cs="Times New Roman" w:eastAsia="Times New Roman" w:hAnsi="Times New Roman"/>
          <w:b w:val="false"/>
          <w:bCs w:val="false"/>
          <w:i w:val="false"/>
          <w:iCs w:val="false"/>
          <w:sz w:val="24"/>
          <w:szCs w:val="24"/>
        </w:rPr>
        <w:t xml:space="preserve">Diario Oficial No. 47.223.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(2011, 12 de octubre). </w:t>
      </w:r>
      <w:r>
        <w:rPr>
          <w:rFonts w:ascii="Times New Roman" w:cs="Times New Roman" w:eastAsia="Times New Roman" w:hAnsi="Times New Roman"/>
          <w:b w:val="false"/>
          <w:bCs w:val="false"/>
          <w:i/>
          <w:iCs/>
          <w:sz w:val="24"/>
          <w:szCs w:val="24"/>
        </w:rPr>
        <w:t xml:space="preserve">Ley 1480 de 2011. Por medio de la cual se expide el Estatuto del Consumidor. </w:t>
      </w:r>
      <w:r>
        <w:rPr>
          <w:rFonts w:ascii="Times New Roman" w:cs="Times New Roman" w:eastAsia="Times New Roman" w:hAnsi="Times New Roman"/>
          <w:b w:val="false"/>
          <w:bCs w:val="false"/>
          <w:i w:val="false"/>
          <w:iCs w:val="false"/>
          <w:sz w:val="24"/>
          <w:szCs w:val="24"/>
        </w:rPr>
        <w:t xml:space="preserve">Diario Oficial No. 48.220.</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(2012, 17 de octubre). </w:t>
      </w:r>
      <w:r>
        <w:rPr>
          <w:rFonts w:ascii="Times New Roman" w:cs="Times New Roman" w:eastAsia="Times New Roman" w:hAnsi="Times New Roman"/>
          <w:b w:val="false"/>
          <w:bCs w:val="false"/>
          <w:i/>
          <w:iCs/>
          <w:sz w:val="24"/>
          <w:szCs w:val="24"/>
        </w:rPr>
        <w:t xml:space="preserve">Ley 1581 de 2012. Por la cual se dictan disposiciones generales para la protección de datos personales. </w:t>
      </w:r>
      <w:r>
        <w:rPr>
          <w:rFonts w:ascii="Times New Roman" w:cs="Times New Roman" w:eastAsia="Times New Roman" w:hAnsi="Times New Roman"/>
          <w:b w:val="false"/>
          <w:bCs w:val="false"/>
          <w:i w:val="false"/>
          <w:iCs w:val="false"/>
          <w:sz w:val="24"/>
          <w:szCs w:val="24"/>
        </w:rPr>
        <w:t xml:space="preserve">Diario Oficial No. 48.587.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Dirección de Impuestos y Aduanas Nacionales. (2023). </w:t>
      </w:r>
      <w:r>
        <w:rPr>
          <w:rFonts w:ascii="Times New Roman" w:cs="Times New Roman" w:eastAsia="Times New Roman" w:hAnsi="Times New Roman"/>
          <w:b w:val="false"/>
          <w:bCs w:val="false"/>
          <w:i/>
          <w:iCs/>
          <w:sz w:val="24"/>
          <w:szCs w:val="24"/>
        </w:rPr>
        <w:t xml:space="preserve">Resolución 000165 de 2023. Por la cual se desarrolla el sistema de facturación electrónica. </w:t>
      </w:r>
      <w:r>
        <w:rPr>
          <w:rFonts w:ascii="Times New Roman" w:cs="Times New Roman" w:eastAsia="Times New Roman" w:hAnsi="Times New Roman"/>
          <w:b w:val="false"/>
          <w:bCs w:val="false"/>
          <w:i w:val="false"/>
          <w:iCs w:val="false"/>
          <w:sz w:val="24"/>
          <w:szCs w:val="24"/>
        </w:rPr>
        <w:t xml:space="preserve">DIAN.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Fowler, M. (2002). </w:t>
      </w:r>
      <w:r>
        <w:rPr>
          <w:rFonts w:ascii="Times New Roman" w:cs="Times New Roman" w:eastAsia="Times New Roman" w:hAnsi="Times New Roman"/>
          <w:b w:val="false"/>
          <w:bCs w:val="false"/>
          <w:i/>
          <w:iCs/>
          <w:sz w:val="24"/>
          <w:szCs w:val="24"/>
        </w:rPr>
        <w:t xml:space="preserve">Patterns of enterprise application architecture. </w:t>
      </w:r>
      <w:r>
        <w:rPr>
          <w:rFonts w:ascii="Times New Roman" w:cs="Times New Roman" w:eastAsia="Times New Roman" w:hAnsi="Times New Roman"/>
          <w:b w:val="false"/>
          <w:bCs w:val="false"/>
          <w:i w:val="false"/>
          <w:iCs w:val="false"/>
          <w:sz w:val="24"/>
          <w:szCs w:val="24"/>
        </w:rPr>
        <w:t xml:space="preserve">Addison-Wesley.</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Google. (2024). </w:t>
      </w:r>
      <w:r>
        <w:rPr>
          <w:rFonts w:ascii="Times New Roman" w:cs="Times New Roman" w:eastAsia="Times New Roman" w:hAnsi="Times New Roman"/>
          <w:b w:val="false"/>
          <w:bCs w:val="false"/>
          <w:i/>
          <w:iCs/>
          <w:sz w:val="24"/>
          <w:szCs w:val="24"/>
        </w:rPr>
        <w:t xml:space="preserve">Android developers documentation. </w:t>
      </w:r>
      <w:r>
        <w:rPr>
          <w:rFonts w:ascii="Times New Roman" w:cs="Times New Roman" w:eastAsia="Times New Roman" w:hAnsi="Times New Roman"/>
          <w:b w:val="false"/>
          <w:bCs w:val="false"/>
          <w:i w:val="false"/>
          <w:iCs w:val="false"/>
          <w:sz w:val="24"/>
          <w:szCs w:val="24"/>
        </w:rPr>
        <w:t xml:space="preserve">https://developer.android.com</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Martin, R. C. (2017). </w:t>
      </w:r>
      <w:r>
        <w:rPr>
          <w:rFonts w:ascii="Times New Roman" w:cs="Times New Roman" w:eastAsia="Times New Roman" w:hAnsi="Times New Roman"/>
          <w:b w:val="false"/>
          <w:bCs w:val="false"/>
          <w:i/>
          <w:iCs/>
          <w:sz w:val="24"/>
          <w:szCs w:val="24"/>
        </w:rPr>
        <w:t xml:space="preserve">Clean architecture: A craftsman’s guide to software structure and design. </w:t>
      </w:r>
      <w:r>
        <w:rPr>
          <w:rFonts w:ascii="Times New Roman" w:cs="Times New Roman" w:eastAsia="Times New Roman" w:hAnsi="Times New Roman"/>
          <w:b w:val="false"/>
          <w:bCs w:val="false"/>
          <w:i w:val="false"/>
          <w:iCs w:val="false"/>
          <w:sz w:val="24"/>
          <w:szCs w:val="24"/>
        </w:rPr>
        <w:t xml:space="preserve">Prentice Hall.</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Object Management Group. (2017). </w:t>
      </w:r>
      <w:r>
        <w:rPr>
          <w:rFonts w:ascii="Times New Roman" w:cs="Times New Roman" w:eastAsia="Times New Roman" w:hAnsi="Times New Roman"/>
          <w:b w:val="false"/>
          <w:bCs w:val="false"/>
          <w:i/>
          <w:iCs/>
          <w:sz w:val="24"/>
          <w:szCs w:val="24"/>
        </w:rPr>
        <w:t xml:space="preserve">OMG unified modeling language specification version 2.5.1. </w:t>
      </w:r>
      <w:r>
        <w:rPr>
          <w:rFonts w:ascii="Times New Roman" w:cs="Times New Roman" w:eastAsia="Times New Roman" w:hAnsi="Times New Roman"/>
          <w:b w:val="false"/>
          <w:bCs w:val="false"/>
          <w:i w:val="false"/>
          <w:iCs w:val="false"/>
          <w:sz w:val="24"/>
          <w:szCs w:val="24"/>
        </w:rPr>
        <w:t xml:space="preserve">https://www.omg.org/spec/UML/2.5.1</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Open Worldwide Application Security Project. (2021). </w:t>
      </w:r>
      <w:r>
        <w:rPr>
          <w:rFonts w:ascii="Times New Roman" w:cs="Times New Roman" w:eastAsia="Times New Roman" w:hAnsi="Times New Roman"/>
          <w:b w:val="false"/>
          <w:bCs w:val="false"/>
          <w:i/>
          <w:iCs/>
          <w:sz w:val="24"/>
          <w:szCs w:val="24"/>
        </w:rPr>
        <w:t xml:space="preserve">OWASP top ten. </w:t>
      </w:r>
      <w:r>
        <w:rPr>
          <w:rFonts w:ascii="Times New Roman" w:cs="Times New Roman" w:eastAsia="Times New Roman" w:hAnsi="Times New Roman"/>
          <w:b w:val="false"/>
          <w:bCs w:val="false"/>
          <w:i w:val="false"/>
          <w:iCs w:val="false"/>
          <w:sz w:val="24"/>
          <w:szCs w:val="24"/>
        </w:rPr>
        <w:t xml:space="preserve">https://owasp.org/www-project-top-ten/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Oracle Corporation. (2023). </w:t>
      </w:r>
      <w:r>
        <w:rPr>
          <w:rFonts w:ascii="Times New Roman" w:cs="Times New Roman" w:eastAsia="Times New Roman" w:hAnsi="Times New Roman"/>
          <w:b w:val="false"/>
          <w:bCs w:val="false"/>
          <w:i/>
          <w:iCs/>
          <w:sz w:val="24"/>
          <w:szCs w:val="24"/>
        </w:rPr>
        <w:t xml:space="preserve">Java SE 17 documentation. </w:t>
      </w:r>
      <w:r>
        <w:rPr>
          <w:rFonts w:ascii="Times New Roman" w:cs="Times New Roman" w:eastAsia="Times New Roman" w:hAnsi="Times New Roman"/>
          <w:b w:val="false"/>
          <w:bCs w:val="false"/>
          <w:i w:val="false"/>
          <w:iCs w:val="false"/>
          <w:sz w:val="24"/>
          <w:szCs w:val="24"/>
        </w:rPr>
        <w:t xml:space="preserve">https://docs.oracle.com/en/java/javase/17/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Presidencia de la República de Colombia. (2015, 26 de mayo). </w:t>
      </w:r>
      <w:r>
        <w:rPr>
          <w:rFonts w:ascii="Times New Roman" w:cs="Times New Roman" w:eastAsia="Times New Roman" w:hAnsi="Times New Roman"/>
          <w:b w:val="false"/>
          <w:bCs w:val="false"/>
          <w:i/>
          <w:iCs/>
          <w:sz w:val="24"/>
          <w:szCs w:val="24"/>
        </w:rPr>
        <w:t xml:space="preserve">Decreto 1074 de 2015. Decreto Único Reglamentario del Sector Comercio, Industria y Turismo. </w:t>
      </w:r>
      <w:r>
        <w:rPr>
          <w:rFonts w:ascii="Times New Roman" w:cs="Times New Roman" w:eastAsia="Times New Roman" w:hAnsi="Times New Roman"/>
          <w:b w:val="false"/>
          <w:bCs w:val="false"/>
          <w:i w:val="false"/>
          <w:iCs w:val="false"/>
          <w:sz w:val="24"/>
          <w:szCs w:val="24"/>
        </w:rPr>
        <w:t xml:space="preserve">Diario Oficial No. 49.523.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Pressman, R. S., y Maxim, B. R. (2021). </w:t>
      </w:r>
      <w:r>
        <w:rPr>
          <w:rFonts w:ascii="Times New Roman" w:cs="Times New Roman" w:eastAsia="Times New Roman" w:hAnsi="Times New Roman"/>
          <w:b w:val="false"/>
          <w:bCs w:val="false"/>
          <w:i/>
          <w:iCs/>
          <w:sz w:val="24"/>
          <w:szCs w:val="24"/>
        </w:rPr>
        <w:t xml:space="preserve">Ingeniería del software: Un enfoque práctico </w:t>
      </w:r>
      <w:r>
        <w:rPr>
          <w:rFonts w:ascii="Times New Roman" w:cs="Times New Roman" w:eastAsia="Times New Roman" w:hAnsi="Times New Roman"/>
          <w:b w:val="false"/>
          <w:bCs w:val="false"/>
          <w:i w:val="false"/>
          <w:iCs w:val="false"/>
          <w:sz w:val="24"/>
          <w:szCs w:val="24"/>
        </w:rPr>
        <w:t xml:space="preserve">(9.ª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Schwaber, K., y Sutherland, J. (2020). </w:t>
      </w:r>
      <w:r>
        <w:rPr>
          <w:rFonts w:ascii="Times New Roman" w:cs="Times New Roman" w:eastAsia="Times New Roman" w:hAnsi="Times New Roman"/>
          <w:b w:val="false"/>
          <w:bCs w:val="false"/>
          <w:i/>
          <w:iCs/>
          <w:sz w:val="24"/>
          <w:szCs w:val="24"/>
        </w:rPr>
        <w:t xml:space="preserve">La guía de Scrum: Las reglas del juego. </w:t>
      </w:r>
      <w:r>
        <w:rPr>
          <w:rFonts w:ascii="Times New Roman" w:cs="Times New Roman" w:eastAsia="Times New Roman" w:hAnsi="Times New Roman"/>
          <w:b w:val="false"/>
          <w:bCs w:val="false"/>
          <w:i w:val="false"/>
          <w:iCs w:val="false"/>
          <w:sz w:val="24"/>
          <w:szCs w:val="24"/>
        </w:rPr>
        <w:t xml:space="preserve">Scrum.org. https://scrumguides.org</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Silberschatz, A., Korth, H. F., y Sudarshan, S. (2019). </w:t>
      </w:r>
      <w:r>
        <w:rPr>
          <w:rFonts w:ascii="Times New Roman" w:cs="Times New Roman" w:eastAsia="Times New Roman" w:hAnsi="Times New Roman"/>
          <w:b w:val="false"/>
          <w:bCs w:val="false"/>
          <w:i/>
          <w:iCs/>
          <w:sz w:val="24"/>
          <w:szCs w:val="24"/>
        </w:rPr>
        <w:t xml:space="preserve">Database system concepts </w:t>
      </w:r>
      <w:r>
        <w:rPr>
          <w:rFonts w:ascii="Times New Roman" w:cs="Times New Roman" w:eastAsia="Times New Roman" w:hAnsi="Times New Roman"/>
          <w:b w:val="false"/>
          <w:bCs w:val="false"/>
          <w:i w:val="false"/>
          <w:iCs w:val="false"/>
          <w:sz w:val="24"/>
          <w:szCs w:val="24"/>
        </w:rPr>
        <w:t xml:space="preserve">(7.ª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Sommerville, I. (2016). </w:t>
      </w:r>
      <w:r>
        <w:rPr>
          <w:rFonts w:ascii="Times New Roman" w:cs="Times New Roman" w:eastAsia="Times New Roman" w:hAnsi="Times New Roman"/>
          <w:b w:val="false"/>
          <w:bCs w:val="false"/>
          <w:i/>
          <w:iCs/>
          <w:sz w:val="24"/>
          <w:szCs w:val="24"/>
        </w:rPr>
        <w:t xml:space="preserve">Software engineering </w:t>
      </w:r>
      <w:r>
        <w:rPr>
          <w:rFonts w:ascii="Times New Roman" w:cs="Times New Roman" w:eastAsia="Times New Roman" w:hAnsi="Times New Roman"/>
          <w:b w:val="false"/>
          <w:bCs w:val="false"/>
          <w:i w:val="false"/>
          <w:iCs w:val="false"/>
          <w:sz w:val="24"/>
          <w:szCs w:val="24"/>
        </w:rPr>
        <w:t xml:space="preserve">(10.ª ed.). Pearson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World Wide Web Consortium. (2018). </w:t>
      </w:r>
      <w:r>
        <w:rPr>
          <w:rFonts w:ascii="Times New Roman" w:cs="Times New Roman" w:eastAsia="Times New Roman" w:hAnsi="Times New Roman"/>
          <w:b w:val="false"/>
          <w:bCs w:val="false"/>
          <w:i/>
          <w:iCs/>
          <w:sz w:val="24"/>
          <w:szCs w:val="24"/>
        </w:rPr>
        <w:t xml:space="preserve">Web content accessibility guidelines (WCAG) 2.1. </w:t>
      </w:r>
      <w:r>
        <w:rPr>
          <w:rFonts w:ascii="Times New Roman" w:cs="Times New Roman" w:eastAsia="Times New Roman" w:hAnsi="Times New Roman"/>
          <w:b w:val="false"/>
          <w:bCs w:val="false"/>
          <w:i w:val="false"/>
          <w:iCs w:val="false"/>
          <w:sz w:val="24"/>
          <w:szCs w:val="24"/>
        </w:rPr>
        <w:t xml:space="preserve">https://www.w3.org/TR/WCAG21/</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Anexos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A. Parámetros de configuración del sistema</w:t>
      </w:r>
    </w:p>
    <w:p>
      <w:pPr>
        <w:spacing w:after="0" w:before="240" w:line="240"/>
      </w:pPr>
      <w:r>
        <w:rPr>
          <w:rFonts w:ascii="Times New Roman" w:cs="Times New Roman" w:eastAsia="Times New Roman" w:hAnsi="Times New Roman"/>
          <w:b/>
          <w:bCs/>
          <w:i w:val="false"/>
          <w:iCs w:val="false"/>
          <w:sz w:val="22"/>
          <w:szCs w:val="22"/>
        </w:rPr>
        <w:t xml:space="preserve">Tabla 23</w:t>
      </w:r>
    </w:p>
    <w:p>
      <w:pPr>
        <w:spacing w:after="120" w:line="240"/>
      </w:pPr>
      <w:r>
        <w:rPr>
          <w:rFonts w:ascii="Times New Roman" w:cs="Times New Roman" w:eastAsia="Times New Roman" w:hAnsi="Times New Roman"/>
          <w:b w:val="false"/>
          <w:bCs w:val="false"/>
          <w:i/>
          <w:iCs/>
          <w:sz w:val="22"/>
          <w:szCs w:val="22"/>
        </w:rPr>
        <w:t xml:space="preserve">Parámetros configurables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tblHeader/>
        </w:trPr>
        <w:tc>
          <w:tcPr>
            <w:tcW w:type="dxa" w:w="3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Clave</w:t>
            </w:r>
          </w:p>
        </w:tc>
        <w:tc>
          <w:tcPr>
            <w:tcW w:type="dxa" w:w="1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 inicial</w:t>
            </w:r>
          </w:p>
        </w:tc>
        <w:tc>
          <w:tcPr>
            <w:tcW w:type="dxa" w:w="3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Controla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sgip.bd.host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localhost</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Servidor de base de datos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sgip.bd.puerto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3306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Puerto de conexión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sgip.bd.ssl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Cifrado de la conexión al motor</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sgip.uvt.anio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2026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Año gravable de la unidad de valor tributario vigente</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sgip.uvt.valor</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en pesos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sgip.iva.tarifa.general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0.19</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sgip.iva.umbral.computadores.uvt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computadores personales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sgip.iva.umbral.moviles.uvt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celulares y tabletas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sgip.precio.margen.contado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efectivo y transferencia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sgip.precio.margen.credito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tarjeta de crédito y crédito directo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sgip.precio.alerta.cruce.umbral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Aviso cuando un recálculo cruza el tope de exclusión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Compra mínima para envío sin costo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sgip.envio.base</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sobre la cual se evalúa el umbral de envío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sgip.envio.obsequio.permitido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Habilita regalar el envío por debajo del umbral</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sgip.envio.obsequio.exige.motivo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Exige motivo y responsable al regalar el envío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sgip.cotizacion.vigencia.dias.habiles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por defecto de las cotizaciones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sgip.stock.minimo.defecto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existencia crítica por defecto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sgip.seguridad.clave.longitud.minima</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8</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Longitud mínima de contraseña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sgip.seguridad.sesion.minutos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Expiración de la sesión por inactividad</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sgip.seguridad.intentos.maximos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Intentos fallidos antes del bloqueo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sgip.factura.proveedor.url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valor</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Punto de acceso del proveedor tecnológico</w:t>
            </w:r>
          </w:p>
        </w:tc>
      </w:tr>
      <w:tr>
        <w:trPr>
          <w:cantSplit/>
        </w:trPr>
        <w:tc>
          <w:tcPr>
            <w:tcW w:type="dxa" w:w="3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sgip.log.nivel</w:t>
            </w:r>
          </w:p>
        </w:tc>
        <w:tc>
          <w:tcPr>
            <w:tcW w:type="dxa" w:w="1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w:t>
            </w:r>
          </w:p>
        </w:tc>
        <w:tc>
          <w:tcPr>
            <w:tcW w:type="dxa" w:w="3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Nivel de detalle de la bitácora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parámetros tributarios y comerciales se conservan con fecha de vigencia, no se sobrescriben. Un documento emitido en el pasado debe poder reconstruirse con los valores que regían en su fecha de emisión. Las credenciales de base de datos y del proveedor tecnológico se resuelven mediante variables de entorno y no se almacenan en archivos versionados.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B. Códigos de error del dominio</w:t>
      </w:r>
    </w:p>
    <w:p>
      <w:pPr>
        <w:spacing w:after="0" w:before="240" w:line="240"/>
      </w:pPr>
      <w:r>
        <w:rPr>
          <w:rFonts w:ascii="Times New Roman" w:cs="Times New Roman" w:eastAsia="Times New Roman" w:hAnsi="Times New Roman"/>
          <w:b/>
          <w:bCs/>
          <w:i w:val="false"/>
          <w:iCs w:val="false"/>
          <w:sz w:val="22"/>
          <w:szCs w:val="22"/>
        </w:rPr>
        <w:t xml:space="preserve">Tabla 24</w:t>
      </w:r>
    </w:p>
    <w:p>
      <w:pPr>
        <w:spacing w:after="120" w:line="240"/>
      </w:pPr>
      <w:r>
        <w:rPr>
          <w:rFonts w:ascii="Times New Roman" w:cs="Times New Roman" w:eastAsia="Times New Roman" w:hAnsi="Times New Roman"/>
          <w:b w:val="false"/>
          <w:bCs w:val="false"/>
          <w:i/>
          <w:iCs/>
          <w:sz w:val="22"/>
          <w:szCs w:val="22"/>
        </w:rPr>
        <w:t xml:space="preserve">Códigos de error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Código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SGIP-VAL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Dato de entrada que no satisface las reglas de validación.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Fallo en el acceso a la base de datos.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insuficiente para completar la operación solicitada.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SGIP-AUTH</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Credenciales rechazadas o sesión expirada.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SGIP-ROL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autenticado carece de permisos sobre el recurso.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SGIP-IMP</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procesamiento de una lista de precios importada.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SGIP-FE</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la transmisión o validación de la factura electrónica.</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SGIP-PAR</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Parámetro de configuración ausente, con formato inválido o sin vigencia aplicable a la fecha.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C. Antecedentes de la fase previa</w:t>
      </w:r>
    </w:p>
    <w:p>
      <w:pPr>
        <w:spacing w:after="0" w:before="240" w:line="240"/>
      </w:pPr>
      <w:r>
        <w:rPr>
          <w:rFonts w:ascii="Times New Roman" w:cs="Times New Roman" w:eastAsia="Times New Roman" w:hAnsi="Times New Roman"/>
          <w:b/>
          <w:bCs/>
          <w:i w:val="false"/>
          <w:iCs w:val="false"/>
          <w:sz w:val="22"/>
          <w:szCs w:val="22"/>
        </w:rPr>
        <w:t xml:space="preserve">Tabla 25</w:t>
      </w:r>
    </w:p>
    <w:p>
      <w:pPr>
        <w:spacing w:after="120" w:line="240"/>
      </w:pPr>
      <w:r>
        <w:rPr>
          <w:rFonts w:ascii="Times New Roman" w:cs="Times New Roman" w:eastAsia="Times New Roman" w:hAnsi="Times New Roman"/>
          <w:b w:val="false"/>
          <w:bCs w:val="false"/>
          <w:i/>
          <w:iCs/>
          <w:sz w:val="22"/>
          <w:szCs w:val="22"/>
        </w:rPr>
        <w:t xml:space="preserve">Estado de los componentes construidos en la fase previa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Lógica de negocio del dominio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 con setenta y nueve pruebas unitarias</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Modelo de datos con cinco tablas en tercera forma normal</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Pantalla de acceso en Java Swing</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Derivación de contraseñas y auditoría de accesos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Panel de indicadores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productos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 de ingresos y egresos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Exportación a documento portátil</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iniciar</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los componentes marcados como completos se reutiliza en el presente proyecto sin reescritura.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D. Modelo entidad-relación completo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Figura 24 presenta el modelo relacional completo en una sola vista. Se incluye como referencia de conjunto; para su lectura detallada deben consultarse las vistas por dominio de las Figuras 19 a 22.</w:t>
      </w:r>
    </w:p>
    <w:p>
      <w:pPr>
        <w:keepNext/>
        <w:spacing w:after="0" w:before="240" w:line="240"/>
      </w:pPr>
      <w:r>
        <w:rPr>
          <w:rFonts w:ascii="Times New Roman" w:cs="Times New Roman" w:eastAsia="Times New Roman" w:hAnsi="Times New Roman"/>
          <w:b/>
          <w:bCs/>
          <w:i w:val="false"/>
          <w:iCs w:val="false"/>
          <w:sz w:val="22"/>
          <w:szCs w:val="22"/>
        </w:rPr>
        <w:t xml:space="preserve">Figura 24</w:t>
      </w:r>
    </w:p>
    <w:p>
      <w:pPr>
        <w:keepNext/>
        <w:spacing w:after="120" w:line="240"/>
      </w:pPr>
      <w:r>
        <w:rPr>
          <w:rFonts w:ascii="Times New Roman" w:cs="Times New Roman" w:eastAsia="Times New Roman" w:hAnsi="Times New Roman"/>
          <w:b w:val="false"/>
          <w:bCs w:val="false"/>
          <w:i/>
          <w:iCs/>
          <w:sz w:val="22"/>
          <w:szCs w:val="22"/>
        </w:rPr>
        <w:t xml:space="preserve">Modelo entidad-relación completo del SGIP</w:t>
      </w:r>
    </w:p>
    <w:p>
      <w:pPr>
        <w:keepNext/>
        <w:spacing w:after="120"/>
        <w:jc w:val="center"/>
      </w:pPr>
      <w:r>
        <w:drawing>
          <wp:inline distT="0" distB="0" distL="0" distR="0">
            <wp:extent cx="59436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5147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Veinticuatro entidades con sus claves primarias, foráneas y columnas generadas.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E. Especificación expandida de casos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 documento aparte responde a su extensión y a su ritmo de cambio: las fichas se ajustan con cada iteración de desarrollo, mientras que el cuerpo de este informe permanece estable.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5593e1ebc082778caad3e3e255739fb7801ff96.png"/><Relationship Id="rId9" Type="http://schemas.openxmlformats.org/officeDocument/2006/relationships/image" Target="media/61c98c5780482b337f37f4f4c96666c96d46abac.png"/><Relationship Id="rId10" Type="http://schemas.openxmlformats.org/officeDocument/2006/relationships/image" Target="media/860b541ad0e0c441bd2cbf95290b4a1f64b60419.png"/><Relationship Id="rId11" Type="http://schemas.openxmlformats.org/officeDocument/2006/relationships/image" Target="media/17b59a3d87d22b38866614d1341fdbc1736cdd86.png"/><Relationship Id="rId12" Type="http://schemas.openxmlformats.org/officeDocument/2006/relationships/image" Target="media/0d42305339b00026e7e6127851e50b9a6c657573.png"/><Relationship Id="rId13" Type="http://schemas.openxmlformats.org/officeDocument/2006/relationships/image" Target="media/ff36b7d0c132e7c81680f3582c54b1ae72cae1ad.png"/><Relationship Id="rId14" Type="http://schemas.openxmlformats.org/officeDocument/2006/relationships/image" Target="media/8764e24956a0f475223d87ec1fddabd1f8c107aa.png"/><Relationship Id="rId15" Type="http://schemas.openxmlformats.org/officeDocument/2006/relationships/image" Target="media/ef91f9ae6e58a04270fdb0ca8f802eb9f5048a64.png"/><Relationship Id="rId16" Type="http://schemas.openxmlformats.org/officeDocument/2006/relationships/image" Target="media/af4b45cbeea3b614ce7ebc7841cd979bd42fc432.png"/><Relationship Id="rId17" Type="http://schemas.openxmlformats.org/officeDocument/2006/relationships/image" Target="media/17c7fd81863a1167e05a4fd919c143f2e29c5f4b.png"/><Relationship Id="rId18" Type="http://schemas.openxmlformats.org/officeDocument/2006/relationships/image" Target="media/daa4c4792e84a9804aa1b1a828c0fbe16c0795bc.png"/><Relationship Id="rId19" Type="http://schemas.openxmlformats.org/officeDocument/2006/relationships/image" Target="media/de022bce4f51ffe928c2d92ed6206aeacaad04a8.png"/><Relationship Id="rId20" Type="http://schemas.openxmlformats.org/officeDocument/2006/relationships/image" Target="media/f39831fa54e2934b9f17a9f16ee9184736dbdfcb.png"/><Relationship Id="rId21" Type="http://schemas.openxmlformats.org/officeDocument/2006/relationships/image" Target="media/a382d3a8b3038dd2b6e3fb6206ab6994a58d4e1f.png"/><Relationship Id="rId22" Type="http://schemas.openxmlformats.org/officeDocument/2006/relationships/image" Target="media/32030e637bc6bc8ac29f7c7b47112102fad40993.png"/><Relationship Id="rId23" Type="http://schemas.openxmlformats.org/officeDocument/2006/relationships/image" Target="media/d290b9518f6c5d1134fa3d3cec6baf729612caea.png"/><Relationship Id="rId24" Type="http://schemas.openxmlformats.org/officeDocument/2006/relationships/image" Target="media/c8995bd9c59edf011ea8801e9f0edb32eb216208.png"/><Relationship Id="rId25" Type="http://schemas.openxmlformats.org/officeDocument/2006/relationships/image" Target="media/66a906dd6709603bb47951b843ce2e1951c30d65.png"/><Relationship Id="rId26" Type="http://schemas.openxmlformats.org/officeDocument/2006/relationships/image" Target="media/decc3c1ae5e80a257ce4e59822ca8eb565e345b7.png"/><Relationship Id="rId27" Type="http://schemas.openxmlformats.org/officeDocument/2006/relationships/image" Target="media/58c5b54a9501c811281668e581e500f6b0933a3c.png"/><Relationship Id="rId28" Type="http://schemas.openxmlformats.org/officeDocument/2006/relationships/image" Target="media/f317f56b709df72211c7ae6c20daa6588941c037.png"/><Relationship Id="rId29" Type="http://schemas.openxmlformats.org/officeDocument/2006/relationships/image" Target="media/8ee12f629eda042bfce99be1ea5d83b0edf78028.png"/><Relationship Id="rId30" Type="http://schemas.openxmlformats.org/officeDocument/2006/relationships/image" Target="media/5f7cd61fde977b47d560eeee88097b51136f1723.png"/><Relationship Id="rId31" Type="http://schemas.openxmlformats.org/officeDocument/2006/relationships/image" Target="media/64f8f6cd0472c717c4c84b29d2dca54dc6aa2ad4.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Un-named</cp:lastModifiedBy>
  <cp:revision>1</cp:revision>
  <dcterms:created xsi:type="dcterms:W3CDTF">2026-09-18T04:03:51.646Z</dcterms:created>
  <dcterms:modified xsi:type="dcterms:W3CDTF">2026-09-18T04:03:51.655Z</dcterms:modified>
</cp:coreProperties>
</file>

<file path=docProps/custom.xml><?xml version="1.0" encoding="utf-8"?>
<Properties xmlns="http://schemas.openxmlformats.org/officeDocument/2006/custom-properties" xmlns:vt="http://schemas.openxmlformats.org/officeDocument/2006/docPropsVTypes"/>
</file>