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bCs/>
          <w:i w:val="false"/>
          <w:iCs w:val="false"/>
          <w:sz w:val="24"/>
          <w:szCs w:val="24"/>
        </w:rPr>
        <w:t xml:space="preserve">SGIP — Sistema de Gestión de Inventario de Productos</w:t>
      </w:r>
    </w:p>
    <w:p>
      <w:pPr>
        <w:spacing w:line="480"/>
        <w:jc w:val="center"/>
      </w:pPr>
      <w:r>
        <w:rPr>
          <w:rFonts w:ascii="Times New Roman" w:cs="Times New Roman" w:eastAsia="Times New Roman" w:hAnsi="Times New Roman"/>
          <w:b/>
          <w:bCs/>
          <w:i w:val="false"/>
          <w:iCs w:val="false"/>
          <w:sz w:val="24"/>
          <w:szCs w:val="24"/>
        </w:rPr>
        <w:t xml:space="preserve">Anexo E. Especificación Expandida de Casos de Uso</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Jesús Manuel Durán Muñoz</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Servicio Nacional de Aprendizaje (SENA)</w:t>
      </w:r>
    </w:p>
    <w:p>
      <w:pPr>
        <w:spacing w:line="480"/>
        <w:jc w:val="center"/>
      </w:pPr>
      <w:r>
        <w:rPr>
          <w:rFonts w:ascii="Times New Roman" w:cs="Times New Roman" w:eastAsia="Times New Roman" w:hAnsi="Times New Roman"/>
          <w:b w:val="false"/>
          <w:bCs w:val="false"/>
          <w:i w:val="false"/>
          <w:iCs w:val="false"/>
          <w:sz w:val="24"/>
          <w:szCs w:val="24"/>
        </w:rPr>
        <w:t xml:space="preserve">Centro Industrial de Mantenimiento Integral (CIMI)</w:t>
      </w:r>
    </w:p>
    <w:p>
      <w:pPr>
        <w:spacing w:line="480"/>
        <w:jc w:val="center"/>
      </w:pPr>
      <w:r>
        <w:rPr>
          <w:rFonts w:ascii="Times New Roman" w:cs="Times New Roman" w:eastAsia="Times New Roman" w:hAnsi="Times New Roman"/>
          <w:b w:val="false"/>
          <w:bCs w:val="false"/>
          <w:i w:val="false"/>
          <w:iCs w:val="false"/>
          <w:sz w:val="24"/>
          <w:szCs w:val="24"/>
        </w:rPr>
        <w:t xml:space="preserve">Tecnología en Análisis y Desarrollo de Software — Ficha 3234206</w:t>
      </w:r>
    </w:p>
    <w:p>
      <w:pPr>
        <w:spacing w:line="480"/>
        <w:jc w:val="center"/>
      </w:pPr>
      <w:r>
        <w:rPr>
          <w:rFonts w:ascii="Times New Roman" w:cs="Times New Roman" w:eastAsia="Times New Roman" w:hAnsi="Times New Roman"/>
          <w:b w:val="false"/>
          <w:bCs w:val="false"/>
          <w:i w:val="false"/>
          <w:iCs w:val="false"/>
          <w:sz w:val="24"/>
          <w:szCs w:val="24"/>
        </w:rPr>
        <w:t xml:space="preserve">Instructora: Yeimi Barrera</w:t>
      </w:r>
    </w:p>
    <w:p>
      <w:pPr>
        <w:spacing w:line="480"/>
      </w:pPr>
      <w:r>
        <w:rPr>
          <w:rFonts w:ascii="Times New Roman" w:cs="Times New Roman" w:eastAsia="Times New Roman" w:hAnsi="Times New Roman"/>
          <w:b w:val="false"/>
          <w:bCs w:val="false"/>
          <w:i w:val="false"/>
          <w:iCs w:val="false"/>
          <w:sz w:val="24"/>
          <w:szCs w:val="24"/>
        </w:rPr>
        <w:t xml:space="preserve"/>
      </w:r>
    </w:p>
    <w:p>
      <w:pPr>
        <w:spacing w:line="480"/>
        <w:jc w:val="center"/>
      </w:pPr>
      <w:r>
        <w:rPr>
          <w:rFonts w:ascii="Times New Roman" w:cs="Times New Roman" w:eastAsia="Times New Roman" w:hAnsi="Times New Roman"/>
          <w:b w:val="false"/>
          <w:bCs w:val="false"/>
          <w:i w:val="false"/>
          <w:iCs w:val="false"/>
          <w:sz w:val="24"/>
          <w:szCs w:val="24"/>
        </w:rPr>
        <w:t xml:space="preserve">Bucaramanga, Santander · 2026</w:t>
      </w:r>
    </w:p>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Presentación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Este anexo desarrolla los dieciocho casos de uso identificados en el capítulo 9 del informe de inicio del proyecto. Cada ficha especifica el actor principal, las condiciones previas y posteriores, el flujo principal paso a paso, los flujos alternativos, los flujos de excepción y las reglas de negocio que gobiernan la interacción.</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distinción entre flujo alternativo y flujo de excepción es deliberada. Un flujo alternativo es un camino válido que conduce igualmente al objetivo del caso de uso; un flujo de excepción es una condición de error que impide alcanzarlo. Confundirlos produce especificaciones que no permiten derivar casos de prueba, que es la finalidad práctica de este documento.</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Las reglas de negocio enunciadas en cada ficha son las que el sistema debe hacer cumplir con independencia del camino que siga el usuario. Cuando una regla aparece en varias fichas, se repite de forma intencional: la ficha debe poder leerse de manera autónoma.</w:t>
      </w:r>
    </w:p>
    <w:p>
      <w:pPr>
        <w:spacing w:after="0" w:line="480"/>
        <w:ind w:firstLine="720"/>
        <w:jc w:val="both"/>
      </w:pPr>
      <w:r>
        <w:rPr>
          <w:rFonts w:ascii="Times New Roman" w:cs="Times New Roman" w:eastAsia="Times New Roman" w:hAnsi="Times New Roman"/>
          <w:b w:val="false"/>
          <w:bCs w:val="false"/>
          <w:i w:val="false"/>
          <w:iCs w:val="false"/>
          <w:sz w:val="24"/>
          <w:szCs w:val="24"/>
        </w:rPr>
        <w:t xml:space="preserve">La numeración de los casos de uso, de los requisitos y de los códigos de error se corresponde con la del informe de inicio del proyecto.</w:t>
      </w:r>
    </w:p>
    <w:p>
      <w:pPr>
        <w:pStyle w:val="Heading1"/>
        <w:pageBreakBefore/>
        <w:spacing w:after="0" w:before="240" w:line="480"/>
        <w:jc w:val="center"/>
      </w:pPr>
      <w:r>
        <w:rPr>
          <w:rFonts w:ascii="Times New Roman" w:cs="Times New Roman" w:eastAsia="Times New Roman" w:hAnsi="Times New Roman"/>
          <w:b/>
          <w:bCs/>
          <w:i w:val="false"/>
          <w:iCs w:val="false"/>
          <w:sz w:val="24"/>
          <w:szCs w:val="24"/>
        </w:rPr>
        <w:t xml:space="preserve">Índice de casos de uso</w:t>
      </w:r>
    </w:p>
    <w:p>
      <w:pPr>
        <w:spacing w:line="480"/>
      </w:pPr>
      <w:r>
        <w:rPr>
          <w:rFonts w:ascii="Times New Roman" w:cs="Times New Roman" w:eastAsia="Times New Roman" w:hAnsi="Times New Roman"/>
          <w:b w:val="false"/>
          <w:bCs w:val="false"/>
          <w:i w:val="false"/>
          <w:iCs w:val="false"/>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CU-01</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Iniciar sesión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CU-02</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Cerrar sesión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CU-03</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usuarios y roles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CU-04</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producto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CU-05</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Editar producto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CU-06</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Desactivar producto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CU-07</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catálogo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CU-08</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producto por código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CU-09</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Gestionar proveedores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CU-10</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correspondencia de columnas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CU-11</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Importar lista de precios</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CU-12</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Configurar reglas de margen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CU-13</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Generar cotización</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CU-14</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Convertir cotización en pedido</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CU-15</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venta</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CU-16</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Emitir factura electrónica</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CU-17</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Registrar ingreso de mercancía</w:t>
            </w:r>
          </w:p>
        </w:tc>
      </w:tr>
      <w:tr>
        <w:tc>
          <w:tcPr>
            <w:tcW w:type="dxa" w:w="160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CU-18</w:t>
            </w:r>
          </w:p>
        </w:tc>
        <w:tc>
          <w:tcPr>
            <w:tcW w:type="dxa" w:w="7760"/>
            <w:tcBorders>
              <w:top w:val="none" w:color="FFFFFF" w:sz="0"/>
              <w:left w:val="none" w:color="FFFFFF" w:sz="0"/>
              <w:bottom w:val="single" w:color="000000" w:sz="6"/>
              <w:right w:val="none" w:color="FFFFFF" w:sz="0"/>
            </w:tcBorders>
            <w:tcMar>
              <w:top w:type="dxa" w:w="60"/>
              <w:left w:type="dxa" w:w="90"/>
              <w:bottom w:type="dxa" w:w="6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Consultar reportes</w:t>
            </w:r>
          </w:p>
        </w:tc>
      </w:tr>
    </w:tbl>
    <w:p>
      <w:r>
        <w:br w:type="page"/>
      </w:r>
    </w:p>
    <w:p>
      <w:pPr>
        <w:pStyle w:val="Heading1"/>
        <w:spacing w:after="0" w:before="0" w:line="480"/>
        <w:jc w:val="center"/>
      </w:pPr>
      <w:r>
        <w:rPr>
          <w:rFonts w:ascii="Times New Roman" w:cs="Times New Roman" w:eastAsia="Times New Roman" w:hAnsi="Times New Roman"/>
          <w:b/>
          <w:bCs/>
          <w:i w:val="false"/>
          <w:iCs w:val="false"/>
          <w:sz w:val="24"/>
          <w:szCs w:val="24"/>
        </w:rPr>
        <w:t xml:space="preserve">Fichas de especificación</w:t>
      </w:r>
    </w:p>
    <w:p>
      <w:pPr>
        <w:keepNext/>
        <w:spacing w:after="0" w:before="240" w:line="240"/>
      </w:pPr>
      <w:r>
        <w:rPr>
          <w:rFonts w:ascii="Times New Roman" w:cs="Times New Roman" w:eastAsia="Times New Roman" w:hAnsi="Times New Roman"/>
          <w:b/>
          <w:bCs/>
          <w:i w:val="false"/>
          <w:iCs w:val="false"/>
          <w:sz w:val="22"/>
          <w:szCs w:val="22"/>
        </w:rPr>
        <w:t xml:space="preserve">Tabla 1</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CU-01: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CU-01 — Iniciar sesión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presenta sus credenciales y el sistema, tras verificarlas, emite un token de acceso con vigencia limitada que determina los recursos a los que puede acceder.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abre la aplicación móvil o el módulo administrativo.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sistema se encuentra disponible.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existe en la base de datos y su cuenta está activa.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emite un token de acceso asociado al rol del usuario.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registra el intento de acceso en la auditoría.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introduce su correo corporativo y su contraseña.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valida el formato del correo.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recupera el usuario asociado al correo.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deriva la contraseña presentada y la compara con el hash almacenado mediante comparación en tiempo constante.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reinicia el contador de intentos fallidos del usuario.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registra el acceso exitoso en la auditoría.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emite el token de sesión con su fecha de expiración y el rol asociado.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presenta la vista inicial correspondiente al rol.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Correo con formato inválido: el sistema señala el campo y no ejecuta la consulta a la base de datos.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Sesión previa vigente en el dispositivo: el sistema omite la solicitud de credenciales y renueva la vigencia del token.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Correo inexistente: el sistema registra el intento fallido y devuelve el mensaje genérico de credenciales inválidas.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Contraseña incorrecta: el sistema incrementa el contador de intentos fallidos, registra el intento y devuelve el mismo mensaje genérico.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Quinto intento fallido consecutivo: el sistema bloquea la cuenta y notifica al administrador.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E4. Cuenta bloqueada o inactiva: el sistema deniega el acceso con el mensaje genérico.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E5. Base de datos no disponible: el sistema devuelve el código SGIP-BD y registra el fallo en la bitácora.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mensaje de error nunca distingue entre correo inexistente y contraseña incorrecta, para impedir la enumeración de usuarios válidos.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número máximo de intentos fallidos es configurable; su valor por defecto es cinco.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contraseña se almacena derivada con PBKDF2 sobre SHA-256, 120.000 iteraciones y sal aleatoria de dieciséis bytes.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 RF-02, RF-03</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 por usuario</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2</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CU-02: Cerrar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CU-02 — Cerrar sesión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finaliza su sesión de forma explícita y el sistema invalida el token emitido.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selecciona la opción de cierre de sesión, o transcurre el tiempo de inactividad configurado.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Existe una sesión vigente para el usuario.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token queda invalidado y no puede reutilizarse.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aplicación regresa a la pantalla de acceso.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selecciona la opción de cerrar sesión.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solicita confirmación cuando existen operaciones sin guardar.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marca el token como expirado en el registro de sesiones.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descarta los datos de sesión almacenados en el dispositivo.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presenta la pantalla de acceso.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Expiración por inactividad: transcurridos treinta minutos sin actividad, el sistema ejecuta los pasos 3 a 5 sin intervención del usuario.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Operaciones sin guardar: el usuario decide descartarlas o regresar para completarlas.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Pérdida de conectividad durante el cierre: la aplicación descarta la sesión local y el token expira en el servidor al alcanzar su vigencia.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vigencia de la sesión por inactividad es configurable; su valor por defecto es treinta minutos.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expiración no elimina el registro de la sesión, que se conserva con fines de auditoría.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RF-01</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 por usuario</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3</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CU-03: Gestionar usuarios y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CU-03 — Gestionar usuarios y roles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crea, modifica, activa, desactiva y desbloquea las cuentas de usuario, y asigna el rol que determina sus permisos.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Ingreso de personal nuevo, cambio de funciones o bloqueo de una cuenta por intentos fallidos.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 con rol de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cuenta queda creada o actualizada con su rol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cambio queda registrado con el usuario que lo ejecutó.</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 la administración de usuarios.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las cuentas existentes con su rol y su estado.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selecciona crear una cuenta o modificar una existente.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administrador introduce nombre, correo corporativo y rol.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valida que el correo no esté registrado y que cumpla el formato.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genera una contraseña inicial y la deriva antes de almacenarla.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la cuenta y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comunica la contraseña inicial por el canal definido, con obligación de cambio en el primer acceso.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Desbloqueo de cuenta: el administrador reinicia el contador de intentos fallidos y la cuenta recupera su estado activo.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Desactivación: la cuenta deja de permitir acceso pero se conserva para preservar la trazabilidad de sus operaciones.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Cambio de rol: el sistema invalida las sesiones vigentes del usuario para que los nuevos permisos apliquen de inmediato.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Correo ya registrado: el sistema rechaza la operación e indica el conflicto.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Intento de desactivar la última cuenta de administrador: el sistema rechaza la operación.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Ninguna cuenta puede eliminarse; solo desactivarse, para no romper la integridad referencial de ventas y movimientos.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roles disponibles son administrador, vendedor y cliente.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sistema debe conservar al menos una cuenta activa con rol de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RF-04</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Ocasional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4</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CU-04: Registrar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CU-04 — Registrar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incorpora una referencia nueva al catálogo con su costo, categoría, proveedor y existencia inicial. El sistema deriva los precios de venta a partir de las reglas de margen vigentes.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Llegada de una referencia nueva al portafolio de la empresa.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Existen al menos una categoría y un proveedor registrados.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queda disponible en el catálogo con sus precios calculados.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registra el movimiento de inventario de tipo ingreso por la existencia inicial.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la opción de registrar producto.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introduce código, nombre, categoría, proveedor, costo, existencia inicial y umbral mínimo.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valida que el código no exista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que el costo sea mayor que cero y que las cantidades sean enteros no negativos.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determina la regla de margen aplicable según categoría, proveedor y forma de pago.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calcula el precio de contado y el precio de crédito mediante columnas generadas.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el producto y registra el costo inicial en el histórico con su fecha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registra el movimiento de inventario correspondiente a la existencia inicial.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sistema confirma el registro y presenta la ficha del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Categoría inexistente: el administrador la crea sin abandonar el formulario y continúa.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Existencia inicial igual a cero: el producto se registra en estado agotado y no se genera movimiento de inventario.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Umbral mínimo no indicado: el sistema aplica el valor por defecto configurado.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Código duplicado: el sistema rechaza el registro e indica el producto que ya lo utiliza.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Costo menor o igual a cero: el sistema devuelve el código SGIP-VAL y solicita corregir el dato.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No existe regla de margen aplicable: el sistema aplica la regla general y advierte al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código del producto es único en todo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precio de venta nunca se captura de forma manual: siempre se deriva del costo y de la regla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Todo cambio de existencia genera un registro de movimiento, incluida la carga inicial.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RF-05, RF-17, RF-19, RF-27</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5</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CU-05: Editar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CU-05 — Editar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modifica los datos de una referencia existente. Cuando el cambio afecta el costo, el sistema conserva el valor anterior en el histórico y recalcula los precios de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Corrección de datos, cambio de proveedor o ajuste manual del costo.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existe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datos quedan actualizados.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Si cambió el costo, el valor anterior queda cerrado en el histórico y los precios de venta quedan recalculados.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localiza el producto y selecciona la opción de edición.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los datos actuales de la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modifica los campos requeridos.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los datos introducidos.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Si el costo cambió, el sistema cierra el registro histórico vigente con la fecha actual y abre uno nuevo.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recalcula el precio de contado y el precio de crédito.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los cambios y confirma la operación.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Cambio de proveedor: el sistema advierte que puede aplicar una regla de margen distinta y muestra el precio resultante antes de confirmar.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Cambio de umbral mínimo: el sistema reevalúa el estado de existencia y notifica si la referencia pasa a estado crítico.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Ajuste de existencia: el sistema exige indicar el motivo y genera un movimiento de tipo ajuste.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El producto tiene cotizaciones vigentes: el sistema advierte que los precios de esas cotizaciones permanecen congelados y no se modifican.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Costo inválido: el sistema devuelve el código SGIP-VAL sin persistir cambio alguno.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modificación del costo nunca sobrescribe el histórico: lo cierra y abre un registro nuevo.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cotizaciones y ventas ya emitidas no se recalculan: son dato histórico.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ajuste manual de existencia requiere motivo y queda registrado como movimiento auditable.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RF-06, RF-16, RF-18, RF-27</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6</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CU-06: Desactivar producto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CU-06 — Desactivar producto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retira del catálogo una referencia descontinuada sin eliminar su información histórica.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Descontinuación de la referencia por parte del fabricante o del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existe y se encuentra activo.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producto deja de aparecer en el catálogo y no puede incluirse en cotizaciones ni ventas nuevas.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Su historial de movimientos, costos y ventas se conserva íntegro.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localiza el producto y selecciona la opción de desactivar.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verifica si existen cotizaciones vigentes que incluyan la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solicita confirmación informando la existencia disponible y las cotizaciones afectadas.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administrador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marca el producto como inactivo.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confirma la desactivación.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Existencia mayor que cero: el sistema advierte que quedará inventario sin posibilidad de venta y solicita confirmación expresa.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Reactivación: el administrador reactiva una referencia inactiva y el sistema recalcula sus precios contra el costo vigente.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Cotizaciones vigentes que incluyen el producto: el sistema exige resolverlas o aceptar que quedarán sin posibilidad de conversión.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Ningún producto se elimina de la base de datos.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reactivación recalcula los precios: una referencia no puede volver al catálogo con precios derivados de un costo superado.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RF-09</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Mensual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7</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CU-07: Consultar catálogo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CU-07 — Consultar catálogo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 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explora las referencias disponibles aplicando filtros por categoría, proveedor y estado de existencia, con resultados paginados.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Necesidad de verificar disponibilidad o precio de una o varias referencias.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presenta el conjunto de referencias que satisface los criterios, con su estado de existencia.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accede al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la primera página de referencias activas ordenadas por nombre.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usuario aplica filtros de categoría, proveedor, estado de existencia o texto de búsqueda.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consulta las referencias que satisfacen los criterios.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presenta nombre, código, existencia, estado y precios de venta de cada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usuario navega entre páginas de resultados.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Rol cliente: el sistema oculta el costo de compra y presenta únicamente los precios de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Sin conexión en la aplicación móvil: el sistema presenta el catálogo sincronizado e indica la fecha de la última sincronización.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Sin resultados: el sistema informa la ausencia de coincidencias y ofrece limpiar los filtros.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Servicio no disponible y sin datos sincronizados: el sistema informa la imposibilidad de consultar e invita a reintentar.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costo de compra nunca se expone a usuarios con rol cliente.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referencias inactivas no aparecen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consulta debe responder en menos de un segundo con un catálogo de diez mil referencias.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RF-07, RF-19, RF-32</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Continua durante la jornada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8</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CU-08: Consultar producto por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CU-08 — Consultar producto por código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obtiene la ficha de una referencia leyendo su código de barras o código QR con la cámara del dispositivo móvil, o introduciéndolo manualmente.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usuario tiene el producto físico a la vista y requiere su precio o disponibilidad.</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aplicación cuenta con permiso de uso de la cámara.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presenta la ficha de la referencia con existencia y precios de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activa la lectura de código.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solicita el permiso de cámara cuando aún no ha sido concedido.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usuario enfoca el código del producto.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decodifica el valor leído.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consulta la referencia asociada al código.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presenta la ficha con nombre, existencia, estado, precio de contado y precio de crédito.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Introducción manual: el usuario escribe el código cuando la etiqueta está deteriorada.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Producto agotado: el sistema presenta la ficha señalando el estado y ofrece consultar la fecha del último ingreso.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Código no registrado: el sistema informa que la referencia no existe y ofrece buscarla por nombre.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Permiso de cámara denegado: el sistema habilita únicamente la introducción manual.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Código ilegible tras varios intentos: el sistema sugiere la introducción manual.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código leído corresponde al código único de la referencia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lectura no modifica dato alguno del sistema.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RF-08</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Continua durante la jornada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9</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CU-09: Gestionar proveedores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CU-09 — Gestionar proveedores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registra y mantiene los proveedores con su identificación tributaria, contacto y condiciones comerciales, y define el origen desde el cual se obtienen sus listas de precios.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Vinculación de un proveedor nuevo o cambio en sus condiciones comerciales.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proveedor queda disponible para asociarse a productos, reglas de margen y cargas de precios.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 la administración de proveedores.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introduce razón social, número de identificación tributaria, contacto y plazo de pago.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indica el origen de las listas de precios: archivo de hoja de cálculo o servicio web.</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Cuando el origen es un servicio web, el administrador introduce su dirección y credenciales de acceso.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valida que la identificación tributaria no esté registrada.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persiste el proveedor y confirma la operación.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Desactivación: el proveedor deja de aparecer en las listas de selección pero conserva su historial de cargas.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Verificación de conectividad: el administrador solicita una prueba de conexión al servicio web antes de guardar.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Identificación tributaria duplicada: el sistema rechaza la operación e indica el proveedor existente.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Servicio web inalcanzable durante la prueba: el sistema permite guardar el proveedor y advierte que la consulta automática no estará disponible.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identificación tributaria es única entre proveedores.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credenciales de acceso a servicios de proveedores se almacenan cifradas y nunca se exponen en la interfaz.</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Ningún proveedor se elimina; solo se desactiva.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RF-10, RF-12</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Ocasional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10</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CU-10: Configurar correspondencia de columnas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CU-10 — Configurar correspondencia de columnas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define, para un proveedor determinado, qué columna del archivo de origen corresponde a cada campo del sistema. La configuración se guarda y se reutiliza en las cargas posteriores del mismo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Primera carga de precios de un proveedor, o cambio en la estructura de su archivo.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proveedor existe y se encuentra activo.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dispone de un archivo de muestra del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correspondencia queda guardada y asociada al proveedor.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cargas siguientes de ese proveedor se procesan sin intervención manual.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el proveedor y la opción de configurar correspondencia.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carga un archivo de muestra.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lee la primera fila y presenta los nombres de las columnas detectadas.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propone una correspondencia inicial por similitud de nombre.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administrador confirma o corrige la columna asignada a cada campo del sistema.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administrador señala qué campos son obligatorios para aceptar un registro.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presenta una vista previa con las primeras filas ya traducidas.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administrador aprueba la configuración y el sistema la persiste.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Configuración existente: el sistema la presenta cargada y el administrador la ajusta.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Encabezados en una fila distinta de la primera: el administrador indica el número de fila donde inician los encabezados.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Archivo con varias hojas: el administrador selecciona la hoja que contiene la lista.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Archivo sin fila de encabezados reconocible: el sistema solicita indicar la fila manualmente.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Campos obligatorios sin columna asignada: el sistema impide guardar y señala los campos faltantes.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Formato de archivo no soportado: el sistema informa los formatos admitidos.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campos obligatorios mínimos son la referencia de origen y el costo.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Cada proveedor tiene una sola correspondencia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Modificar la correspondencia no altera las cargas ya aplicadas.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RF-13</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Una vez por proveedor</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11</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CU-11: Importar lista de precios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CU-11 — Importar lista de precios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Servicio de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incorpora los costos remitidos por un proveedor, valida cada registro, presenta el resultado para revisión y, una vez aprobado, actualiza el catálogo y recalcula los precios de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Recepción de una lista de precios nueva, o ejecución de la consulta programada al servicio del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proveedor existe y tiene correspondencia de columnas configurada.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costos de las referencias aceptadas quedan actualizados con su fecha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venta quedan recalculados.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carga queda registrada con sus totales de leídos, aplicados y rechazados.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el proveedor y carga el archivo, o solicita la consulta a su servicio web.</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recupera la correspondencia de columnas del proveedor.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lee los registros y los traduce a la estructura interna.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registra el encabezado de la carga en estado cargada.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valida cada registro: existencia de la referencia, costo numérico y costo mayor que cero.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marca cada registro como aceptado o rechazado con su motivo.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totaliza leídos, aceptados y rechazados, y cambia el estado a validada.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presenta la vista previa con la comparación entre costo actual y costo propuesto.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administrador revisa y aprueba la aplicación.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10. El sistema actualiza el costo de las referencias aceptadas y cierra el registro histórico anterior.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11. El sistema aplica las reglas de margen vigentes y recalcula los precios de contado y de crédito.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12. El sistema cambia el estado de la carga a aplicada y notifica las referencias que quedaron en existencia crítica.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Origen por servicio web: los pasos 1 a 3 se ejecutan consultando la interfaz del proveedor en lugar de leer un archivo.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Rechazo de la carga: el administrador no aprueba y el sistema cambia el estado a rechazada sin modificar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Variación de costo superior al umbral configurado: el sistema destaca esos registros para revisión individual.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A4. Referencias del proveedor ausentes en la lista: el sistema las reporta como posibles descontinuaciones y no modifica su costo.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A5. Cruce de umbral tributario: el sistema lista las referencias que, tras el recálculo, pasan de excluidas a gravadas, para que la empresa decida si ajusta el margen.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Archivo corrupto o ilegible: el sistema devuelve el código SGIP-IMP sin registrar la carga.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Servicio web del proveedor no disponible: el sistema informa el fallo y conserva el último costo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La totalidad de los registros resulta rechazada: el sistema advierte que la correspondencia de columnas puede estar desactualizada.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E4. Fallo durante la aplicación: el sistema revierte la transacción y la carga permanece en estado validada.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lectura nunca modifica el catálogo: solo la aplicación aprobada lo hace.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rechaza todo registro sin referencia reconocible, con costo no numérico o con costo menor o igual a cero.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aplicación se ejecuta dentro de una transacción: o se actualizan todas las referencias aceptadas o ninguna.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costo anterior se conserva en el histórico con su periodo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procesamiento de cinco mil registros no debe superar los sesenta segundos.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RF-11, RF-12, RF-14, RF-15, RF-16, RF-18, RF-28, RF-34</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 por proveedor</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12</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CU-12: Configurar reglas de margen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CU-12 — Configurar reglas de margen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define los factores de rentabilidad que el sistema aplica sobre el costo para derivar los precios de venta, diferenciados por categoría, proveedor y forma de pago.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Decisión comercial de ajustar la rentabilidad de una línea de producto o de un proveedor.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regla queda vigente desde la fecha indicada.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venta de las referencias afectadas quedan recalculados.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 la configuración de reglas de margen.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presenta las reglas vigentes con su ámbito de aplicación.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crea una regla indicando categoría, proveedor, forma de pago, factor y fecha de vigencia.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que el factor sea mayor que uno.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identifica las referencias que quedarán afectadas y presenta una simulación del precio resultante.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administrador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persiste la regla y recalcula los precios de las referencias afectadas.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Regla general: el administrador omite categoría y proveedor, y la regla aplica a todo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Vigencia futura: la regla se guarda y el sistema la aplica al alcanzarse la fecha indicada.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Derogación: el administrador cierra la vigencia de una regla y el sistema vuelve a aplicar la regla de ámbito más general.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Factor menor o igual a uno: el sistema rechaza la regla, porque implicaría vender por debajo del costo.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Solapamiento con una regla del mismo ámbito y vigencia: el sistema exige cerrar la anterior antes de crear la nueva.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Ante varias reglas aplicables prevalece la de ámbito más específico: proveedor y categoría, luego categoría, luego proveedor, luego general.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factor debe ser mayor que uno. Los factores vigentes son 1,20 para contado, que agrupa efectivo y transferencia, y 1,25 para crédito, que agrupa tarjeta de crédito y crédito directo.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de cotizaciones y ventas ya emitidas no se recalculan.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márgenes se modifican por configuración, sin recompilar ni desplegar el sistema.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RF-17, RF-18, RF-19</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Mensual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13</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CU-13: Generar cotización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CU-13 — Generar cotización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vendedor elabora una oferta comercial formal con varias líneas de producto, asociada a un cliente y con fecha de vencimiento. Los precios quedan congelados en el momento de la emisión.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Solicitud de cotización por parte de un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vendedor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cliente existe en el sistema o se registra durante el proceso.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queda en estado vigente con sus precios congelados.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No se comprometen existencias del inventario.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vendedor selecciona la opción de generar cotización.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vendedor selecciona el cliente o lo registra.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vendedor agrega referencias indicando cantidad para cada una.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recupera el precio vigente de cada referencia según la forma de pago seleccionada.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calcula subtotal, impuesto sobre las ventas y total.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vendedor indica la fecha de vencimiento o acepta la vigencia por defecto.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vendedor emite la cotización.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congela los precios unitarios, cambia el estado a vigente y persiste el documento.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sistema genera el documento portátil con la identidad visual de la empresa.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Guardado como borrador: el vendedor conserva la cotización sin emitirla y los precios no se congelan.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Cliente nuevo: el vendedor lo registra capturando la autorización de tratamiento de datos personales.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Existencia insuficiente: el sistema advierte la situación pero permite cotizar, indicando la disponibilidad actual.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A4. Descuento autorizado: el vendedor aplica un descuento y el sistema lo registra como línea diferenciada.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A5. Línea próxima al umbral de exclusión: el sistema advierte que una reducción del precio dejaría el producto excluido del impuesto y presenta el efecto sobre el total.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Referencia desactivada: el sistema impide agregarla e informa que fue descontinuada.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Cantidad menor o igual a cero: el sistema devuelve el código SGIP-VAL.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Fecha de vencimiento anterior a la fecha actual: el sistema rechaza el dato.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no compromete existencias: la reserva ocurre únicamente al registrar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precios se congelan al emitir, no al crear el borrador.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vigencia por defecto es de cinco días hábiles, configurable. El cómputo excluye sábados, domingos y festivos de Colombia.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impuesto se calcula por línea según la categoría del producto y su precio frente al umbral de exclusión vigente: los computadores hasta 50 UVT y los celulares y tabletas hasta 22 UVT quedan excluidos; por encima del umbral se aplica la tarifa general.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envío no se cobra cuando el total con impuesto incluido supera el umbral configurado, cuyo valor inicial es un millón de pesos.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RF-19, RF-20, RF-21, RF-33, RF-35</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14</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CU-14: Convertir cotización en pedido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CU-14 — Convertir cotización en pedido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Vendedor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vendedor transforma una cotización vigente aceptada por el cliente en una venta, conservando los precios ofrecidos y sin reintroducir la información.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Aceptación de la oferta por parte del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existe y se encuentra en estado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vendedor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genera una venta con los precios congelados en la cotización.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cotización cambia a estado convertida.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vendedor localiza la cotización y selecciona la opción de convertir.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verifica que la cotización se encuentre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verifica la disponibilidad de existencias de cada línea.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presenta el resumen con los precios congelados para confirmación.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vendedor confirma la conversión.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crea la venta conservando los precios de la cotización y la referencia a su origen.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cambia el estado de la cotización a convertida.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continúa con el registro de la venta descrito en CU-15.</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Conversión parcial: el vendedor excluye líneas y el sistema deja la cotización vigente por el remanente.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Cotización vencida: el sistema ofrece prorrogarla, lo que recalcula los precios contra el costo vigente.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Existencia insuficiente en alguna línea: el sistema informa las referencias afectadas y ofrece ajustar cantidades o excluirlas.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Cotización anulada o ya convertida: el sistema impide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Referencia desactivada después de la emisión: el sistema exige excluir la línea.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conversión conserva el precio ofrecido aunque el costo haya variado: es un compromiso comercial adquirido.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Una cotización vencida no puede convertirse sin prórroga, y la prórroga recalcula precios.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Una cotización convertida no admite conversión posterior.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RF-22, RF-23</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Diaria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15</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CU-15: Registrar 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CU-15 — Registrar venta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 Vendedor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registra la operación comercial y descuenta las existencias correspondientes dentro de una sola transacción de base de datos, garantizando que ambos efectos ocurran o 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Cierre de una venta, con origen en una cotización o de forma directa.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referencias existen y se encuentran activas.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usuario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venta queda registrada con sus líneas y precios unitarios históricos.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existencias quedan descontadas y cada descuento genera un movimiento de inventario.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usuario selecciona el cliente y la forma de pago.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usuario agrega las referencias con su cantidad, o el sistema las hereda de la cotización de origen.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calcula subtotal, impuesto y total.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usuario confirma la operación.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inicia la transacción de base de datos.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Para cada línea, el sistema verifica la existencia disponible y la descuenta.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Para cada descuento, el sistema registra el movimiento con existencia anterior y posterior.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persiste el encabezado de la venta y sus líneas.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9. El sistema confirma la transacción.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10. El sistema notifica las referencias que quedaron en existencia crítica.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11. El sistema continúa con la emisión de la factura descrita en CU-16.</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Venta directa sin cotización previa: se omite la herencia de líneas y los precios se toman del catálogo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Venta a crédito: el sistema aplica el factor de margen de crédito y registra el plazo acordado.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Existencia insuficiente en alguna línea: el sistema revierte la transacción completa y devuelve el código SGIP-STOCK indicando la referencia y la disponibilidad real.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Fallo de base de datos durante la transacción: el sistema revierte y devuelve el código SGIP-BD; no queda venta registrada ni existencia descontada.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Referencia desactivada entre la cotización y la venta: el sistema impide incluirla.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registro de la venta y el descuento de existencias son atómicos: no puede existir venta sin descuento ni descuento sin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precio unitario se almacena en la línea de venta porque es dato histórico, no derivado.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Todo descuento de existencia genera un movimiento auditable con el usuario responsable.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venta no se revierte por fallos posteriores en la emisión de la factura.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RF-23, RF-27, RF-28</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16</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CU-16: Emitir factura electrónica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CU-16 — Emitir factura electrónica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Proveedor tecnológico de facturación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sistema construye el documento electrónico correspondiente a una venta, lo transmite al proveedor tecnológico autorizado y conserva el código único y el resultado de la validación.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Registro de una venta que requiere facturación.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venta se encuentra registrada.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empresa cuenta con habilitación como facturador electrónico.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cliente tiene identificación tributaria registrada.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factura queda asociada a la venta con su estado de validación.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Cuando la validación es exitosa, se almacena el código único de factura electrónica.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sistema construye el documento con los datos del emisor, del adquiriente y de las líneas de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sistema registra la factura en estado generada.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sistema transmite el documento al proveedor tecnológico.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cambia el estado a enviada y registra la fecha de envío.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proveedor tecnológico transmite el documento a la autoridad tributaria y devuelve el resultado.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almacena el código único devuelto y cambia el estado a validada.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pone el documento a disposición para su entrega al cliente.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Emisión diferida: el administrador emite la factura en un momento posterior al registro de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Consulta de estado: ante una respuesta pendiente, el administrador consulta el estado según CU-16 alternativo y el sistema actualiza el registro.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Cliente sin identificación tributaria: el sistema emite documento equivalente según la configuración de la empresa.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Documento rechazado por la autoridad tributaria: el sistema conserva el motivo, cambia el estado a rechazada y permite corregir y reemitir. La venta permanece registrada.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Proveedor tecnológico no disponible: el sistema conserva la factura en estado generada y reintenta según la política configurada.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E3. Datos del emisor incompletos: el sistema devuelve el código SGIP-FE antes de transmitir.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fallo o rechazo de la factura nunca revierte la venta.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firma y la validación del documento son responsabilidad del proveedor tecnológico autorizado; el sistema no las implementa.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código único devuelto se conserva de forma permanente como evidencia de la validación.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numeración de los documentos sigue el rango autorizado por la autoridad tributaria.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RF-24, RF-25</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Varias veces al día</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17</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CU-17: Registrar ingreso de mercancía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CU-17 — Registrar ingreso de mercancía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incorpora al inventario las unidades recibidas de un proveedor, incrementando la existencia y dejando registro auditable del movimiento.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Recepción física de mercancía en la bodega.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Las referencias recibidas existen en el catálogo.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La existencia de cada referencia queda incrementada.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registra un movimiento de tipo ingreso por cada referencia.</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selecciona la opción de registrar ingreso.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indica el proveedor y el documento de remisión.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agrega las referencias recibidas con su cantidad.</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valida que las cantidades sean enteros positivos.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incrementa la existencia de cada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sistema registra el movimiento con existencia anterior, existencia posterior y usuario responsable.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7. El sistema reevalúa el estado de existencia de cada referencia.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8. El sistema confirma el ingreso y presenta el resumen.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Devolución de cliente: el administrador registra el movimiento como devolución en lugar de ingreso.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Ajuste por inventario físico: el administrador registra la diferencia como movimiento de tipo ajuste, con motivo obligatorio.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Referencia no registrada: el administrador la crea según CU-04 sin abandonar el proceso.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A4. Costo distinto al vigente: el administrador actualiza el costo y el sistema registra el cambio en el histórico.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Cantidad menor o igual a cero: el sistema devuelve el código SGIP-VAL.</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Fallo de base de datos: el sistema revierte el ingreso completo sin dejar movimientos parciales.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Todo cambio de existencia genera un movimiento con su valor anterior y posterior.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movimiento identifica siempre al usuario responsable.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ajuste por inventario físico exige motivo y se diferencia del ingreso por compra.</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Ningún movimiento se elimina ni se modifica una vez registrado.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RF-26, RF-27, RF-28</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Alta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w:t>
            </w:r>
          </w:p>
        </w:tc>
      </w:tr>
    </w:tbl>
    <w:p>
      <w:pPr>
        <w:spacing w:after="120" w:line="240"/>
      </w:pPr>
      <w:r>
        <w:rPr>
          <w:rFonts w:ascii="Times New Roman" w:cs="Times New Roman" w:eastAsia="Times New Roman" w:hAnsi="Times New Roman"/>
          <w:b w:val="false"/>
          <w:bCs w:val="false"/>
          <w:i w:val="false"/>
          <w:iCs w:val="false"/>
          <w:sz w:val="20"/>
          <w:szCs w:val="20"/>
        </w:rPr>
        <w:t xml:space="preserve"/>
      </w:r>
    </w:p>
    <w:p>
      <w:pPr>
        <w:keepNext/>
        <w:pageBreakBefore/>
        <w:spacing w:after="0" w:before="240" w:line="240"/>
      </w:pPr>
      <w:r>
        <w:rPr>
          <w:rFonts w:ascii="Times New Roman" w:cs="Times New Roman" w:eastAsia="Times New Roman" w:hAnsi="Times New Roman"/>
          <w:b/>
          <w:bCs/>
          <w:i w:val="false"/>
          <w:iCs w:val="false"/>
          <w:sz w:val="22"/>
          <w:szCs w:val="22"/>
        </w:rPr>
        <w:t xml:space="preserve">Tabla 18</w:t>
      </w:r>
    </w:p>
    <w:p>
      <w:pPr>
        <w:keepNext/>
        <w:spacing w:after="120" w:line="240"/>
      </w:pPr>
      <w:r>
        <w:rPr>
          <w:rFonts w:ascii="Times New Roman" w:cs="Times New Roman" w:eastAsia="Times New Roman" w:hAnsi="Times New Roman"/>
          <w:b w:val="false"/>
          <w:bCs w:val="false"/>
          <w:i/>
          <w:iCs/>
          <w:sz w:val="22"/>
          <w:szCs w:val="22"/>
        </w:rPr>
        <w:t xml:space="preserve">Especificación del caso de uso CU-18: Consultar reportes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c>
          <w:tcPr>
            <w:tcW w:type="dxa" w:w="210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Identificador</w:t>
            </w:r>
          </w:p>
        </w:tc>
        <w:tc>
          <w:tcPr>
            <w:tcW w:type="dxa" w:w="7260"/>
            <w:tcBorders>
              <w:top w:val="single" w:color="000000" w:sz="6"/>
              <w:left w:val="none" w:color="FFFFFF" w:sz="0"/>
              <w:bottom w:val="single" w:color="000000" w:sz="6"/>
              <w:right w:val="none" w:color="FFFFFF" w:sz="0"/>
            </w:tcBorders>
            <w:tcMar>
              <w:top w:type="dxa" w:w="70"/>
              <w:left w:type="dxa" w:w="90"/>
              <w:bottom w:type="dxa" w:w="70"/>
              <w:right w:type="dxa" w:w="90"/>
            </w:tcMar>
          </w:tcPr>
          <w:p>
            <w:pPr>
              <w:spacing w:after="0" w:line="240"/>
              <w:jc w:val="left"/>
            </w:pPr>
            <w:r>
              <w:rPr>
                <w:rFonts w:ascii="Times New Roman" w:cs="Times New Roman" w:eastAsia="Times New Roman" w:hAnsi="Times New Roman"/>
                <w:b/>
                <w:bCs/>
                <w:i w:val="false"/>
                <w:iCs w:val="false"/>
                <w:sz w:val="20"/>
                <w:szCs w:val="20"/>
              </w:rPr>
              <w:t xml:space="preserve">CU-18 — Consultar reportes</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Administrador</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Actores secundarios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Ninguno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Descripción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El administrador obtiene información agregada sobre existencias valorizadas, rotación con capital inmovilizado, e ingresos y egresos por período.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Disparador</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Necesidad de información para decisiones de reposición, de precios o de cierre de período.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Precondiciones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administrador se encuentra autenticado.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Existen movimientos o ventas registrados en el período consultado.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Postcondiciones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Se presenta el reporte con sus totales y se ofrece su exportación.</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 principal</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1. El administrador accede al módulo de reportes.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2. El administrador selecciona el tipo de reporte y el período.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3. El administrador aplica filtros por categoría o por proveedor.</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4. El sistema consulta las vistas de agregación correspondientes.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5. El sistema presenta el resultado con sus totales.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6. El administrador exporta el reporte cuando lo requiere.</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alternativos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A1. Existencias valorizadas: el sistema totaliza el inventario al costo y al precio de venta, y señala las referencias en estado crítico.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A2. Rotación: el sistema identifica las referencias sin movimiento en el período y calcula el capital retenido en ellas.</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A3. Ingresos y egresos: el sistema discrimina por tipo de movimiento y presenta el flujo del período.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Flujos de excepción</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E1. Sin datos en el período: el sistema informa la ausencia de registros y sugiere ampliar el rango.</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E2. Rango de fechas inválido: el sistema rechaza el período cuando la fecha inicial es posterior a la final.</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Reglas de negocio</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reportes se construyen sobre vistas de consulta, no sobre cálculos en la capa de aplicación.</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El capital inmovilizado se calcula como la existencia sin movimiento multiplicada por el costo vigente.</w:t>
            </w:r>
          </w:p>
          <w:p>
            <w:pPr>
              <w:spacing w:after="0" w:line="240"/>
              <w:ind w:left="260" w:hanging="260"/>
              <w:jc w:val="left"/>
            </w:pPr>
            <w:r>
              <w:rPr>
                <w:rFonts w:ascii="Times New Roman" w:cs="Times New Roman" w:eastAsia="Times New Roman" w:hAnsi="Times New Roman"/>
                <w:b w:val="false"/>
                <w:bCs w:val="false"/>
                <w:i w:val="false"/>
                <w:iCs w:val="false"/>
                <w:sz w:val="20"/>
                <w:szCs w:val="20"/>
              </w:rPr>
              <w:t xml:space="preserve">• Los reportes son de solo lectura y no modifican dato alguno.</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Requisitos asociados</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RF-29, RF-30, RF-31</w:t>
            </w:r>
          </w:p>
        </w:tc>
      </w:tr>
      <w:tr>
        <w:tc>
          <w:tcPr>
            <w:tcW w:type="dxa" w:w="210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Prioridad</w:t>
            </w:r>
          </w:p>
        </w:tc>
        <w:tc>
          <w:tcPr>
            <w:tcW w:type="dxa" w:w="7260"/>
            <w:tcBorders>
              <w:top w:val="none" w:color="FFFFFF" w:sz="0"/>
              <w:left w:val="none" w:color="FFFFFF" w:sz="0"/>
              <w:bottom w:val="single" w:color="BFBFBF" w:sz="2"/>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Media</w:t>
            </w:r>
          </w:p>
        </w:tc>
      </w:tr>
      <w:tr>
        <w:tc>
          <w:tcPr>
            <w:tcW w:type="dxa" w:w="210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bCs/>
                <w:i w:val="false"/>
                <w:iCs w:val="false"/>
                <w:sz w:val="20"/>
                <w:szCs w:val="20"/>
              </w:rPr>
              <w:t xml:space="preserve">Frecuencia de uso</w:t>
            </w:r>
          </w:p>
        </w:tc>
        <w:tc>
          <w:tcPr>
            <w:tcW w:type="dxa" w:w="7260"/>
            <w:tcBorders>
              <w:top w:val="none" w:color="FFFFFF" w:sz="0"/>
              <w:left w:val="none" w:color="FFFFFF" w:sz="0"/>
              <w:bottom w:val="single" w:color="000000" w:sz="6"/>
              <w:right w:val="none" w:color="FFFFFF" w:sz="0"/>
            </w:tcBorders>
            <w:tcMar>
              <w:top w:type="dxa" w:w="70"/>
              <w:left w:type="dxa" w:w="90"/>
              <w:bottom w:type="dxa" w:w="70"/>
              <w:right w:type="dxa" w:w="90"/>
            </w:tcMar>
            <w:vAlign w:val="top"/>
          </w:tcPr>
          <w:p>
            <w:pPr>
              <w:spacing w:after="0" w:line="240"/>
              <w:jc w:val="left"/>
            </w:pPr>
            <w:r>
              <w:rPr>
                <w:rFonts w:ascii="Times New Roman" w:cs="Times New Roman" w:eastAsia="Times New Roman" w:hAnsi="Times New Roman"/>
                <w:b w:val="false"/>
                <w:bCs w:val="false"/>
                <w:i w:val="false"/>
                <w:iCs w:val="false"/>
                <w:sz w:val="20"/>
                <w:szCs w:val="20"/>
              </w:rPr>
              <w:t xml:space="preserve">Semanal y al cierre de mes</w:t>
            </w:r>
          </w:p>
        </w:tc>
      </w:tr>
    </w:tbl>
    <w:p>
      <w:pPr>
        <w:spacing w:after="120" w:line="240"/>
      </w:pPr>
      <w:r>
        <w:rPr>
          <w:rFonts w:ascii="Times New Roman" w:cs="Times New Roman" w:eastAsia="Times New Roman" w:hAnsi="Times New Roman"/>
          <w:b w:val="false"/>
          <w:bCs w:val="false"/>
          <w:i w:val="false"/>
          <w:iCs w:val="false"/>
          <w:sz w:val="20"/>
          <w:szCs w:val="20"/>
        </w:rPr>
        <w:t xml:space="preserve"/>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Times New Roman" w:cs="Times New Roman" w:eastAsia="Times New Roman" w:hAnsi="Times New Roman"/>
        <w:sz w:val="24"/>
        <w:szCs w:val="24"/>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Times New Roman" w:cs="Times New Roman" w:eastAsia="Times New Roman" w:hAnsi="Times New Roman"/>
      <w:b/>
      <w:bCs/>
      <w:color w:val="000000"/>
      <w:sz w:val="24"/>
      <w:szCs w:val="24"/>
    </w:rPr>
  </w:style>
  <w:style w:type="paragraph" w:styleId="Heading2">
    <w:name w:val="Heading 2"/>
    <w:basedOn w:val="Normal"/>
    <w:next w:val="Normal"/>
    <w:qFormat/>
    <w:rPr>
      <w:rFonts w:ascii="Times New Roman" w:cs="Times New Roman" w:eastAsia="Times New Roman" w:hAnsi="Times New Roman"/>
      <w:b/>
      <w:bCs/>
      <w:color w:val="000000"/>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SGIP — Anexo E. Especificación expandida de casos de uso</dc:title>
  <dc:creator>Jesús Manuel Durán Muñoz</dc:creator>
  <cp:lastModifiedBy>Un-named</cp:lastModifiedBy>
  <cp:revision>1</cp:revision>
  <dcterms:created xsi:type="dcterms:W3CDTF">2026-09-18T02:38:47.679Z</dcterms:created>
  <dcterms:modified xsi:type="dcterms:W3CDTF">2026-09-18T02:38:47.680Z</dcterms:modified>
</cp:coreProperties>
</file>

<file path=docProps/custom.xml><?xml version="1.0" encoding="utf-8"?>
<Properties xmlns="http://schemas.openxmlformats.org/officeDocument/2006/custom-properties" xmlns:vt="http://schemas.openxmlformats.org/officeDocument/2006/docPropsVTypes"/>
</file>