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5C5B" w:val="clear"/>
        <w:spacing w:after="0" w:before="0"/>
      </w:pPr>
      <w:r>
        <w:rPr>
          <w:rFonts w:ascii="Times New Roman" w:cs="Times New Roman" w:eastAsia="Times New Roman" w:hAnsi="Times New Roman"/>
          <w:sz w:val="4"/>
          <w:szCs w:val="4"/>
        </w:rPr>
        <w:t xml:space="preserve">  </w:t>
      </w:r>
    </w:p>
    <w:p>
      <w:pPr>
        <w:shd w:fill="1F5C5B" w:val="clear"/>
        <w:spacing w:after="60" w:before="60"/>
        <w:jc w:val="left"/>
      </w:pPr>
      <w:r>
        <w:rPr>
          <w:rFonts w:ascii="Times New Roman" w:cs="Times New Roman" w:eastAsia="Times New Roman" w:hAnsi="Times New Roman"/>
          <w:b/>
          <w:bCs/>
          <w:color w:val="FFFFFF"/>
          <w:sz w:val="24"/>
          <w:szCs w:val="24"/>
        </w:rPr>
        <w:t xml:space="preserve">UNIVERSIDAD DE CARTAGENA</w:t>
      </w:r>
      <w:r>
        <w:rPr>
          <w:rFonts w:ascii="Times New Roman" w:cs="Times New Roman" w:eastAsia="Times New Roman" w:hAnsi="Times New Roman"/>
          <w:color w:val="E4F1EE"/>
          <w:sz w:val="19"/>
          <w:szCs w:val="19"/>
        </w:rPr>
        <w:t xml:space="preserve">   ·   Centro Tecnológico para la Formación Virtual y a Distancia (CTeV)</w:t>
      </w:r>
    </w:p>
    <w:p>
      <w:pPr>
        <w:shd w:fill="1F5C5B" w:val="clear"/>
        <w:spacing w:after="0" w:before="0"/>
      </w:pPr>
      <w:r>
        <w:rPr>
          <w:rFonts w:ascii="Times New Roman" w:cs="Times New Roman" w:eastAsia="Times New Roman" w:hAnsi="Times New Roman"/>
          <w:sz w:val="4"/>
          <w:szCs w:val="4"/>
        </w:rPr>
        <w:t xml:space="preserve">  </w:t>
      </w:r>
    </w:p>
    <w:p>
      <w:pPr>
        <w:spacing w:after="40" w:before="140"/>
      </w:pPr>
      <w:r>
        <w:rPr>
          <w:rFonts w:ascii="Times New Roman" w:cs="Times New Roman" w:eastAsia="Times New Roman" w:hAnsi="Times New Roman"/>
          <w:i/>
          <w:iCs/>
          <w:color w:val="555555"/>
          <w:sz w:val="18"/>
          <w:szCs w:val="18"/>
        </w:rPr>
        <w:t xml:space="preserve">Artículo de revisión elaborado para la asignatura Metodología de la Investigación, Universidad de Cartagena de Indias, 2026. Las citas y referencias siguen el formato APA (7.ª edición).</w:t>
      </w:r>
    </w:p>
    <w:p>
      <w:pPr>
        <w:pBdr>
          <w:bottom w:val="single" w:color="CCCCCC" w:sz="6" w:space="4"/>
        </w:pBdr>
        <w:spacing w:after="220"/>
      </w:pPr>
      <w:r>
        <w:rPr>
          <w:sz w:val="2"/>
          <w:szCs w:val="2"/>
        </w:rPr>
        <w:t xml:space="preserve"/>
      </w:r>
    </w:p>
    <w:p>
      <w:pPr>
        <w:spacing w:after="80"/>
      </w:pPr>
      <w:r>
        <w:rPr>
          <w:rFonts w:ascii="Times New Roman" w:cs="Times New Roman" w:eastAsia="Times New Roman" w:hAnsi="Times New Roman"/>
          <w:b/>
          <w:bCs/>
          <w:color w:val="1F3864"/>
          <w:sz w:val="34"/>
          <w:szCs w:val="34"/>
        </w:rPr>
        <w:t xml:space="preserve">Control y transparencia de precios en el sector turístico de Cartagena de Indias: hacia una aplicación de verificación para el turista</w:t>
      </w:r>
    </w:p>
    <w:p>
      <w:pPr>
        <w:spacing w:after="40"/>
      </w:pPr>
      <w:r>
        <w:rPr>
          <w:rFonts w:ascii="Times New Roman" w:cs="Times New Roman" w:eastAsia="Times New Roman" w:hAnsi="Times New Roman"/>
          <w:i/>
          <w:iCs/>
          <w:color w:val="5B6B72"/>
          <w:sz w:val="24"/>
          <w:szCs w:val="24"/>
        </w:rPr>
        <w:t xml:space="preserve">Price control and transparency in Cartagena de Indias' tourism sector: toward a verification app for tourists</w:t>
      </w:r>
    </w:p>
    <w:p>
      <w:pPr>
        <w:spacing w:after="20" w:before="200"/>
      </w:pPr>
      <w:r>
        <w:rPr>
          <w:rFonts w:ascii="Times New Roman" w:cs="Times New Roman" w:eastAsia="Times New Roman" w:hAnsi="Times New Roman"/>
          <w:b/>
          <w:bCs/>
          <w:sz w:val="22"/>
          <w:szCs w:val="22"/>
        </w:rPr>
        <w:t xml:space="preserve">Leonel Enrique Álvarez Bánquez¹ · Carlos Andrés Gutiérrez Payares¹ · Oscar Andrés Mercado Rodelo¹ · Jesús Daniel Quintana Santander¹ · José Alfredo Rivera Romero¹</w:t>
      </w:r>
    </w:p>
    <w:p>
      <w:pPr>
        <w:spacing w:after="4"/>
      </w:pPr>
      <w:r>
        <w:rPr>
          <w:rFonts w:ascii="Times New Roman" w:cs="Times New Roman" w:eastAsia="Times New Roman" w:hAnsi="Times New Roman"/>
          <w:i/>
          <w:iCs/>
          <w:sz w:val="19"/>
          <w:szCs w:val="19"/>
        </w:rPr>
        <w:t xml:space="preserve">¹ Universidad de Cartagena, Centro Tecnológico para la Formación Virtual y a Distancia (CTeV), Cartagena, Colombia</w:t>
      </w:r>
    </w:p>
    <w:p>
      <w:pPr>
        <w:spacing w:after="4"/>
      </w:pPr>
      <w:r>
        <w:rPr>
          <w:rFonts w:ascii="Times New Roman" w:cs="Times New Roman" w:eastAsia="Times New Roman" w:hAnsi="Times New Roman"/>
          <w:sz w:val="19"/>
          <w:szCs w:val="19"/>
        </w:rPr>
        <w:t xml:space="preserve">Correo de contacto: jesusdanielquintanasantander@gmail.com</w:t>
      </w:r>
    </w:p>
    <w:p>
      <w:pPr>
        <w:spacing w:after="20"/>
      </w:pPr>
      <w:r>
        <w:rPr>
          <w:rFonts w:ascii="Times New Roman" w:cs="Times New Roman" w:eastAsia="Times New Roman" w:hAnsi="Times New Roman"/>
          <w:color w:val="5B6B72"/>
          <w:sz w:val="19"/>
          <w:szCs w:val="19"/>
        </w:rPr>
        <w:t xml:space="preserve">Asignatura: Metodología de la Investigación  ·  Docente: [Nombre del docente]  ·  Cartagena de Indias, 2026</w:t>
      </w:r>
    </w:p>
    <w:p>
      <w:pPr>
        <w:spacing w:after="60" w:before="200"/>
      </w:pPr>
      <w:r>
        <w:rPr>
          <w:rFonts w:ascii="Times New Roman" w:cs="Times New Roman" w:eastAsia="Times New Roman" w:hAnsi="Times New Roman"/>
          <w:b/>
          <w:bCs/>
          <w:sz w:val="23"/>
          <w:szCs w:val="23"/>
        </w:rPr>
        <w:t xml:space="preserve">Resumen</w:t>
      </w:r>
    </w:p>
    <w:p>
      <w:pPr>
        <w:spacing w:after="200" w:line="360"/>
        <w:jc w:val="both"/>
      </w:pPr>
      <w:r>
        <w:rPr>
          <w:rFonts w:ascii="Times New Roman" w:cs="Times New Roman" w:eastAsia="Times New Roman" w:hAnsi="Times New Roman"/>
          <w:sz w:val="24"/>
          <w:szCs w:val="24"/>
        </w:rPr>
        <w:t xml:space="preserve">Cartagena de Indias es uno de los principales destinos turísticos de Colombia, pero enfrenta un problema recurrente de falta de transparencia en los precios cobrados a los visitantes. Este artículo revisa la evidencia periodística e institucional documentada entre 2019 y 2026 sobre cobros excesivos, tarifas oficiales de transporte turístico y precios de referencia en playas, la sitúa frente al estado del arte internacional sobre el fenómeno del sobrecobro turístico, la respalda con un marco teórico de asimetría de información y protección al consumidor, y evalúa la aplicación oficial Visit Cartagena como antecedente institucional, con el fin de sustentar el diseño funcional de una aplicación de verificación de precios para el turista. La revisión encontró 289 reportes oficiales de sobrecobro solo entre enero y julio de 2025, casos individuales que llegaron a superar doscientas veces el valor de referencia de un producto, y una variabilidad relevante incluso entre las listas de precios “oficiales” de distintas playas. Se concluye que una herramienta ligera, centrada en la verificación en el momento del pago y en la integración con los canales institucionales existentes, complementaría de forma más efectiva las iniciativas actuales.</w:t>
      </w:r>
    </w:p>
    <w:p>
      <w:pPr>
        <w:spacing w:after="60" w:before="60"/>
      </w:pPr>
      <w:r>
        <w:rPr>
          <w:rFonts w:ascii="Times New Roman" w:cs="Times New Roman" w:eastAsia="Times New Roman" w:hAnsi="Times New Roman"/>
          <w:b/>
          <w:bCs/>
          <w:sz w:val="22"/>
          <w:szCs w:val="22"/>
        </w:rPr>
        <w:t xml:space="preserve">Palabras clave: </w:t>
      </w:r>
      <w:r>
        <w:rPr>
          <w:rFonts w:ascii="Times New Roman" w:cs="Times New Roman" w:eastAsia="Times New Roman" w:hAnsi="Times New Roman"/>
          <w:sz w:val="22"/>
          <w:szCs w:val="22"/>
        </w:rPr>
        <w:t xml:space="preserve">transparencia de precios; turismo; Cartagena de Indias; sobrecobro; aplicaciones móviles; protección al consumidor; asimetría de información; estado del arte.</w:t>
      </w:r>
    </w:p>
    <w:p>
      <w:pPr>
        <w:spacing w:after="60" w:before="160"/>
      </w:pPr>
      <w:r>
        <w:rPr>
          <w:rFonts w:ascii="Times New Roman" w:cs="Times New Roman" w:eastAsia="Times New Roman" w:hAnsi="Times New Roman"/>
          <w:b/>
          <w:bCs/>
          <w:i/>
          <w:iCs/>
          <w:color w:val="5B6B72"/>
          <w:sz w:val="23"/>
          <w:szCs w:val="23"/>
        </w:rPr>
        <w:t xml:space="preserve">Abstract</w:t>
      </w:r>
    </w:p>
    <w:p>
      <w:pPr>
        <w:spacing w:after="100" w:line="340"/>
        <w:jc w:val="both"/>
      </w:pPr>
      <w:r>
        <w:rPr>
          <w:rFonts w:ascii="Times New Roman" w:cs="Times New Roman" w:eastAsia="Times New Roman" w:hAnsi="Times New Roman"/>
          <w:i/>
          <w:iCs/>
          <w:color w:val="5B6B72"/>
          <w:sz w:val="21"/>
          <w:szCs w:val="21"/>
        </w:rPr>
        <w:t xml:space="preserve">Cartagena de Indias is one of Colombia's main tourist destinations, but it faces a recurring lack of price transparency toward visitors. This article reviews journalistic and institutional evidence documented between 2019 and 2026 on overcharging, official tourist-transport fares and reference prices at beaches, situates it against the international state of the art on tourist overcharging, grounds it in a theoretical framework of information asymmetry and consumer protection, and evaluates the official Visit Cartagena application as an institutional precedent, in order to support the functional design of a price-verification application for tourists. The review found 289 official overcharging reports between January and July 2025 alone, individual cases exceeding a product's reference value more than two-hundredfold, and relevant variability even between “official” price lists of different beaches. The review concludes that a lightweight tool, focused on verification at the moment of payment and integrated with existing institutional channels, would more effectively complement current initiatives.</w:t>
      </w:r>
    </w:p>
    <w:p>
      <w:pPr>
        <w:spacing w:after="260" w:before="40"/>
      </w:pPr>
      <w:r>
        <w:rPr>
          <w:rFonts w:ascii="Times New Roman" w:cs="Times New Roman" w:eastAsia="Times New Roman" w:hAnsi="Times New Roman"/>
          <w:b/>
          <w:bCs/>
          <w:i/>
          <w:iCs/>
          <w:color w:val="5B6B72"/>
          <w:sz w:val="21"/>
          <w:szCs w:val="21"/>
        </w:rPr>
        <w:t xml:space="preserve">Keywords: </w:t>
      </w:r>
      <w:r>
        <w:rPr>
          <w:rFonts w:ascii="Times New Roman" w:cs="Times New Roman" w:eastAsia="Times New Roman" w:hAnsi="Times New Roman"/>
          <w:i/>
          <w:iCs/>
          <w:color w:val="5B6B72"/>
          <w:sz w:val="21"/>
          <w:szCs w:val="21"/>
        </w:rPr>
        <w:t xml:space="preserve">price transparency; tourism; Cartagena de Indias; overcharging; mobile applications; consumer protection; information asymmetry; state of the art.</w:t>
      </w:r>
    </w:p>
    <w:p>
      <w:pPr>
        <w:pBdr>
          <w:bottom w:val="single" w:color="CCCCCC" w:sz="6" w:space="4"/>
        </w:pBdr>
        <w:spacing w:after="200"/>
      </w:pPr>
      <w:r>
        <w:rPr>
          <w:sz w:val="2"/>
          <w:szCs w:val="2"/>
        </w:rPr>
        <w:t xml:space="preserve"/>
      </w:r>
    </w:p>
    <w:p>
      <w:pPr>
        <w:sectPr>
          <w:headerReference w:type="default" r:id="rId7"/>
          <w:footerReference w:type="default" r:id="rId8"/>
          <w:type w:val="continuous"/>
          <w:pgSz w:w="12240" w:h="15840" w:orient="portrait"/>
          <w:pgMar w:top="720" w:right="720" w:bottom="720" w:left="720" w:header="708" w:footer="708" w:gutter="0"/>
          <w:pgNumType/>
          <w:cols w:num="1"/>
          <w:docGrid w:linePitch="360"/>
        </w:sectPr>
      </w:pPr>
    </w:p>
    <w:p>
      <w:pPr>
        <w:pStyle w:val="Heading1"/>
        <w:spacing w:after="180" w:before="340"/>
      </w:pPr>
      <w:r>
        <w:rPr>
          <w:rFonts w:ascii="Times New Roman" w:cs="Times New Roman" w:eastAsia="Times New Roman" w:hAnsi="Times New Roman"/>
          <w:b/>
          <w:bCs/>
          <w:color w:val="1F3864"/>
          <w:sz w:val="27"/>
          <w:szCs w:val="27"/>
        </w:rPr>
        <w:t xml:space="preserve">1. Introducción</w:t>
      </w:r>
    </w:p>
    <w:p>
      <w:pPr>
        <w:spacing w:after="200" w:line="360"/>
        <w:jc w:val="both"/>
      </w:pPr>
      <w:r>
        <w:rPr>
          <w:rFonts w:ascii="Times New Roman" w:cs="Times New Roman" w:eastAsia="Times New Roman" w:hAnsi="Times New Roman"/>
          <w:sz w:val="24"/>
          <w:szCs w:val="24"/>
        </w:rPr>
        <w:t xml:space="preserve">Cartagena de Indias es uno de los principales destinos turísticos de Colombia, con una economía local fuertemente dependiente de los visitantes nacionales e internacionales que llegan atraídos por su centro histórico, sus playas y su oferta cultural. Sin embargo, en los últimos años se ha hecho recurrente un fenómeno que afecta directamente la experiencia y la confianza de los turistas: los cobros excesivos y la falta de transparencia en los precios de productos y servicios turísticos. Según cifras de la Secretaría de Turismo Distrital, solo entre enero y julio de 2025 se registraron 289 reportes de cobros excesivos, con un pico de 137 casos únicamente en julio de ese año (El Universal, 2025).</w:t>
      </w:r>
    </w:p>
    <w:p>
      <w:pPr>
        <w:spacing w:after="200" w:line="360"/>
        <w:jc w:val="both"/>
      </w:pPr>
      <w:r>
        <w:rPr>
          <w:rFonts w:ascii="Times New Roman" w:cs="Times New Roman" w:eastAsia="Times New Roman" w:hAnsi="Times New Roman"/>
          <w:sz w:val="24"/>
          <w:szCs w:val="24"/>
        </w:rPr>
        <w:t xml:space="preserve">Casos de alto impacto mediático ilustran la magnitud del problema: turistas cobrados 6,5 millones de pesos por tres comidas, dos cócteles y el alquiler de un parlante (Infobae, 2025); dos turistas argentinos facturados en 7 millones de pesos por dos limonadas cuyo precio en carta era de 35.000 pesos cada una (Infobae, 2023); una langosta cobrada a 600.000 pesos por unidad en un restaurante de Bocagrande (El Tiempo, s.f.-b); y un turista canadiense al que un cochero le cobró 22,2 millones de pesos por un paseo cuya tarifa oficial no supera los 240.000 pesos (El Universal, 2023). Estos casos no son incidentes aislados, sino la punta visible de un patrón más amplio que afecta playas, restaurantes y medios de transporte turístico en distintos puntos de la ciudad.</w:t>
      </w:r>
    </w:p>
    <w:p>
      <w:pPr>
        <w:spacing w:after="200" w:line="360"/>
        <w:jc w:val="both"/>
      </w:pPr>
      <w:r>
        <w:rPr>
          <w:rFonts w:ascii="Times New Roman" w:cs="Times New Roman" w:eastAsia="Times New Roman" w:hAnsi="Times New Roman"/>
          <w:sz w:val="24"/>
          <w:szCs w:val="24"/>
        </w:rPr>
        <w:t xml:space="preserve">Frente a esta problemática, el Distrito de Cartagena ha desplegado distintas iniciativas —listas oficiales de precios en algunas playas, un chatbot de consulta, un canal de denuncia por WhatsApp (Titán Chat), Centros de Atención al Turista y, desde finales de 2024, la aplicación oficial Visit Cartagena—, pero, como se documenta en la sección 2.3 de este artículo, estas herramientas están fragmentadas, cubren solo algunas zonas de la ciudad y muestran señales de baja adopción sostenida. El presente artículo revisa el estado del arte internacional sobre el sobrecobro turístico, la evidencia local documentada sobre esta problemática, la respalda con un marco teórico y legal, y sustenta a partir de todo ello el diseño funcional de una aplicación digital, Precio Claro, que permita a los turistas verificar, antes de pagar, si el valor que se les cobra corresponde a la tarifa oficial o al precio de referencia de la zona en la que se encuentran.</w:t>
      </w:r>
    </w:p>
    <w:p>
      <w:pPr>
        <w:pStyle w:val="Heading1"/>
        <w:spacing w:after="180" w:before="340"/>
      </w:pPr>
      <w:r>
        <w:rPr>
          <w:rFonts w:ascii="Times New Roman" w:cs="Times New Roman" w:eastAsia="Times New Roman" w:hAnsi="Times New Roman"/>
          <w:b/>
          <w:bCs/>
          <w:color w:val="1F3864"/>
          <w:sz w:val="27"/>
          <w:szCs w:val="27"/>
        </w:rPr>
        <w:t xml:space="preserve">2. Estado del Arte</w:t>
      </w:r>
    </w:p>
    <w:p>
      <w:pPr>
        <w:pStyle w:val="Heading2"/>
        <w:spacing w:after="140" w:before="220"/>
      </w:pPr>
      <w:r>
        <w:rPr>
          <w:rFonts w:ascii="Times New Roman" w:cs="Times New Roman" w:eastAsia="Times New Roman" w:hAnsi="Times New Roman"/>
          <w:b/>
          <w:bCs/>
          <w:color w:val="000000"/>
          <w:sz w:val="25"/>
          <w:szCs w:val="25"/>
        </w:rPr>
        <w:t xml:space="preserve">2.1 El fenómeno del sobrecobro turístico en la literatura internacional</w:t>
      </w:r>
    </w:p>
    <w:p>
      <w:pPr>
        <w:spacing w:after="200" w:line="360"/>
        <w:jc w:val="both"/>
      </w:pPr>
      <w:r>
        <w:rPr>
          <w:rFonts w:ascii="Times New Roman" w:cs="Times New Roman" w:eastAsia="Times New Roman" w:hAnsi="Times New Roman"/>
          <w:sz w:val="24"/>
          <w:szCs w:val="24"/>
        </w:rPr>
        <w:t xml:space="preserve">El sobrecobro a turistas no es un fenómeno exclusivo de Cartagena ni de Colombia: la literatura académica internacional lo ha documentado bajo la noción de “tourist trap” (trampa para turistas), entendida como un establecimiento o práctica comercial que aprovecha el desconocimiento del visitante para venderle productos o servicios a precios muy superiores a los que paga un residente local. Un estudio reciente basado en autoetnografía colaborativa reflexiva sobre una experiencia de compra en una tienda de artesanías cerca del Taj Mahal, en India, identificó dos dimensiones que explican cómo se produce este tipo de sobrecobro: una dimensión psicológica, en la que la confianza depositada en un guía o intermediario y la asimetría de información entre el anfitrión y el visitante facilitan la exploración; y una dimensión tangible, relacionada con el diseño físico del espacio comercial —recorridos de un solo sentido, salidas limitadas— y con técnicas de venta que inducen la compra por impulso (Polus et al., 2024). Este hallazgo respalda, desde la evidencia internacional, la premisa central de este artículo: que el sobrecobro turístico documentado en la sección 6 no depende únicamente de la mala fe de un prestador aislado, sino de condiciones estructurales de información y de contexto que se repiten en distintos destinos del mundo.</w:t>
      </w:r>
    </w:p>
    <w:p>
      <w:pPr>
        <w:pStyle w:val="Heading2"/>
        <w:spacing w:after="140" w:before="220"/>
      </w:pPr>
      <w:r>
        <w:rPr>
          <w:rFonts w:ascii="Times New Roman" w:cs="Times New Roman" w:eastAsia="Times New Roman" w:hAnsi="Times New Roman"/>
          <w:b/>
          <w:bCs/>
          <w:color w:val="000000"/>
          <w:sz w:val="25"/>
          <w:szCs w:val="25"/>
        </w:rPr>
        <w:t xml:space="preserve">2.2 Plataformas de reseñas como mecanismo de mercado frente al sobrecobro</w:t>
      </w:r>
    </w:p>
    <w:p>
      <w:pPr>
        <w:spacing w:after="200" w:line="360"/>
        <w:jc w:val="both"/>
      </w:pPr>
      <w:r>
        <w:rPr>
          <w:rFonts w:ascii="Times New Roman" w:cs="Times New Roman" w:eastAsia="Times New Roman" w:hAnsi="Times New Roman"/>
          <w:sz w:val="24"/>
          <w:szCs w:val="24"/>
        </w:rPr>
        <w:t xml:space="preserve">Una segunda línea de investigación evalúa si las plataformas de reseñas en línea, como TripAdvisor o Google Maps, corrigen por sí solas el problema del sobrecobro y la baja calidad en zonas turísticas. Aprovechando la eliminación de las tarifas de roaming móvil en la Unión Europea en 2017 como un experimento natural, un estudio sobre restaurantes de Roma encontró que el acceso más barato a las reseñas desplazó la demanda hacia los establecimientos mejor calificados —con incrementos de ingresos de entre el 4 % y el 10 % para estos—, indujo mejoras de calidad en los restaurantes de calificación más baja que sobrevivieron (un aumento del 9 % en la probabilidad de contratar personal con más experiencia) y elevó la tasa de salida del mercado de los establecimientos peor calificados en barrios turísticos (Donati, 2025). Sin embargo, el propio estudio advierte que la evidencia sobre el sobrecobro específicamente —a diferencia de la mejora general de calidad— sigue siendo indirecta. Para el diseño de Precio Claro, este antecedente es relevante en un sentido preciso: las reseñas agregadas operan como un mecanismo de mercado que mejora la calidad promedio en el mediano plazo, pero no ofrecen al turista una verificación inmediata del precio en el momento exacto del pago, que es precisamente la función que este artículo propone cubrir.</w:t>
      </w:r>
    </w:p>
    <w:p>
      <w:pPr>
        <w:pStyle w:val="Heading2"/>
        <w:spacing w:after="140" w:before="220"/>
      </w:pPr>
      <w:r>
        <w:rPr>
          <w:rFonts w:ascii="Times New Roman" w:cs="Times New Roman" w:eastAsia="Times New Roman" w:hAnsi="Times New Roman"/>
          <w:b/>
          <w:bCs/>
          <w:color w:val="000000"/>
          <w:sz w:val="25"/>
          <w:szCs w:val="25"/>
        </w:rPr>
        <w:t xml:space="preserve">2.3 Antecedente institucional: la aplicación oficial Visit Cartagena</w:t>
      </w:r>
    </w:p>
    <w:p>
      <w:pPr>
        <w:spacing w:after="200" w:line="360"/>
        <w:jc w:val="both"/>
      </w:pPr>
      <w:r>
        <w:rPr>
          <w:rFonts w:ascii="Times New Roman" w:cs="Times New Roman" w:eastAsia="Times New Roman" w:hAnsi="Times New Roman"/>
          <w:sz w:val="24"/>
          <w:szCs w:val="24"/>
        </w:rPr>
        <w:t xml:space="preserve">Como antecedente institucional directo de esta propuesta, es necesario revisar el desempeño de la aplicación oficial del Distrito, Visit Cartagena, lanzada para atender la misma problemática de falta de transparencia en los precios. Visit Cartagena fue desarrollada por GlobalSoft Wigilab S.A.S. con una inversión reportada de 4.500 millones de pesos y respaldo del Ministerio de Tecnologías de la Información y las Comunicaciones y la Cámara de Comercio de Cartagena (El Tiempo, s.f.-c). Ofrece un mapa interactivo con comercios recomendados, itinerarios personalizables, listas de precios de referencia y un asistente conversacional de inteligencia artificial para resolver dudas sobre tarifas, además de un canal de denuncia (Titán Chat) que activa alertas a la Superintendencia de Industria y Comercio (El Tiempo, s.f.-c; Infobae, 2024a).</w:t>
      </w:r>
    </w:p>
    <w:p>
      <w:pPr>
        <w:spacing w:after="200" w:line="360"/>
        <w:jc w:val="both"/>
      </w:pPr>
      <w:r>
        <w:rPr>
          <w:rFonts w:ascii="Times New Roman" w:cs="Times New Roman" w:eastAsia="Times New Roman" w:hAnsi="Times New Roman"/>
          <w:sz w:val="24"/>
          <w:szCs w:val="24"/>
        </w:rPr>
        <w:t xml:space="preserve">La revisión de su desempeño real, sin embargo, revela varias limitaciones relevantes para el diseño de Precio Claro. En primer lugar, existe una brecha notable entre las cifras de adopción anunciadas en el lanzamiento y su uso sostenido: en enero de 2025 se reportaron “más de 13.000 descargas” y “alrededor de 35.000 usuarios diarios” (El Tiempo, s.f.-c), mientras que la ficha de Google Play consultada en 2026 muestra solo 10.000 descargas acumuladas, 12 reseñas en total y una calificación de 3,2 sobre 5 (Google Play, s.f.); en el App Store de Apple no hay reseñas suficientes para mostrar una calificación (Apple App Store, s.f.). Esto sugiere que el pico de uso correspondió a la temporada alta de lanzamiento y no se sostuvo en el tiempo.</w:t>
      </w:r>
    </w:p>
    <w:p>
      <w:pPr>
        <w:spacing w:after="200" w:line="360"/>
        <w:jc w:val="both"/>
      </w:pPr>
      <w:r>
        <w:rPr>
          <w:rFonts w:ascii="Times New Roman" w:cs="Times New Roman" w:eastAsia="Times New Roman" w:hAnsi="Times New Roman"/>
          <w:sz w:val="24"/>
          <w:szCs w:val="24"/>
        </w:rPr>
        <w:t xml:space="preserve">En segundo lugar, la propia Secretaría de Turismo reconoció que la aplicación se lanzó en “versión beta” (Xataka Colombia, s.f.), y su historial de versiones en las tiendas de aplicaciones muestra actualizaciones descritas como “corrección de errores y mejoras de rendimiento” todavía en agosto de 2026, casi dos años después del lanzamiento. En tercer lugar, la cobertura periodística disponible es mayoritariamente promocional: reproduce cifras y declaraciones oficiales sin contrastarlas con usuarios, expertos independientes o auditorías públicas de efectividad. Finalmente, y de manera directamente relevante para el diseño de Precio Claro, Visit Cartagena limita su función de precios a listas de referencia y un chatbot consultivo: no permite comparar de forma inmediata un cobro específico contra un rango oficial, ni agrega el historial de calificaciones que un establecimiento recibe en distintas plataformas de reseñas, funciones que se plantean como diferenciadoras en la sección 6.5.</w:t>
      </w:r>
    </w:p>
    <w:p>
      <w:pPr>
        <w:pStyle w:val="Heading1"/>
        <w:spacing w:after="180" w:before="340"/>
      </w:pPr>
      <w:r>
        <w:rPr>
          <w:rFonts w:ascii="Times New Roman" w:cs="Times New Roman" w:eastAsia="Times New Roman" w:hAnsi="Times New Roman"/>
          <w:b/>
          <w:bCs/>
          <w:color w:val="1F3864"/>
          <w:sz w:val="27"/>
          <w:szCs w:val="27"/>
        </w:rPr>
        <w:t xml:space="preserve">3. Marco Teórico</w:t>
      </w:r>
    </w:p>
    <w:p>
      <w:pPr>
        <w:pStyle w:val="Heading2"/>
        <w:spacing w:after="140" w:before="220"/>
      </w:pPr>
      <w:r>
        <w:rPr>
          <w:rFonts w:ascii="Times New Roman" w:cs="Times New Roman" w:eastAsia="Times New Roman" w:hAnsi="Times New Roman"/>
          <w:b/>
          <w:bCs/>
          <w:color w:val="000000"/>
          <w:sz w:val="25"/>
          <w:szCs w:val="25"/>
        </w:rPr>
        <w:t xml:space="preserve">3.1 Asimetría de información y transparencia de precios en el turismo</w:t>
      </w:r>
    </w:p>
    <w:p>
      <w:pPr>
        <w:spacing w:after="200" w:line="360"/>
        <w:jc w:val="both"/>
      </w:pPr>
      <w:r>
        <w:rPr>
          <w:rFonts w:ascii="Times New Roman" w:cs="Times New Roman" w:eastAsia="Times New Roman" w:hAnsi="Times New Roman"/>
          <w:sz w:val="24"/>
          <w:szCs w:val="24"/>
        </w:rPr>
        <w:t xml:space="preserve">La literatura económica sobre asimetría de información ofrece un marco útil para entender por qué el sobrecobro turístico es un problema estructural y no solo una serie de incidentes aislados, tal como sugiere también la evidencia internacional revisada en la sección 2.1. Cuando una de las partes de una transacción —en este caso, el turista— dispone de menos información que la otra sobre el precio justo de un bien o servicio, el mercado tiende a fallar: el vendedor puede fijar precios muy por encima del valor de referencia sin que el comprador tenga forma inmediata de detectarlo ni de comparar alternativas (Perrotini, 2002). En el turismo, esta asimetría se agrava porque el visitante generalmente desconoce las tarifas locales, permanece poco tiempo en la ciudad y tiene escaso poder de negociación frente al prestador del servicio, lo que crea condiciones propicias para el patrón de cobro excesivo documentado en la sección 6.</w:t>
      </w:r>
    </w:p>
    <w:p>
      <w:pPr>
        <w:pStyle w:val="Heading2"/>
        <w:spacing w:after="140" w:before="220"/>
      </w:pPr>
      <w:r>
        <w:rPr>
          <w:rFonts w:ascii="Times New Roman" w:cs="Times New Roman" w:eastAsia="Times New Roman" w:hAnsi="Times New Roman"/>
          <w:b/>
          <w:bCs/>
          <w:color w:val="000000"/>
          <w:sz w:val="25"/>
          <w:szCs w:val="25"/>
        </w:rPr>
        <w:t xml:space="preserve">3.2 Aplicaciones móviles y confianza del consumidor en turismo</w:t>
      </w:r>
    </w:p>
    <w:p>
      <w:pPr>
        <w:spacing w:after="200" w:line="360"/>
        <w:jc w:val="both"/>
      </w:pPr>
      <w:r>
        <w:rPr>
          <w:rFonts w:ascii="Times New Roman" w:cs="Times New Roman" w:eastAsia="Times New Roman" w:hAnsi="Times New Roman"/>
          <w:sz w:val="24"/>
          <w:szCs w:val="24"/>
        </w:rPr>
        <w:t xml:space="preserve">Diversos estudios sobre el comportamiento del turista en entornos móviles señalan que su satisfacción y confianza dependen en buena medida de la claridad y la seguridad con que una aplicación comunica la información relevante para su viaje, incluyendo precios y condiciones del servicio (Florido-Benítez, 2016). Esta literatura respalda la premisa de diseño de Precio Claro: una aplicación que resuelve la asimetría de información señalada en la sección 3.1 mostrando de forma inmediata el precio de referencia, en lugar de limitarse a listas de recomendaciones generales, tiene mayor probabilidad de generar confianza y de ser adoptada por el turista en el momento crítico del pago.</w:t>
      </w:r>
    </w:p>
    <w:p>
      <w:pPr>
        <w:pStyle w:val="Heading2"/>
        <w:spacing w:after="140" w:before="220"/>
      </w:pPr>
      <w:r>
        <w:rPr>
          <w:rFonts w:ascii="Times New Roman" w:cs="Times New Roman" w:eastAsia="Times New Roman" w:hAnsi="Times New Roman"/>
          <w:b/>
          <w:bCs/>
          <w:color w:val="000000"/>
          <w:sz w:val="25"/>
          <w:szCs w:val="25"/>
        </w:rPr>
        <w:t xml:space="preserve">3.3 Marco legal: el derecho del consumidor a la información sobre precios en Colombia</w:t>
      </w:r>
    </w:p>
    <w:p>
      <w:pPr>
        <w:spacing w:after="200" w:line="360"/>
        <w:jc w:val="both"/>
      </w:pPr>
      <w:r>
        <w:rPr>
          <w:rFonts w:ascii="Times New Roman" w:cs="Times New Roman" w:eastAsia="Times New Roman" w:hAnsi="Times New Roman"/>
          <w:sz w:val="24"/>
          <w:szCs w:val="24"/>
        </w:rPr>
        <w:t xml:space="preserve">En Colombia, el derecho del consumidor a recibir información suficiente, clara, veraz y oportuna sobre el precio de los productos y servicios que adquiere está consagrado en la Ley 1480 de 2011, Estatuto del Consumidor, que además faculta a la Superintendencia de Industria y Comercio (SIC) para investigar y sancionar a los proveedores que induzcan a error al consumidor sobre el precio real de lo que ofrecen (Congreso de la República de Colombia, 2011). En el sector turístico específicamente, la SIC ha reforzado este marco mediante cartillas de buenas prácticas dirigidas a prestadores turísticos, elaboradas junto con la Asociación Colombiana de Agencias de Viajes y Turismo (Anato), orientadas a prevenir precisamente las prácticas de cobro excesivo y falta de información documentadas en este artículo (Superintendencia de Industria y Comercio, s.f.). Este marco general de protección al consumidor complementa a las leyes específicas sobre delitos informáticos (Ley 1273 de 2009) y protección de datos personales (Ley 1581 de 2012), que se analizan en la sección 6.6 a propósito de la viabilidad legal de la funcionalidad de mapa de Precio Claro.</w:t>
      </w:r>
    </w:p>
    <w:p>
      <w:pPr>
        <w:pStyle w:val="Heading1"/>
        <w:spacing w:after="180" w:before="340"/>
      </w:pPr>
      <w:r>
        <w:rPr>
          <w:rFonts w:ascii="Times New Roman" w:cs="Times New Roman" w:eastAsia="Times New Roman" w:hAnsi="Times New Roman"/>
          <w:b/>
          <w:bCs/>
          <w:color w:val="1F3864"/>
          <w:sz w:val="27"/>
          <w:szCs w:val="27"/>
        </w:rPr>
        <w:t xml:space="preserve">4. Objetivos</w:t>
      </w:r>
    </w:p>
    <w:p>
      <w:pPr>
        <w:spacing w:after="200" w:line="360"/>
        <w:jc w:val="both"/>
      </w:pPr>
      <w:r>
        <w:rPr>
          <w:rFonts w:ascii="Times New Roman" w:cs="Times New Roman" w:eastAsia="Times New Roman" w:hAnsi="Times New Roman"/>
          <w:sz w:val="24"/>
          <w:szCs w:val="24"/>
        </w:rPr>
        <w:t xml:space="preserve">Objetivo general: analizar la problemática de falta de transparencia y control de precios en el sector turístico de Cartagena de Indias, a partir del estado del arte internacional sobre el sobrecobro turístico, de la evidencia local documentada entre 2019 y 2026 y de un marco teórico y legal de referencia, para sustentar el diseño funcional de una aplicación digital de verificación de precios para el turista.</w:t>
      </w:r>
    </w:p>
    <w:p>
      <w:pPr>
        <w:spacing w:after="200" w:line="360"/>
        <w:jc w:val="both"/>
      </w:pPr>
      <w:r>
        <w:rPr>
          <w:rFonts w:ascii="Times New Roman" w:cs="Times New Roman" w:eastAsia="Times New Roman" w:hAnsi="Times New Roman"/>
          <w:sz w:val="24"/>
          <w:szCs w:val="24"/>
        </w:rPr>
        <w:t xml:space="preserve">Objetivos específicos:</w:t>
      </w:r>
    </w:p>
    <w:p>
      <w:pPr>
        <w:spacing w:after="160" w:line="360"/>
        <w:ind w:left="567"/>
        <w:jc w:val="both"/>
      </w:pPr>
      <w:r>
        <w:rPr>
          <w:rFonts w:ascii="Times New Roman" w:cs="Times New Roman" w:eastAsia="Times New Roman" w:hAnsi="Times New Roman"/>
          <w:sz w:val="24"/>
          <w:szCs w:val="24"/>
        </w:rPr>
        <w:t xml:space="preserve">1. Identificar los principales casos y patrones de cobros excesivos reportados a turistas en distintos puntos de Cartagena.</w:t>
      </w:r>
    </w:p>
    <w:p>
      <w:pPr>
        <w:spacing w:after="160" w:line="360"/>
        <w:ind w:left="567"/>
        <w:jc w:val="both"/>
      </w:pPr>
      <w:r>
        <w:rPr>
          <w:rFonts w:ascii="Times New Roman" w:cs="Times New Roman" w:eastAsia="Times New Roman" w:hAnsi="Times New Roman"/>
          <w:sz w:val="24"/>
          <w:szCs w:val="24"/>
        </w:rPr>
        <w:t xml:space="preserve">2. Documentar las tarifas oficiales vigentes de transporte turístico (taxi, coches de caballos tradicionales y eléctricos, lanchas a las islas) y contrastarlas con los valores efectivamente cobrados en los casos denunciados.</w:t>
      </w:r>
    </w:p>
    <w:p>
      <w:pPr>
        <w:spacing w:after="160" w:line="360"/>
        <w:ind w:left="567"/>
        <w:jc w:val="both"/>
      </w:pPr>
      <w:r>
        <w:rPr>
          <w:rFonts w:ascii="Times New Roman" w:cs="Times New Roman" w:eastAsia="Times New Roman" w:hAnsi="Times New Roman"/>
          <w:sz w:val="24"/>
          <w:szCs w:val="24"/>
        </w:rPr>
        <w:t xml:space="preserve">3. Caracterizar las zonas de la ciudad —playas, centro histórico, Bocagrande— con mayor incidencia de quejas.</w:t>
      </w:r>
    </w:p>
    <w:p>
      <w:pPr>
        <w:spacing w:after="160" w:line="360"/>
        <w:ind w:left="567"/>
        <w:jc w:val="both"/>
      </w:pPr>
      <w:r>
        <w:rPr>
          <w:rFonts w:ascii="Times New Roman" w:cs="Times New Roman" w:eastAsia="Times New Roman" w:hAnsi="Times New Roman"/>
          <w:sz w:val="24"/>
          <w:szCs w:val="24"/>
        </w:rPr>
        <w:t xml:space="preserve">4. Revisar el estado del arte internacional sobre el sobrecobro turístico y el marco regulatorio e institucional local existente, incluida la aplicación oficial Visit Cartagena.</w:t>
      </w:r>
    </w:p>
    <w:p>
      <w:pPr>
        <w:spacing w:after="160" w:line="360"/>
        <w:ind w:left="567"/>
        <w:jc w:val="both"/>
      </w:pPr>
      <w:r>
        <w:rPr>
          <w:rFonts w:ascii="Times New Roman" w:cs="Times New Roman" w:eastAsia="Times New Roman" w:hAnsi="Times New Roman"/>
          <w:sz w:val="24"/>
          <w:szCs w:val="24"/>
        </w:rPr>
        <w:t xml:space="preserve">5. Evaluar la viabilidad legal de incorporar recomendaciones, calificaciones e información de terceros (mapas y plataformas de reseñas) a una aplicación propia.</w:t>
      </w:r>
    </w:p>
    <w:p>
      <w:pPr>
        <w:spacing w:after="160" w:line="360"/>
        <w:ind w:left="567"/>
        <w:jc w:val="both"/>
      </w:pPr>
      <w:r>
        <w:rPr>
          <w:rFonts w:ascii="Times New Roman" w:cs="Times New Roman" w:eastAsia="Times New Roman" w:hAnsi="Times New Roman"/>
          <w:sz w:val="24"/>
          <w:szCs w:val="24"/>
        </w:rPr>
        <w:t xml:space="preserve">6. Diseñar la lógica funcional, mediante diagramas de flujo, de una aplicación que permita a los turistas consultar tarifas oficiales y reportar irregularidades.</w:t>
      </w:r>
    </w:p>
    <w:p>
      <w:pPr>
        <w:pStyle w:val="Heading1"/>
        <w:spacing w:after="180" w:before="340"/>
      </w:pPr>
      <w:r>
        <w:rPr>
          <w:rFonts w:ascii="Times New Roman" w:cs="Times New Roman" w:eastAsia="Times New Roman" w:hAnsi="Times New Roman"/>
          <w:b/>
          <w:bCs/>
          <w:color w:val="1F3864"/>
          <w:sz w:val="27"/>
          <w:szCs w:val="27"/>
        </w:rPr>
        <w:t xml:space="preserve">5. Metodología propuesta</w:t>
      </w:r>
    </w:p>
    <w:p>
      <w:pPr>
        <w:pStyle w:val="Heading2"/>
        <w:spacing w:after="140" w:before="220"/>
      </w:pPr>
      <w:r>
        <w:rPr>
          <w:rFonts w:ascii="Times New Roman" w:cs="Times New Roman" w:eastAsia="Times New Roman" w:hAnsi="Times New Roman"/>
          <w:b/>
          <w:bCs/>
          <w:color w:val="000000"/>
          <w:sz w:val="25"/>
          <w:szCs w:val="25"/>
        </w:rPr>
        <w:t xml:space="preserve">5.1 Búsqueda bibliográfica</w:t>
      </w:r>
    </w:p>
    <w:p>
      <w:pPr>
        <w:spacing w:after="200" w:line="360"/>
        <w:jc w:val="both"/>
      </w:pPr>
      <w:r>
        <w:rPr>
          <w:rFonts w:ascii="Times New Roman" w:cs="Times New Roman" w:eastAsia="Times New Roman" w:hAnsi="Times New Roman"/>
          <w:sz w:val="24"/>
          <w:szCs w:val="24"/>
        </w:rPr>
        <w:t xml:space="preserve">La información se recopiló a partir de medios de comunicación colombianos de cobertura nacional y regional (El Tiempo, El Universal de Cartagena, El Colombiano, Infobae, Semana, Pulzo, Portafolio, La FM, RTVC Noticias, Xataka Colombia), de los portales oficiales de la Alcaldía Mayor de Cartagena de Indias y de la Superintendencia de Industria y Comercio (SIC), de las tiendas de aplicaciones (App Store, Google Play), de fuentes normativas colombianas sobre protección al consumidor, delitos informáticos y protección de datos, y de literatura académica indexada sobre economía de la información, comportamiento del turista en entornos móviles y el fenómeno internacional del sobrecobro turístico. La búsqueda utilizó combinaciones de términos como “cobros excesivos turistas Cartagena”, “sobrecobro Cartagena”, “tarifas taxi Cartagena”, “precios playas Cartagena”, “Visit Cartagena app reseñas”, “web scraping legal Colombia”, “asimetría de información turismo”, “Estatuto del Consumidor Colombia”, “tourist trap overcharging” y “review platforms tourism pricing”, cubriendo publicaciones entre 2002 y 2026.</w:t>
      </w:r>
    </w:p>
    <w:p>
      <w:pPr>
        <w:pStyle w:val="Heading2"/>
        <w:spacing w:after="140" w:before="220"/>
      </w:pPr>
      <w:r>
        <w:rPr>
          <w:rFonts w:ascii="Times New Roman" w:cs="Times New Roman" w:eastAsia="Times New Roman" w:hAnsi="Times New Roman"/>
          <w:b/>
          <w:bCs/>
          <w:color w:val="000000"/>
          <w:sz w:val="25"/>
          <w:szCs w:val="25"/>
        </w:rPr>
        <w:t xml:space="preserve">5.2 Criterios de selección</w:t>
      </w:r>
    </w:p>
    <w:p>
      <w:pPr>
        <w:spacing w:after="200" w:line="360"/>
        <w:jc w:val="both"/>
      </w:pPr>
      <w:r>
        <w:rPr>
          <w:rFonts w:ascii="Times New Roman" w:cs="Times New Roman" w:eastAsia="Times New Roman" w:hAnsi="Times New Roman"/>
          <w:sz w:val="24"/>
          <w:szCs w:val="24"/>
        </w:rPr>
        <w:t xml:space="preserve">Se priorizaron notas periodísticas y comunicados oficiales que incluyeran cifras concretas y verificables, fecha identificable y, cuando fue posible, algún tipo de confirmación por parte de autoridades. Para la evaluación de la aplicación Visit Cartagena se priorizaron las fichas oficiales de las tiendas de aplicaciones (calificación, número de reseñas, historial de versiones) sobre notas de prensa promocionales. Para el marco teórico, el marco legal y el estado del arte se priorizó el texto normativo colombiano y la literatura académica indexada sobre fuentes divulgativas, y se contrastó con las políticas públicas de las plataformas involucradas (Google, TripAdvisor).</w:t>
      </w:r>
    </w:p>
    <w:p>
      <w:pPr>
        <w:pStyle w:val="Heading2"/>
        <w:spacing w:after="140" w:before="220"/>
      </w:pPr>
      <w:r>
        <w:rPr>
          <w:rFonts w:ascii="Times New Roman" w:cs="Times New Roman" w:eastAsia="Times New Roman" w:hAnsi="Times New Roman"/>
          <w:b/>
          <w:bCs/>
          <w:color w:val="000000"/>
          <w:sz w:val="25"/>
          <w:szCs w:val="25"/>
        </w:rPr>
        <w:t xml:space="preserve">5.3 Recuperación de la información</w:t>
      </w:r>
    </w:p>
    <w:p>
      <w:pPr>
        <w:spacing w:after="200" w:line="360"/>
        <w:jc w:val="both"/>
      </w:pPr>
      <w:r>
        <w:rPr>
          <w:rFonts w:ascii="Times New Roman" w:cs="Times New Roman" w:eastAsia="Times New Roman" w:hAnsi="Times New Roman"/>
          <w:sz w:val="24"/>
          <w:szCs w:val="24"/>
        </w:rPr>
        <w:t xml:space="preserve">La búsqueda inicial identificó más de veinte publicaciones potencialmente relevantes entre noticias, comunicados institucionales y normativa distrital sobre sobrecobros y tarifas. Una segunda ronda de búsqueda, orientada a evaluar la aplicación oficial Visit Cartagena y el marco legal del uso de datos de terceros, añadió once fuentes adicionales. Una tercera ronda, orientada a fundamentar el marco teórico del artículo, añadió cuatro fuentes: dos artículos académicos sobre asimetría de información y comportamiento del turista en entornos móviles, y dos fuentes normativas e institucionales sobre protección al consumidor en Colombia. Una cuarta ronda, orientada específicamente a documentar el estado del arte internacional sobre el sobrecobro turístico y los mecanismos de mercado que lo mitigan, añadió dos fuentes académicas adicionales publicadas en revistas indexadas con revisión por pares. En total, el artículo se sustenta en veintinueve fuentes documentales.</w:t>
      </w:r>
    </w:p>
    <w:p>
      <w:pPr>
        <w:pStyle w:val="Heading2"/>
        <w:spacing w:after="140" w:before="220"/>
      </w:pPr>
      <w:r>
        <w:rPr>
          <w:rFonts w:ascii="Times New Roman" w:cs="Times New Roman" w:eastAsia="Times New Roman" w:hAnsi="Times New Roman"/>
          <w:b/>
          <w:bCs/>
          <w:color w:val="000000"/>
          <w:sz w:val="25"/>
          <w:szCs w:val="25"/>
        </w:rPr>
        <w:t xml:space="preserve">5.4 Fuentes documentales</w:t>
      </w:r>
    </w:p>
    <w:p>
      <w:pPr>
        <w:spacing w:after="200" w:line="360"/>
        <w:jc w:val="both"/>
      </w:pPr>
      <w:r>
        <w:rPr>
          <w:rFonts w:ascii="Times New Roman" w:cs="Times New Roman" w:eastAsia="Times New Roman" w:hAnsi="Times New Roman"/>
          <w:sz w:val="24"/>
          <w:szCs w:val="24"/>
        </w:rPr>
        <w:t xml:space="preserve">Las fuentes documentales incluyen reportes periodísticos de casos individuales de sobrecobro, comunicados institucionales sobre medidas de control, las fichas de Visit Cartagena en App Store y Google Play, el texto de la Ley 1480 de 2011 (Congreso de la República de Colombia, 2011), la Ley 1273 de 2009 (Congreso de la República de Colombia, 2009) y la Ley 1581 de 2012 (Congreso de la República de Colombia, 2012) de Colombia, la documentación oficial de políticas de la Places API de Google (Google for Developers, s.f.), análisis especializados sobre la legalidad del web scraping (Thunderbit, s.f.), y literatura académica sobre asimetría de información, comportamiento del turista en entornos móviles y el fenómeno internacional del sobrecobro turístico (Perrotini, 2002; Florido-Benítez, 2016; Polus et al., 2024; Donati, 2025).</w:t>
      </w:r>
    </w:p>
    <w:p>
      <w:pPr>
        <w:pStyle w:val="Heading2"/>
        <w:spacing w:after="140" w:before="220"/>
      </w:pPr>
      <w:r>
        <w:rPr>
          <w:rFonts w:ascii="Times New Roman" w:cs="Times New Roman" w:eastAsia="Times New Roman" w:hAnsi="Times New Roman"/>
          <w:b/>
          <w:bCs/>
          <w:color w:val="000000"/>
          <w:sz w:val="25"/>
          <w:szCs w:val="25"/>
        </w:rPr>
        <w:t xml:space="preserve">5.5 Evaluación de la calidad de los artículos seleccionados</w:t>
      </w:r>
    </w:p>
    <w:p>
      <w:pPr>
        <w:spacing w:after="200" w:line="360"/>
        <w:jc w:val="both"/>
      </w:pPr>
      <w:r>
        <w:rPr>
          <w:rFonts w:ascii="Times New Roman" w:cs="Times New Roman" w:eastAsia="Times New Roman" w:hAnsi="Times New Roman"/>
          <w:sz w:val="24"/>
          <w:szCs w:val="24"/>
        </w:rPr>
        <w:t xml:space="preserve">La calidad de las fuentes se valoró considerando la reputación y trazabilidad del medio o la entidad, la presencia de cifras concretas y contrastables, la existencia de una fuente primaria (decreto, ley, ficha oficial de tienda de aplicaciones, artículo indexado) y la fecha de publicación, priorizando la información más reciente disponible. Para las fuentes normativas se usó exclusivamente el texto oficial de la ley o su compilación por una entidad pública (Función Pública, SIC); para el marco teórico y el estado del arte se priorizaron artículos publicados en revistas académicas con proceso editorial y revisión por pares identificables (Tourism Management, Marketing Science, Cuadernos de Turismo, Aportes).</w:t>
      </w:r>
    </w:p>
    <w:p>
      <w:pPr>
        <w:pStyle w:val="Heading2"/>
        <w:spacing w:after="140" w:before="220"/>
      </w:pPr>
      <w:r>
        <w:rPr>
          <w:rFonts w:ascii="Times New Roman" w:cs="Times New Roman" w:eastAsia="Times New Roman" w:hAnsi="Times New Roman"/>
          <w:b/>
          <w:bCs/>
          <w:color w:val="000000"/>
          <w:sz w:val="25"/>
          <w:szCs w:val="25"/>
        </w:rPr>
        <w:t xml:space="preserve">5.6 Análisis de la variabilidad, fiabilidad y validez de los artículos</w:t>
      </w:r>
    </w:p>
    <w:p>
      <w:pPr>
        <w:spacing w:after="200" w:line="360"/>
        <w:jc w:val="both"/>
      </w:pPr>
      <w:r>
        <w:rPr>
          <w:rFonts w:ascii="Times New Roman" w:cs="Times New Roman" w:eastAsia="Times New Roman" w:hAnsi="Times New Roman"/>
          <w:sz w:val="24"/>
          <w:szCs w:val="24"/>
        </w:rPr>
        <w:t xml:space="preserve">Se identifican distintos niveles de fiabilidad entre las fuentes. Los datos agregados de la Secretaría de Turismo (289 reportes entre enero y julio de 2025) tienen mayor validez estadística que los casos individuales virales, aunque ambos probablemente subestiman el fenómeno real por subregistro (El Universal, 2025). Las cifras de adopción de Visit Cartagena presentan una variabilidad notable según la fuente y el momento: mientras que la cobertura de lanzamiento (diciembre de 2024-enero de 2025) reportó cifras de descarga y uso diario mucho mayores (El Tiempo, s.f.-c) que las registradas por la ficha de Google Play en 2026, lo que sugiere que la cifra inicial correspondió a un pico de temporada alta y no a un uso sostenido. En cuanto al marco legal, la Ley 1273 de 2009 exige probar técnicamente el acceso indebido a un sistema, según jurisprudencia reciente de la Corte Suprema de Justicia (Estudio Penal, s.f.), por lo que su aplicación a la extracción de datos públicamente visibles no es automática, mientras que las políticas contractuales de las plataformas (Google, TripAdvisor) sí prohíben expresamente el scraping, lo que constituye un riesgo de naturaleza distinta —civil o contractual, no necesariamente penal—. Finalmente, la evidencia internacional sobre plataformas de reseñas (sección 2.2) tiene alta validez interna por su diseño de experimento natural, pero su generalización al contexto cartagenero es limitada porque proviene de un mercado de restaurantes europeo con una infraestructura de reseñas mucho más consolidada que la disponible en Cartagena.</w:t>
      </w:r>
    </w:p>
    <w:p>
      <w:pPr>
        <w:pStyle w:val="Heading2"/>
        <w:spacing w:after="140" w:before="220"/>
      </w:pPr>
      <w:r>
        <w:rPr>
          <w:rFonts w:ascii="Times New Roman" w:cs="Times New Roman" w:eastAsia="Times New Roman" w:hAnsi="Times New Roman"/>
          <w:b/>
          <w:bCs/>
          <w:color w:val="000000"/>
          <w:sz w:val="25"/>
          <w:szCs w:val="25"/>
        </w:rPr>
        <w:t>5.7 Fases de implementación y validación del prototipo</w:t>
      </w:r>
    </w:p>
    <w:p>
      <w:pPr>
        <w:spacing w:after="200" w:line="360"/>
        <w:jc w:val="both"/>
      </w:pPr>
      <w:r>
        <w:rPr>
          <w:rFonts w:ascii="Times New Roman" w:cs="Times New Roman" w:eastAsia="Times New Roman" w:hAnsi="Times New Roman"/>
          <w:sz w:val="24"/>
          <w:szCs w:val="24"/>
        </w:rPr>
        <w:t>La metodología descrita en las secciones 5.1 a 5.6 sustenta documentalmente el diseño de Precio Claro a partir de la revisión bibliográfica del fenómeno del sobrecobro turístico. De manera complementaria, y siguiendo la orientación de la docente de la asignatura, la implementación del prototipo se organizó en seis fases de trabajo, cada una vinculada a uno o más de los objetivos específicos planteados en la sección 4. La Tabla 4 resume estas fases, el objetivo al que responden, la actividad realizada y el componente del prototipo en el que se materializan.</w:t>
      </w:r>
    </w:p>
    <w:p>
      <w:pPr>
        <w:sectPr>
          <w:headerReference w:type="default" r:id="rId13"/>
          <w:footerReference w:type="default" r:id="rId14"/>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Tabla 4. Fases metodológicas de implementación del prototipo y su relación con los objetivos específicos.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400"/>
        <w:gridCol w:w="3000"/>
      </w:tblGrid>
      <w:tr>
        <w:trPr>
          <w:tblHeader/>
        </w:trPr>
        <w:tc>
          <w:tcPr>
            <w:tcW w:type="dxa" w:w="2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Fase</w:t>
            </w:r>
          </w:p>
        </w:tc>
        <w:tc>
          <w:tcPr>
            <w:tcW w:type="dxa" w:w="3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Objetivo relacionado</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Actividad</w:t>
            </w:r>
          </w:p>
        </w:tc>
        <w:tc>
          <w:tcPr>
            <w:tcW w:type="dxa" w:w="3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Instrumento o componente del prototipo</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Fase 1. Levantamiento de actores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Objetivos 1 y 3</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Identificación de los actores del sector turístico de Cartagena: turistas, prestadores de transporte, prestadores de playas y restaurantes, y entidades reguladoras o gremiales.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Módulo Actores: una ficha por tipo de actor, con su demanda, oferta, dolor identificado y oportunidad para la app.</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Fase 2. Caracterización de prestadores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Objetivos 2 y 3</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Caracterización de los prestadores de servicios turísticos: productos u oferta, valores cobrados y oportunidades que identifican en una herramienta como Precio Claro.</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Formulario “Caracteriza tu negocio”, integrado en el módulo Actores.</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Fase 3. Identificación del dolor principal</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Objetivo 1</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Indagación directa sobre la experiencia de sobrecobro del turista y sus expectativas frente a la aplicación.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Módulo Encuesta: preguntas cerradas sobre sobrecobro sufrido y funciones esperadas.</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Fase 4. Definición de requerimientos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Objetivo 6</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Traducción de los hallazgos de las fases 1 a 3 y del análisis legal (sección 6.6) en requerimientos funcionales concretos.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Diagramas de flujo (Figuras 2 y 3) y módulos Transporte, Playas y Mapa.</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Fase 5. Pruebas funcionales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Objetivo 6</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Verificación de que los flujos de consulta de tarifas y de reporte de irregularidades cumplen su propósito.</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Revisión manual de cada módulo del prototipo frente a los casos y tarifas documentados en las Tablas 1 a 3.</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Fase 6. Pruebas de usabilidad y validación</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Objetivos 5 y 6</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Validación del sistema final con actores locales y evaluación de su facilidad de uso e impacto percibido.</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Escala de facilidad de uso (1 a 5 estrellas) y comentario abierto, dentro del módulo Encuesta.</w:t>
            </w:r>
          </w:p>
        </w:tc>
      </w:tr>
    </w:tbl>
    <w:p>
      <w:pPr>
        <w:spacing w:after="320" w:before="80"/>
        <w:jc w:val="left"/>
      </w:pPr>
      <w:r>
        <w:rPr>
          <w:rFonts w:ascii="Times New Roman" w:cs="Times New Roman" w:eastAsia="Times New Roman" w:hAnsi="Times New Roman"/>
          <w:i/>
          <w:iCs/>
          <w:sz w:val="19"/>
          <w:szCs w:val="19"/>
        </w:rPr>
        <w:t>Nota. Elaboración propia a partir de los requerimientos metodológicos comunicados por la docente de la asignatura y de los objetivos específicos formulados en la sección 4.</w:t>
      </w:r>
    </w:p>
    <w:p>
      <w:pPr>
        <w:sectPr>
          <w:headerReference w:type="default" r:id="rId15"/>
          <w:footerReference w:type="default" r:id="rId1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El instrumento utilizado en la fase 3 —y, de forma transversal, para recoger la valoración de usabilidad de la fase 6— se documenta en detalle en un formulario independiente (Instrumento de Encuesta – Precio Claro) que acompaña este artículo, con las preguntas, las escalas de respuesta y las instrucciones de aplicación.</w:t>
      </w:r>
    </w:p>
    <w:p>
      <w:pPr>
        <w:spacing w:after="200" w:line="360"/>
        <w:jc w:val="both"/>
      </w:pPr>
      <w:r>
        <w:rPr>
          <w:rFonts w:ascii="Times New Roman" w:cs="Times New Roman" w:eastAsia="Times New Roman" w:hAnsi="Times New Roman"/>
          <w:sz w:val="24"/>
          <w:szCs w:val="24"/>
        </w:rPr>
        <w:t>Conviene precisar el alcance de esta fase dentro de un prototipo académico: tanto el formulario de caracterización de prestadores como la encuesta de sobrecobro y usabilidad se implementaron en el propio prototipo y almacenan las respuestas únicamente en el dispositivo de quien las diligencia, sin un repositorio central compartido. Esta decisión de diseño permite demostrar el instrumento y su lógica de resumen sin comprometer la posibilidad de que el prototipo se comparta públicamente como enlace. Para la recolección real de datos con el conjunto de actores del sector turístico de Cartagena, el equipo aplicaría el mismo instrumento mediante un formulario compartido (por ejemplo, Google Forms) o encuestas presenciales, tal como se anticipa en la Tabla 4.</w:t>
      </w:r>
    </w:p>
    <w:p>
      <w:pPr>
        <w:pStyle w:val="Heading1"/>
        <w:spacing w:after="180" w:before="340"/>
      </w:pPr>
      <w:r>
        <w:rPr>
          <w:rFonts w:ascii="Times New Roman" w:cs="Times New Roman" w:eastAsia="Times New Roman" w:hAnsi="Times New Roman"/>
          <w:b/>
          <w:bCs/>
          <w:color w:val="1F3864"/>
          <w:sz w:val="27"/>
          <w:szCs w:val="27"/>
        </w:rPr>
        <w:t xml:space="preserve">6. Resultados y discusión</w:t>
      </w:r>
    </w:p>
    <w:p>
      <w:pPr>
        <w:pStyle w:val="Heading2"/>
        <w:spacing w:after="140" w:before="220"/>
      </w:pPr>
      <w:r>
        <w:rPr>
          <w:rFonts w:ascii="Times New Roman" w:cs="Times New Roman" w:eastAsia="Times New Roman" w:hAnsi="Times New Roman"/>
          <w:b/>
          <w:bCs/>
          <w:color w:val="000000"/>
          <w:sz w:val="25"/>
          <w:szCs w:val="25"/>
        </w:rPr>
        <w:t xml:space="preserve">6.1 Organización y estructura de los datos</w:t>
      </w:r>
    </w:p>
    <w:p>
      <w:pPr>
        <w:spacing w:after="200" w:line="360"/>
        <w:jc w:val="both"/>
      </w:pPr>
      <w:r>
        <w:rPr>
          <w:rFonts w:ascii="Times New Roman" w:cs="Times New Roman" w:eastAsia="Times New Roman" w:hAnsi="Times New Roman"/>
          <w:sz w:val="24"/>
          <w:szCs w:val="24"/>
        </w:rPr>
        <w:t xml:space="preserve">La información recopilada se organizó en seis categorías: (1) casos documentados de sobrecobro, (2) tarifas oficiales de transporte turístico, (3) precios de referencia oficiales en playas, (4) zonas de la ciudad con mayor incidencia de quejas, (5) marco regulatorio e iniciativas institucionales existentes, y (6) el marco legal aplicable al uso de información de terceros. Estas categorías alimentan directamente la propuesta funcional de la aplicación Precio Claro, presentada en la sección 6.5.</w:t>
      </w:r>
    </w:p>
    <w:p>
      <w:pPr>
        <w:sectPr>
          <w:headerReference w:type="default" r:id="rId9"/>
          <w:footerReference w:type="default" r:id="rId10"/>
          <w:type w:val="continuous"/>
          <w:pgSz w:w="12240" w:h="15840" w:orient="portrait"/>
          <w:pgMar w:top="720" w:right="720" w:bottom="720" w:left="720" w:header="708" w:footer="708" w:gutter="0"/>
          <w:pgNumType/>
          <w:cols w:space="400" w:num="2"/>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6.2 Elaboración del mapa mental</w:t>
      </w:r>
    </w:p>
    <w:p>
      <w:pPr>
        <w:spacing w:after="200" w:line="360"/>
        <w:jc w:val="both"/>
      </w:pPr>
      <w:r>
        <w:rPr>
          <w:rFonts w:ascii="Times New Roman" w:cs="Times New Roman" w:eastAsia="Times New Roman" w:hAnsi="Times New Roman"/>
          <w:sz w:val="24"/>
          <w:szCs w:val="24"/>
        </w:rPr>
        <w:t xml:space="preserve">La Figura 1 sintetiza visualmente las cinco categorías centrales identificadas en la primera fase de la revisión y sus elementos específicos, con el nodo central representando la problemática general de control y transparencia de precios en el turismo de Cartagena.</w:t>
      </w:r>
    </w:p>
    <w:p>
      <w:pPr>
        <w:spacing w:after="8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790950"/>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1. Mapa mental de la problemática de control y transparencia de precios en el sector turístico de Cartagena. Elaboración propia.</w:t>
      </w:r>
    </w:p>
    <w:p>
      <w:pPr>
        <w:sectPr>
          <w:headerReference w:type="default" r:id="rId11"/>
          <w:footerReference w:type="default" r:id="rId12"/>
          <w:type w:val="continuous"/>
          <w:pgSz w:w="12240" w:h="15840" w:orient="portrait"/>
          <w:pgMar w:top="720" w:right="720" w:bottom="720" w:left="720" w:header="708" w:footer="708" w:gutter="0"/>
          <w:pgNumType/>
          <w:cols w:num="1"/>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6.3 Combinación de los resultados de diferentes fuentes</w:t>
      </w:r>
    </w:p>
    <w:p>
      <w:pPr>
        <w:spacing w:after="200" w:line="360"/>
        <w:jc w:val="both"/>
      </w:pPr>
      <w:r>
        <w:rPr>
          <w:rFonts w:ascii="Times New Roman" w:cs="Times New Roman" w:eastAsia="Times New Roman" w:hAnsi="Times New Roman"/>
          <w:sz w:val="24"/>
          <w:szCs w:val="24"/>
        </w:rPr>
        <w:t xml:space="preserve">La Tabla 1 combina los casos documentados de sobrecobro encontrados en la revisión, contrastando el valor cobrado con un valor de referencia cuando estuvo disponible.</w:t>
      </w:r>
    </w:p>
    <w:p>
      <w:pPr>
        <w:sectPr>
          <w:headerReference w:type="default" r:id="rId13"/>
          <w:footerReference w:type="default" r:id="rId14"/>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1. Casos documentados de sobrecobro a turistas en Cartagena de Indias, 2023-2025.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600"/>
        <w:gridCol w:w="1900"/>
        <w:gridCol w:w="1900"/>
        <w:gridCol w:w="1400"/>
      </w:tblGrid>
      <w:tr>
        <w:trPr>
          <w:tblHeader/>
        </w:trPr>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Fecha</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Lugar</w:t>
            </w:r>
          </w:p>
        </w:tc>
        <w:tc>
          <w:tcPr>
            <w:tcW w:type="dxa" w:w="2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Ítem cobrado</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Valor cobrado</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Valor de referencia</w:t>
            </w:r>
          </w:p>
        </w:tc>
        <w:tc>
          <w:tcPr>
            <w:tcW w:type="dxa" w:w="1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Fuente</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Dic. 2023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Barú (excursión Islas del Rosario)</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limonadas de mango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$7.000.000 ($3,5 M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$35.000 c/u en carta</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2023</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Dic. 2023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Barú</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8 mojitos / 5 piñas coladas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$400.000 / $625.000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2023</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May. 2024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Bocagrande (Playa Hollywood)</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langostas (800 g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$2.400.000 ($1,2 M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Tiempo, s.f.-b</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Nov. 2024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(restaurante)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Picadas, platos y propina</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$600.000 + $185.000 + $312.000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2024b</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Nov. 2024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(coche de caballos)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Paseo en coche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$90.000-$240.000 (tarifa oficial)</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2024b</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Dic. 2023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(coche de caballos)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Paseo en coche (turista canadiense)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$22.200.000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$100.000 (tarifa acordada)</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2023</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Reciente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Playa Blanca (Barú)</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bebidas + “servicio”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$336.000 (incl. $250.000 de servicio)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$30.000 pactados + consumo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Semana, s.f.</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Jul. 2025</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(restaurante)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 comidas, 2 cócteles y parlante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$6.500.000 (2.º cobro $12.000.000)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Ajustado por mediación policial</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2025; Infobae, 2025</w:t>
            </w:r>
          </w:p>
        </w:tc>
      </w:tr>
    </w:tbl>
    <w:p>
      <w:pPr>
        <w:spacing w:after="320" w:before="80"/>
        <w:jc w:val="left"/>
      </w:pPr>
      <w:r>
        <w:rPr>
          <w:rFonts w:ascii="Times New Roman" w:cs="Times New Roman" w:eastAsia="Times New Roman" w:hAnsi="Times New Roman"/>
          <w:i/>
          <w:iCs/>
          <w:sz w:val="19"/>
          <w:szCs w:val="19"/>
        </w:rPr>
        <w:t xml:space="preserve">Nota. Elaboración propia a partir de las fuentes periodísticas citadas en la columna “Fuente” (véanse las Referencias). Los valores de referencia corresponden a precios de carta o tarifas oficiales mencionados en las mismas fuentes.</w:t>
      </w:r>
    </w:p>
    <w:p>
      <w:pPr>
        <w:sectPr>
          <w:headerReference w:type="default" r:id="rId15"/>
          <w:footerReference w:type="default" r:id="rId1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La Tabla 2 combina las tarifas oficiales de transporte turístico vigentes, reguladas por distintas entidades distritales o gremiales.</w:t>
      </w:r>
    </w:p>
    <w:p>
      <w:pPr>
        <w:sectPr>
          <w:headerReference w:type="default" r:id="rId17"/>
          <w:footerReference w:type="default" r:id="rId18"/>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2. Tarifas oficiales vigentes de transporte turístico en Cartagena de Indias.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400"/>
        <w:gridCol w:w="3000"/>
      </w:tblGrid>
      <w:tr>
        <w:trPr>
          <w:tblHeader/>
        </w:trPr>
        <w:tc>
          <w:tcPr>
            <w:tcW w:type="dxa" w:w="2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Servicio</w:t>
            </w:r>
          </w:p>
        </w:tc>
        <w:tc>
          <w:tcPr>
            <w:tcW w:type="dxa" w:w="3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Tarifa oficial</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Entidad reguladora</w:t>
            </w:r>
          </w:p>
        </w:tc>
        <w:tc>
          <w:tcPr>
            <w:tcW w:type="dxa" w:w="3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Fuente</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Taxi (carrera mínima, 2026)</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$12.250 + recargo nocturno de $1.100 (7:00 p.m.-5:00 a.m.)</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Alcaldía de Cartagena / DATT</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2026 (Decreto 0051 de 2026)</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de caballos tradicional</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Corto (20 min): $90.000 · Largo (40 min): $180.000 · Especial (1 h): $240.000</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Asociación Cartagenera de Cocheros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2023</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eléctrico turístico (2026)</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Corto (30 min): $170.000-$200.000 · Largo (1 h): $300.000-$350.000, según temporada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DATT / Corpoturismo</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Cartagena Alerta, 2026</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Lancha a Islas del Rosario / Barú (día completo)</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Entre $150.000 y $330.000 por persona, según operador e inclusiones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Operadores turísticos registrados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Cartagena Tours, s.f.</w:t>
            </w:r>
          </w:p>
        </w:tc>
      </w:tr>
    </w:tbl>
    <w:p>
      <w:pPr>
        <w:spacing w:after="320" w:before="80"/>
        <w:jc w:val="left"/>
      </w:pPr>
      <w:r>
        <w:rPr>
          <w:rFonts w:ascii="Times New Roman" w:cs="Times New Roman" w:eastAsia="Times New Roman" w:hAnsi="Times New Roman"/>
          <w:i/>
          <w:iCs/>
          <w:sz w:val="19"/>
          <w:szCs w:val="19"/>
        </w:rPr>
        <w:t xml:space="preserve">Nota. Las tarifas de coches y lanchas pueden variar por temporada, negociación directa o inclusión de comidas; se recomienda siempre solicitar la tarifa por escrito antes de iniciar el servicio.</w:t>
      </w:r>
    </w:p>
    <w:p>
      <w:pPr>
        <w:sectPr>
          <w:headerReference w:type="default" r:id="rId19"/>
          <w:footerReference w:type="default" r:id="rId20"/>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La Tabla 3 compara los precios oficiales de referencia establecidos por la Alcaldía para dos playas distintas, evidenciando que incluso los precios “oficiales” varían de forma considerable entre zonas de la ciudad.</w:t>
      </w:r>
    </w:p>
    <w:p>
      <w:pPr>
        <w:sectPr>
          <w:headerReference w:type="default" r:id="rId21"/>
          <w:footerReference w:type="default" r:id="rId22"/>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3. Comparación de precios de referencia oficiales entre La Boquilla y Cholón.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2700"/>
        <w:gridCol w:w="2800"/>
      </w:tblGrid>
      <w:tr>
        <w:trPr>
          <w:tblHeader/>
        </w:trPr>
        <w:tc>
          <w:tcPr>
            <w:tcW w:type="dxa" w:w="2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Ítem</w:t>
            </w:r>
          </w:p>
        </w:tc>
        <w:tc>
          <w:tcPr>
            <w:tcW w:type="dxa" w:w="2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La Boquilla (2025)</w:t>
            </w:r>
          </w:p>
        </w:tc>
        <w:tc>
          <w:tcPr>
            <w:tcW w:type="dxa" w:w="2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Cholón (lista 2024-2025)</w:t>
            </w:r>
          </w:p>
        </w:tc>
        <w:tc>
          <w:tcPr>
            <w:tcW w:type="dxa" w:w="2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Observación</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Parasol + sillas + mesa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$50.000 (2 sillas + 1 mesa)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Parasol $50.000 · Kiosko $100.000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Cholón cobra el kiosko aparte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Cerveza / gaseosa / agua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Desde $5.000</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Cerveza nacional $15.000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3 veces en cerveza</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Ceviche</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 (300 g)</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$150.000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2,5 veces</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Langosta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incluida en la lista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$255.000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Ausente en la lista de La Boquilla</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Limonada de coco</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$30.000</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1,7 veces</w:t>
            </w:r>
          </w:p>
        </w:tc>
      </w:tr>
    </w:tbl>
    <w:p>
      <w:pPr>
        <w:spacing w:after="320" w:before="80"/>
        <w:jc w:val="left"/>
      </w:pPr>
      <w:r>
        <w:rPr>
          <w:rFonts w:ascii="Times New Roman" w:cs="Times New Roman" w:eastAsia="Times New Roman" w:hAnsi="Times New Roman"/>
          <w:i/>
          <w:iCs/>
          <w:sz w:val="19"/>
          <w:szCs w:val="19"/>
        </w:rPr>
        <w:t xml:space="preserve">Nota. Elaboración propia a partir de La FM (2025) y El Tiempo (s.f.-a) (lista de Cholón). La lista de Cholón generó controversia pública por considerarse excesiva para una playa popular (El Tiempo, s.f.-a).</w:t>
      </w:r>
    </w:p>
    <w:p>
      <w:pPr>
        <w:sectPr>
          <w:headerReference w:type="default" r:id="rId23"/>
          <w:footerReference w:type="default" r:id="rId24"/>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Además de los datos tabulados, la revisión encontró que el 85 % de los prestadores investigados en operativos de control (34 operativos, 254 prestadores impactados en julio de 2025) presentaban algún tipo de irregularidad en el manejo de precios (El Universal, 2025), y que la Superintendencia de Industria y Comercio prohibió expresamente el cobro en dólares a partir de enero de 2024, con sanciones de hasta 2.000 salarios mínimos legales vigentes para quien lo incumpla (Portafolio, 2024).</w:t>
      </w:r>
    </w:p>
    <w:p>
      <w:pPr>
        <w:spacing w:after="200" w:line="360"/>
        <w:jc w:val="both"/>
      </w:pPr>
      <w:r>
        <w:rPr>
          <w:rFonts w:ascii="Times New Roman" w:cs="Times New Roman" w:eastAsia="Times New Roman" w:hAnsi="Times New Roman"/>
          <w:sz w:val="24"/>
          <w:szCs w:val="24"/>
        </w:rPr>
        <w:t xml:space="preserve">La Figura 4 ilustra la magnitud relativa del sobrecobro en cuatro de los casos documentados en la Tabla 1 que cuentan con un valor de referencia claro, expresada como la razón entre el valor efectivamente cobrado y el valor de referencia o la tarifa oficial correspondiente.</w:t>
      </w:r>
    </w:p>
    <w:p>
      <w:pPr>
        <w:sectPr>
          <w:headerReference w:type="default" r:id="rId25"/>
          <w:footerReference w:type="default" r:id="rId26"/>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5334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267075"/>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4. Magnitud del sobrecobro en cuatro casos documentados, frente al valor de referencia o la tarifa oficial correspondiente. Elaboración propia a partir de El Universal (2023, 2025), Infobae (2023, 2024b) y Semana (s.f.).</w:t>
      </w:r>
    </w:p>
    <w:p>
      <w:pPr>
        <w:sectPr>
          <w:headerReference w:type="default" r:id="rId27"/>
          <w:footerReference w:type="default" r:id="rId28"/>
          <w:type w:val="continuous"/>
          <w:pgSz w:w="12240" w:h="15840" w:orient="portrait"/>
          <w:pgMar w:top="720" w:right="720" w:bottom="720" w:left="720" w:header="708" w:footer="708" w:gutter="0"/>
          <w:pgNumType/>
          <w:cols w:num="1"/>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6.4 Argumentación crítica de los resultados</w:t>
      </w:r>
    </w:p>
    <w:p>
      <w:pPr>
        <w:spacing w:after="200" w:line="360"/>
        <w:jc w:val="both"/>
      </w:pPr>
      <w:r>
        <w:rPr>
          <w:rFonts w:ascii="Times New Roman" w:cs="Times New Roman" w:eastAsia="Times New Roman" w:hAnsi="Times New Roman"/>
          <w:b/>
          <w:bCs/>
          <w:i w:val="false"/>
          <w:iCs w:val="false"/>
          <w:sz w:val="24"/>
          <w:szCs w:val="24"/>
        </w:rPr>
        <w:t xml:space="preserve">Diseños. </w:t>
      </w:r>
      <w:r>
        <w:rPr>
          <w:rFonts w:ascii="Times New Roman" w:cs="Times New Roman" w:eastAsia="Times New Roman" w:hAnsi="Times New Roman"/>
          <w:b w:val="false"/>
          <w:bCs w:val="false"/>
          <w:i w:val="false"/>
          <w:iCs w:val="false"/>
          <w:sz w:val="24"/>
          <w:szCs w:val="24"/>
        </w:rPr>
        <w:t xml:space="preserve">La evidencia disponible combina reportes de prensa sobre casos individuales con datos agregados institucionales, pero no existe un estudio con muestreo representativo del universo de turistas que visitan Cartagena. Esto impide estimar con precisión qué proporción de visitantes es efectivamente afectada por sobrecobros, más allá de los 289 reportes formales registrados entre enero y julio de 2025 (El Universal, 2025), cifra que solo refleja los casos denunciados.</w:t>
      </w:r>
    </w:p>
    <w:p>
      <w:pPr>
        <w:spacing w:after="200" w:line="360"/>
        <w:jc w:val="both"/>
      </w:pPr>
      <w:r>
        <w:rPr>
          <w:rFonts w:ascii="Times New Roman" w:cs="Times New Roman" w:eastAsia="Times New Roman" w:hAnsi="Times New Roman"/>
          <w:b/>
          <w:bCs/>
          <w:i w:val="false"/>
          <w:iCs w:val="false"/>
          <w:sz w:val="24"/>
          <w:szCs w:val="24"/>
        </w:rPr>
        <w:t xml:space="preserve">Sesgos. </w:t>
      </w:r>
      <w:r>
        <w:rPr>
          <w:rFonts w:ascii="Times New Roman" w:cs="Times New Roman" w:eastAsia="Times New Roman" w:hAnsi="Times New Roman"/>
          <w:b w:val="false"/>
          <w:bCs w:val="false"/>
          <w:i w:val="false"/>
          <w:iCs w:val="false"/>
          <w:sz w:val="24"/>
          <w:szCs w:val="24"/>
        </w:rPr>
        <w:t xml:space="preserve">Los casos más difundidos por los medios corresponden a montos extraordinarios que generan indignación y viralidad, lo que puede sobrerrepresentar los casos más extremos frente a sobrecobros más moderados y frecuentes que no llegan a la prensa. Existe también un sesgo hacia turistas extranjeros o con presencia en redes sociales, con mayor probabilidad de denunciar públicamente que un turista nacional o de bajos recursos.</w:t>
      </w:r>
    </w:p>
    <w:p>
      <w:pPr>
        <w:spacing w:after="200" w:line="360"/>
        <w:jc w:val="both"/>
      </w:pPr>
      <w:r>
        <w:rPr>
          <w:rFonts w:ascii="Times New Roman" w:cs="Times New Roman" w:eastAsia="Times New Roman" w:hAnsi="Times New Roman"/>
          <w:b/>
          <w:bCs/>
          <w:i w:val="false"/>
          <w:iCs w:val="false"/>
          <w:sz w:val="24"/>
          <w:szCs w:val="24"/>
        </w:rPr>
        <w:t xml:space="preserve">Limitaciones. </w:t>
      </w:r>
      <w:r>
        <w:rPr>
          <w:rFonts w:ascii="Times New Roman" w:cs="Times New Roman" w:eastAsia="Times New Roman" w:hAnsi="Times New Roman"/>
          <w:b w:val="false"/>
          <w:bCs w:val="false"/>
          <w:i w:val="false"/>
          <w:iCs w:val="false"/>
          <w:sz w:val="24"/>
          <w:szCs w:val="24"/>
        </w:rPr>
        <w:t xml:space="preserve">Ninguna de las iniciativas institucionales revisadas cubre la totalidad de la ciudad ni concentra la información en un solo canal fácil de consultar por el turista en el momento de pagar. Las tarifas de transporte cambian por temporada o por decreto anual, lo que exige actualización constante. Y el propio ejercicio de “oficializar” precios ha sido cuestionado: la lista de precios de Cholón fue criticada por sectores de la opinión pública por considerarse que “legalizaba el abuso” en lugar de prevenirlo (El Tiempo, s.f.-a), lo que muestra que fijar una tarifa oficial no resuelve por sí solo la percepción de un precio justo.</w:t>
      </w:r>
    </w:p>
    <w:p>
      <w:pPr>
        <w:spacing w:after="200" w:line="360"/>
        <w:jc w:val="both"/>
      </w:pPr>
      <w:r>
        <w:rPr>
          <w:rFonts w:ascii="Times New Roman" w:cs="Times New Roman" w:eastAsia="Times New Roman" w:hAnsi="Times New Roman"/>
          <w:b/>
          <w:bCs/>
          <w:i w:val="false"/>
          <w:iCs w:val="false"/>
          <w:sz w:val="24"/>
          <w:szCs w:val="24"/>
        </w:rPr>
        <w:t xml:space="preserve">Conclusiones extraídas por los propios actores. </w:t>
      </w:r>
      <w:r>
        <w:rPr>
          <w:rFonts w:ascii="Times New Roman" w:cs="Times New Roman" w:eastAsia="Times New Roman" w:hAnsi="Times New Roman"/>
          <w:b w:val="false"/>
          <w:bCs w:val="false"/>
          <w:i w:val="false"/>
          <w:iCs w:val="false"/>
          <w:sz w:val="24"/>
          <w:szCs w:val="24"/>
        </w:rPr>
        <w:t xml:space="preserve">Las autoridades distritales reconocen la magnitud del problema y han pasado de una respuesta puramente reactiva hacia herramientas más preventivas. Sin embargo, la controversia por la lista de Cholón sugiere que la comunidad y los propios turistas no siempre coinciden con las autoridades en qué constituye un precio razonable, lo que refuerza la necesidad de una herramienta transparente que muestre no solo la tarifa oficial, sino también el rango de precios de referencia observado en cada zona.</w:t>
      </w:r>
    </w:p>
    <w:p>
      <w:pPr>
        <w:pStyle w:val="Heading2"/>
        <w:spacing w:after="140" w:before="220"/>
      </w:pPr>
      <w:r>
        <w:rPr>
          <w:rFonts w:ascii="Times New Roman" w:cs="Times New Roman" w:eastAsia="Times New Roman" w:hAnsi="Times New Roman"/>
          <w:b/>
          <w:bCs/>
          <w:color w:val="000000"/>
          <w:sz w:val="25"/>
          <w:szCs w:val="25"/>
        </w:rPr>
        <w:t xml:space="preserve">6.5 Propuesta funcional: diagramas de flujo de la aplicación</w:t>
      </w:r>
    </w:p>
    <w:p>
      <w:pPr>
        <w:spacing w:after="200" w:line="360"/>
        <w:jc w:val="both"/>
      </w:pPr>
      <w:r>
        <w:rPr>
          <w:rFonts w:ascii="Times New Roman" w:cs="Times New Roman" w:eastAsia="Times New Roman" w:hAnsi="Times New Roman"/>
          <w:sz w:val="24"/>
          <w:szCs w:val="24"/>
        </w:rPr>
        <w:t xml:space="preserve">A partir de la evidencia y el marco teórico anteriores se diseñó la lógica funcional de una aplicación que permita al turista consultar, antes de pagar, la tarifa oficial o el rango de precio de referencia para la zona y el tipo de servicio en el que se encuentra, y reportar directamente cualquier irregularidad. La Figura 2 presenta el flujo desde la perspectiva del turista.</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409575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95750" cy="6219825"/>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2. Flujo de verificación de precios por el turista a través de la aplicación propuesta. Elaboración propia.</w:t>
      </w:r>
    </w:p>
    <w:p>
      <w:pPr>
        <w:sectPr>
          <w:headerReference w:type="default" r:id="rId31"/>
          <w:footerReference w:type="default" r:id="rId32"/>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Cuando el turista reporta una irregularidad, el caso pasa a un flujo institucional que refleja el proceso ya utilizado en la práctica por canales como Titán Chat y la Policía de Turismo (Infobae, 2024b, 2025). La Figura 3 presenta este flujo.</w:t>
      </w:r>
    </w:p>
    <w:p>
      <w:pPr>
        <w:sectPr>
          <w:headerReference w:type="default" r:id="rId33"/>
          <w:footerReference w:type="default" r:id="rId34"/>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5657850"/>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3. Flujo institucional de atención de una denuncia por sobrecobro a un turista. Elaboración propia a partir de El Universal (2025) e Infobae (2024b, 2025).</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Más allá de la comparación de un cobro puntual, la propuesta contempla una segunda capa funcional que va más allá de lo que ofrece Visit Cartagena: agregar en un mapa único las recomendaciones y la carta de precios de comercios de Cartagena, junto con un historial de las calificaciones (“estrellas”) que cada local recibe en distintas plataformas de reseñas, de modo que el turista vea no solo el precio de referencia sino también la reputación acumulada del establecimiento antes de decidir. Esta ambición adicional depende directamente de si es viable, legal y sostenible extraer o reutilizar información generada por terceros (Google Maps, TripAdvisor y plataformas similares), lo que se analiza en la sección 6.6.</w:t>
      </w:r>
    </w:p>
    <w:p>
      <w:pPr>
        <w:spacing w:after="200" w:line="360"/>
        <w:jc w:val="both"/>
      </w:pPr>
      <w:r>
        <w:rPr>
          <w:rFonts w:ascii="Times New Roman" w:cs="Times New Roman" w:eastAsia="Times New Roman" w:hAnsi="Times New Roman"/>
          <w:sz w:val="24"/>
          <w:szCs w:val="24"/>
        </w:rPr>
        <w:t>Adicionalmente, el prototipo incorpora los módulos Actores y Encuesta descritos en la sección 5.7, que implementan las fases de levantamiento de actores, caracterización de prestadores e identificación del dolor principal del turista exigidas por la metodología de trabajo del proyecto, y que retroalimentan de forma continua la definición de los requerimientos de la aplicación. La pestaña Panel, por su parte, muestra un tablero con 20 encuestas simuladas para demostrar el análisis de resultados, cuyo alcance y limitaciones se explican en la sección 6.7.</w:t>
      </w:r>
    </w:p>
    <w:p>
      <w:pPr>
        <w:pStyle w:val="Heading2"/>
        <w:spacing w:after="140" w:before="220"/>
      </w:pPr>
      <w:r>
        <w:rPr>
          <w:rFonts w:ascii="Times New Roman" w:cs="Times New Roman" w:eastAsia="Times New Roman" w:hAnsi="Times New Roman"/>
          <w:b/>
          <w:bCs/>
          <w:color w:val="000000"/>
          <w:sz w:val="25"/>
          <w:szCs w:val="25"/>
        </w:rPr>
        <w:t xml:space="preserve">6.6 Consideraciones legales sobre el uso de datos de terceros</w:t>
      </w:r>
    </w:p>
    <w:p>
      <w:pPr>
        <w:spacing w:after="200" w:line="360"/>
        <w:jc w:val="both"/>
      </w:pPr>
      <w:r>
        <w:rPr>
          <w:rFonts w:ascii="Times New Roman" w:cs="Times New Roman" w:eastAsia="Times New Roman" w:hAnsi="Times New Roman"/>
          <w:sz w:val="24"/>
          <w:szCs w:val="24"/>
        </w:rPr>
        <w:t xml:space="preserve">La idea de “jalar” —extraer mediante scraping— las calificaciones, reseñas y cartas que Google Maps, TripAdvisor u otras plataformas muestran para los comercios de Cartagena, con el fin de construir un historial de reputación dentro de Precio Claro, plantea al menos tres capas de riesgo legal distintas en el contexto colombiano, que conviene separar con claridad.</w:t>
      </w:r>
    </w:p>
    <w:p>
      <w:pPr>
        <w:spacing w:after="200" w:line="360"/>
        <w:jc w:val="both"/>
      </w:pPr>
      <w:r>
        <w:rPr>
          <w:rFonts w:ascii="Times New Roman" w:cs="Times New Roman" w:eastAsia="Times New Roman" w:hAnsi="Times New Roman"/>
          <w:b/>
          <w:bCs/>
          <w:i w:val="false"/>
          <w:iCs w:val="false"/>
          <w:sz w:val="24"/>
          <w:szCs w:val="24"/>
        </w:rPr>
        <w:t xml:space="preserve">Riesgo penal (Ley 1273 de 2009). </w:t>
      </w:r>
      <w:r>
        <w:rPr>
          <w:rFonts w:ascii="Times New Roman" w:cs="Times New Roman" w:eastAsia="Times New Roman" w:hAnsi="Times New Roman"/>
          <w:b w:val="false"/>
          <w:bCs w:val="false"/>
          <w:i w:val="false"/>
          <w:iCs w:val="false"/>
          <w:sz w:val="24"/>
          <w:szCs w:val="24"/>
        </w:rPr>
        <w:t xml:space="preserve">El artículo 269A del Código Penal colombiano sanciona el “acceso abusivo a un sistema informático” cuando se accede “sin autorización o por fuera de lo acordado”, con penas de 4 a 8 años de prisión (Congreso de la República de Colombia, 2009). Sin embargo, la jurisprudencia reciente exige probar técnicamente el acceso indebido —por ejemplo, la vulneración de una medida de seguridad— y no basta con la sola tenencia de información públicamente visible (Estudio Penal, s.f.). En principio, extraer datos que cualquier persona puede ver sin iniciar sesión ni sortear un CAPTCHA u otra barrera técnica no encajaría automáticamente en este tipo penal; el riesgo aumenta si el scraping evade medidas de seguridad o usa credenciales no autorizadas.</w:t>
      </w:r>
    </w:p>
    <w:p>
      <w:pPr>
        <w:spacing w:after="200" w:line="360"/>
        <w:jc w:val="both"/>
      </w:pPr>
      <w:r>
        <w:rPr>
          <w:rFonts w:ascii="Times New Roman" w:cs="Times New Roman" w:eastAsia="Times New Roman" w:hAnsi="Times New Roman"/>
          <w:b/>
          <w:bCs/>
          <w:i w:val="false"/>
          <w:iCs w:val="false"/>
          <w:sz w:val="24"/>
          <w:szCs w:val="24"/>
        </w:rPr>
        <w:t xml:space="preserve">Riesgo contractual (términos de servicio). </w:t>
      </w:r>
      <w:r>
        <w:rPr>
          <w:rFonts w:ascii="Times New Roman" w:cs="Times New Roman" w:eastAsia="Times New Roman" w:hAnsi="Times New Roman"/>
          <w:b w:val="false"/>
          <w:bCs w:val="false"/>
          <w:i w:val="false"/>
          <w:iCs w:val="false"/>
          <w:sz w:val="24"/>
          <w:szCs w:val="24"/>
        </w:rPr>
        <w:t xml:space="preserve">Independientemente de lo penal, tanto Google como TripAdvisor prohíben expresamente en sus términos de servicio la extracción automatizada de su contenido: los Términos de la Plataforma de Google Maps establecen que los clientes “no deben exportar, extraer o de otro modo hacer scraping del contenido de Google Maps” (Google for Developers, s.f.; Thunderbit, s.f.). Incumplir estos términos no es un delito, pero sí puede derivar en el bloqueo de la cuenta o la dirección IP, y eventualmente en una demanda civil por incumplimiento contractual si Precio Claro llegara a operar a partir de una cuenta o acceso sujeto a esos términos.</w:t>
      </w:r>
    </w:p>
    <w:p>
      <w:pPr>
        <w:spacing w:after="200" w:line="360"/>
        <w:jc w:val="both"/>
      </w:pPr>
      <w:r>
        <w:rPr>
          <w:rFonts w:ascii="Times New Roman" w:cs="Times New Roman" w:eastAsia="Times New Roman" w:hAnsi="Times New Roman"/>
          <w:b/>
          <w:bCs/>
          <w:i w:val="false"/>
          <w:iCs w:val="false"/>
          <w:sz w:val="24"/>
          <w:szCs w:val="24"/>
        </w:rPr>
        <w:t xml:space="preserve">Riesgo de datos personales y propiedad intelectual (Ley 1581 de 2012). </w:t>
      </w:r>
      <w:r>
        <w:rPr>
          <w:rFonts w:ascii="Times New Roman" w:cs="Times New Roman" w:eastAsia="Times New Roman" w:hAnsi="Times New Roman"/>
          <w:b w:val="false"/>
          <w:bCs w:val="false"/>
          <w:i w:val="false"/>
          <w:iCs w:val="false"/>
          <w:sz w:val="24"/>
          <w:szCs w:val="24"/>
        </w:rPr>
        <w:t xml:space="preserve">Los nombres, fotos de perfil y opiniones de quienes escriben una reseña son datos personales y contenido con derechos de autor de su respectivo titular. La Ley 1581 de 2012 exige una base legal para tratar datos personales de terceros (Congreso de la República de Colombia, 2012); replicar en Precio Claro el nombre y la foto de cada reseñador, sin su autorización y sin la del responsable del tratamiento (Google o TripAdvisor), añade una capa adicional de riesgo independiente de si el scraping en sí mismo es constitutivo de delito.</w:t>
      </w:r>
    </w:p>
    <w:p>
      <w:pPr>
        <w:spacing w:after="200" w:line="360"/>
        <w:jc w:val="both"/>
      </w:pPr>
      <w:r>
        <w:rPr>
          <w:rFonts w:ascii="Times New Roman" w:cs="Times New Roman" w:eastAsia="Times New Roman" w:hAnsi="Times New Roman"/>
          <w:sz w:val="24"/>
          <w:szCs w:val="24"/>
        </w:rPr>
        <w:t xml:space="preserve">En síntesis, extraer directamente el contenido de Google Maps o TripAdvisor mediante scraping no sería, en la mayoría de los escenarios plausibles, un delito informático bajo la Ley 1273 de 2009, pero sí violaría los términos contractuales de esas plataformas y expondría a Precio Claro a riesgos civiles y de protección de datos. La vía legalmente más segura es replicar solo lo que la propia Google ofrece mediante su Places API: esta permite mostrar calificaciones y reseñas de forma autorizada, pero exige atribución visible (nombre y enlace al autor, y logotipo o texto “Google Maps”), prohíbe almacenar o cachear ese contenido más allá de lo estrictamente permitido —con la excepción del identificador del lugar (“place ID”), que sí puede guardarse indefinidamente— y tiene un costo por consulta (Google for Developers, s.f.). Para las cartas de los restaurantes, la alternativa más segura no es extraerlas de terceros sino acordar directamente con cada negocio la publicación de su propia carta y sus propios precios dentro de la aplicación, como ya hace Precio Claro con las tarifas oficiales de transporte y las listas distritales de precios en playas. Esta ruta, aunque exige más trabajo de alianzas comerciales que un scraper automatizado, es la que evita los tres riesgos descritos y es coherente con el enfoque de la aplicación como verificador de tarifas oficiales y no como un directorio derivado de otras plataformas.</w:t>
      </w:r>
    </w:p>
    <w:p>
      <w:pPr>
        <w:pStyle w:val="Heading2"/>
        <w:spacing w:after="140" w:before="220"/>
      </w:pPr>
      <w:r>
        <w:rPr>
          <w:rFonts w:ascii="Times New Roman" w:cs="Times New Roman" w:eastAsia="Times New Roman" w:hAnsi="Times New Roman"/>
          <w:b/>
          <w:bCs/>
          <w:color w:val="000000"/>
          <w:sz w:val="25"/>
          <w:szCs w:val="25"/>
        </w:rPr>
        <w:t xml:space="preserve">6.7 Validación preliminar del prototipo con datos simulados</w:t>
      </w:r>
    </w:p>
    <w:p>
      <w:pPr>
        <w:spacing w:after="200" w:line="360"/>
        <w:jc w:val="both"/>
      </w:pPr>
      <w:r>
        <w:rPr>
          <w:rFonts w:ascii="Times New Roman" w:cs="Times New Roman" w:eastAsia="Times New Roman" w:hAnsi="Times New Roman"/>
          <w:b/>
          <w:bCs/>
          <w:i w:val="false"/>
          <w:iCs w:val="false"/>
          <w:sz w:val="24"/>
          <w:szCs w:val="24"/>
        </w:rPr>
        <w:t xml:space="preserve">Aclaración fundamental. </w:t>
      </w:r>
      <w:r>
        <w:rPr>
          <w:rFonts w:ascii="Times New Roman" w:cs="Times New Roman" w:eastAsia="Times New Roman" w:hAnsi="Times New Roman"/>
          <w:sz w:val="24"/>
          <w:szCs w:val="24"/>
        </w:rPr>
        <w:t xml:space="preserve">Para demostrar el funcionamiento del módulo de análisis del prototipo —la pestaña Panel de la aplicación— se generaron 20 respuestas de encuesta de forma aleatoria, siguiendo la misma estructura del instrumento descrito en la sección 5.7: percepción de sobrecobro, expectativas frente a la aplicación (pregunta de opción múltiple) y facilidad de uso en una escala de 1 a 5 estrellas. </w:t>
      </w:r>
    </w:p>
    <w:p>
      <w:pPr>
        <w:spacing w:after="200" w:line="360"/>
        <w:jc w:val="both"/>
      </w:pPr>
      <w:r>
        <w:rPr>
          <w:rFonts w:ascii="Times New Roman" w:cs="Times New Roman" w:eastAsia="Times New Roman" w:hAnsi="Times New Roman"/>
          <w:sz w:val="24"/>
          <w:szCs w:val="24"/>
        </w:rPr>
        <w:t xml:space="preserve">Estas 20 respuestas son datos simulados con fines de demostración técnica. No provienen de trabajo de campo, no representan la opinión de turistas reales y, por lo tanto, no constituyen evidencia empírica ni permiten extraer conclusiones sobre la frecuencia o las causas del sobrecobro en Cartagena. En la aplicación, cada respuesta lleva la marca es_simulada = true en la base de datos y el Panel muestra un aviso permanente que lo indica, de modo que nunca se mezclan con las respuestas reales recogidas en la pestaña Encuesta.</w:t>
      </w:r>
    </w:p>
    <w:p>
      <w:pPr>
        <w:spacing w:after="200" w:line="360"/>
        <w:jc w:val="both"/>
      </w:pPr>
      <w:r>
        <w:rPr>
          <w:rFonts w:ascii="Times New Roman" w:cs="Times New Roman" w:eastAsia="Times New Roman" w:hAnsi="Times New Roman"/>
          <w:sz w:val="24"/>
          <w:szCs w:val="24"/>
        </w:rPr>
        <w:t xml:space="preserve">La generación se hizo con un procedimiento reproducible (semilla aleatoria fija, 2026). Se estableció de antemano una distribución de 12 respuestas “sí”, 5 “no” y 3 “no estoy seguro” para la pregunta de sobrecobro; las expectativas elegidas, las calificaciones de facilidad de uso, las fechas (entre el 15 de septiembre y el 2 de octubre de 2026) y los relatos o comentarios se asignaron al azar a partir de formulaciones plausibles redactadas por el equipo. La Tabla 5 resume los indicadores que calcula el Panel y la Figura 4 los muestra gráficamente.</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5. Indicadores calculados por el Panel sobre las 20 encuestas simuladas (datos de demostración).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4200"/>
      </w:tblGrid>
      <w:tr>
        <w:trPr>
          <w:tblHeader/>
        </w:trPr>
        <w:tc>
          <w:tcPr>
            <w:tcW w:type="dxa" w:w="4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Indicador</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Resultado</w:t>
            </w:r>
          </w:p>
        </w:tc>
        <w:tc>
          <w:tcPr>
            <w:tcW w:type="dxa" w:w="4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Detalle</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simuladas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20</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Generadas aleatoriamente (semilla 2026)</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sí</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 (60 %)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Distribución definida de antemano; no es un hallazgo</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no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 (25 %)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no está seguro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 (15 %)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comparar con lo que pagaron otros turistas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 (60 %)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Opción múltiple; los porcentajes no suman 100 %</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reportar un cobro injusto fácilmente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11 (55 %)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ver el precio oficial antes de pagar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 (50 %)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ver la reputación del sitio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 (50 %)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Facilidad de uso promedio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 de 5</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 5 · 4★: 11 · 3★: 3 · 2★: 1 · 1★: 0</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con relato o comentario libre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13 de 20</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 relatos de sobrecobro y 11 comentarios; algunas respuestas incluyen ambos</w:t>
            </w:r>
          </w:p>
        </w:tc>
      </w:tr>
    </w:tbl>
    <w:p>
      <w:pPr>
        <w:spacing w:after="320" w:before="80"/>
        <w:jc w:val="left"/>
      </w:pPr>
      <w:r>
        <w:rPr>
          <w:rFonts w:ascii="Times New Roman" w:cs="Times New Roman" w:eastAsia="Times New Roman" w:hAnsi="Times New Roman"/>
          <w:i/>
          <w:iCs/>
          <w:sz w:val="19"/>
          <w:szCs w:val="19"/>
        </w:rPr>
        <w:t>Nota. Elaboración propia. Todos los valores provienen de datos simulados y solo ilustran las capacidades de cálculo del Panel; no deben citarse como resultados de la investigación.</w:t>
      </w:r>
    </w:p>
    <w:p>
      <w:pPr>
        <w:keepNext/>
        <w:spacing w:after="80" w:before="120"/>
        <w:jc w:val="center"/>
      </w:pPr>
      <w:r>
        <w:drawing>
          <wp:inline distT="0" distB="0" distL="0" distR="0">
            <wp:extent cx="5905500" cy="2093768"/>
            <wp:effectExtent t="0" r="0" b="0" l="0"/>
            <wp:docPr id="301" name="Figura 4" descr="Gráficos de barras con las respuestas simuladas: sobrecobro percibido, expectativas y facilidad de us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png" descr="Gráficos de barras con las respuestas simuladas: sobrecobro percibido, expectativas y facilidad de uso"/>
                    <pic:cNvPicPr>
                      <a:picLocks noChangeAspect="1" noChangeArrowheads="1"/>
                    </pic:cNvPicPr>
                  </pic:nvPicPr>
                  <pic:blipFill>
                    <a:blip r:embed="rId46" cstate="none"/>
                    <a:srcRect/>
                    <a:stretch>
                      <a:fillRect/>
                    </a:stretch>
                  </pic:blipFill>
                  <pic:spPr bwMode="auto">
                    <a:xfrm>
                      <a:off x="0" y="0"/>
                      <a:ext cx="5905500" cy="2093768"/>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4. Resultados de las 20 encuestas SIMULADAS mostrados en el Panel del prototipo (datos de demostración, no de trabajo de campo). Elaboración propia.</w:t>
      </w:r>
    </w:p>
    <w:p>
      <w:pPr>
        <w:sectPr>
          <w:headerReference w:type="default" r:id="rId27"/>
          <w:footerReference w:type="default" r:id="rId28"/>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b/>
          <w:bCs/>
          <w:i w:val="false"/>
          <w:iCs w:val="false"/>
          <w:sz w:val="24"/>
          <w:szCs w:val="24"/>
        </w:rPr>
        <w:t xml:space="preserve">Alcance y límites. </w:t>
      </w:r>
      <w:r>
        <w:rPr>
          <w:rFonts w:ascii="Times New Roman" w:cs="Times New Roman" w:eastAsia="Times New Roman" w:hAnsi="Times New Roman"/>
          <w:sz w:val="24"/>
          <w:szCs w:val="24"/>
        </w:rPr>
        <w:t xml:space="preserve">Lo que este ejercicio sí permite afirmar es de naturaleza técnica: el flujo completo del instrumento —formulario, almacenamiento en Supabase y visualización en el Panel— funciona de extremo a extremo, y el Panel calcula correctamente los indicadores previstos (porcentaje de sobrecobro, expectativa más elegida, promedio de facilidad de uso y listado de respuestas individuales con filtros). Lo que no permite afirmar es cualquier conclusión sustantiva: como la distribución de las respuestas fue fijada por el equipo, ninguno de los porcentajes de la Tabla 5 puede interpretarse como evidencia sobre la experiencia de los turistas.</w:t>
      </w:r>
    </w:p>
    <w:p>
      <w:pPr>
        <w:spacing w:after="200" w:line="360"/>
        <w:jc w:val="both"/>
      </w:pPr>
      <w:r>
        <w:rPr>
          <w:rFonts w:ascii="Times New Roman" w:cs="Times New Roman" w:eastAsia="Times New Roman" w:hAnsi="Times New Roman"/>
          <w:b/>
          <w:bCs/>
          <w:i w:val="false"/>
          <w:iCs w:val="false"/>
          <w:sz w:val="24"/>
          <w:szCs w:val="24"/>
        </w:rPr>
        <w:t xml:space="preserve">Mapa interactivo. </w:t>
      </w:r>
      <w:r>
        <w:rPr>
          <w:rFonts w:ascii="Times New Roman" w:cs="Times New Roman" w:eastAsia="Times New Roman" w:hAnsi="Times New Roman"/>
          <w:sz w:val="24"/>
          <w:szCs w:val="24"/>
        </w:rPr>
        <w:t xml:space="preserve">De forma complementaria, el módulo Mapa pasó de una representación esquemática a un mapa real de Cartagena, construido con la biblioteca Leaflet y la cartografía abierta de OpenStreetMap (© colaboradores de OpenStreetMap, licencia ODbL). El mapa ubica las cinco zonas turísticas del prototipo (Centro Histórico, Bocagrande, La Boquilla, Cholón y Playa Blanca), permite filtrarlas por categoría (ciudad o playas) y despliega, al seleccionar un marcador, una ventana con el rango de la carta de referencia y la calificación del prototipo, junto con el detalle de la carta y de las calificaciones por plataforma. Cada marcador señala el centro aproximado de la zona, no la dirección exacta de un comercio, y se mantiene lo señalado en la sección 6.6: las cartas y calificaciones son ilustrativas, salvo las listas oficiales de precios de La Boquilla y Cholón.</w:t>
      </w:r>
    </w:p>
    <w:p>
      <w:pPr>
        <w:spacing w:after="200" w:line="360"/>
        <w:jc w:val="both"/>
      </w:pPr>
      <w:r>
        <w:rPr>
          <w:rFonts w:ascii="Times New Roman" w:cs="Times New Roman" w:eastAsia="Times New Roman" w:hAnsi="Times New Roman"/>
          <w:b/>
          <w:bCs/>
          <w:i w:val="false"/>
          <w:iCs w:val="false"/>
          <w:sz w:val="24"/>
          <w:szCs w:val="24"/>
        </w:rPr>
        <w:t xml:space="preserve">Siguiente paso. </w:t>
      </w:r>
      <w:r>
        <w:rPr>
          <w:rFonts w:ascii="Times New Roman" w:cs="Times New Roman" w:eastAsia="Times New Roman" w:hAnsi="Times New Roman"/>
          <w:sz w:val="24"/>
          <w:szCs w:val="24"/>
        </w:rPr>
        <w:t xml:space="preserve">Para convertir este ejercicio en una validación real, el siguiente paso consiste en aplicar el instrumento a una muestra de turistas y prestadores definida previamente, con consentimiento informado y tratamiento de los datos conforme a la Ley 1581 de 2012, y eliminar o conservar aparte las respuestas simuladas para que no contaminen el análisis.</w:t>
      </w:r>
    </w:p>
    <w:p>
      <w:pPr>
        <w:pStyle w:val="Heading2"/>
        <w:spacing w:after="140" w:before="220"/>
      </w:pPr>
      <w:r>
        <w:rPr>
          <w:rFonts w:ascii="Times New Roman" w:cs="Times New Roman" w:eastAsia="Times New Roman" w:hAnsi="Times New Roman"/>
          <w:b/>
          <w:bCs/>
          <w:color w:val="000000"/>
          <w:sz w:val="25"/>
          <w:szCs w:val="25"/>
        </w:rPr>
        <w:t xml:space="preserve">6.8 Pantallazos del prototipo y comparación con Visit Cartagena</w:t>
      </w:r>
    </w:p>
    <w:p>
      <w:pPr>
        <w:spacing w:after="200" w:line="360"/>
        <w:jc w:val="both"/>
      </w:pPr>
      <w:r>
        <w:rPr>
          <w:rFonts w:ascii="Times New Roman" w:cs="Times New Roman" w:eastAsia="Times New Roman" w:hAnsi="Times New Roman"/>
          <w:sz w:val="24"/>
          <w:szCs w:val="24"/>
        </w:rPr>
        <w:t xml:space="preserve">Para documentar el estado actual del prototipo, las Figuras 5 y 6 muestran capturas de pantalla de la aplicación desplegada en producción, tomadas en octubre de 2026 con un ancho de pantalla equivalente al de un teléfono móvil: las pestañas de consulta de tarifas (Transporte), el mapa interactivo con una zona seleccionada, el Panel de resultados y el formulario de la Encuesta. A continuación se compara el prototipo con la aplicación oficial Visit Cartagena, descrita en la sección 2.3, con el fin de precisar qué aporta Precio Claro y qué funciones del referente oficial quedan fuera de su alcance.</w:t>
      </w:r>
    </w:p>
    <w:p>
      <w:pPr>
        <w:sectPr>
          <w:headerReference w:type="default" r:id="rId33"/>
          <w:footerReference w:type="default" r:id="rId34"/>
          <w:type w:val="continuous"/>
          <w:pgSz w:w="12240" w:h="15840" w:orient="portrait"/>
          <w:pgMar w:top="720" w:right="720" w:bottom="720" w:left="720" w:header="708" w:footer="708" w:gutter="0"/>
          <w:pgNumType/>
          <w:cols w:space="400" w:num="2"/>
          <w:docGrid w:linePitch="360"/>
        </w:sectPr>
      </w:pPr>
    </w:p>
    <w:p>
      <w:pPr>
        <w:keepNext/>
        <w:spacing w:after="80" w:before="120"/>
        <w:jc w:val="center"/>
      </w:pPr>
      <w:r>
        <w:drawing>
          <wp:inline distT="0" distB="0" distL="0" distR="0">
            <wp:extent cx="3200400" cy="3596034"/>
            <wp:effectExtent t="0" r="0" b="0" l="0"/>
            <wp:docPr id="302" name="Figura 302" descr="Capturas de las pestañas Transporte y Mapa de la aplicación Precio Clar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2.png" descr="Capturas de las pestañas Transporte y Mapa de la aplicación Precio Claro"/>
                    <pic:cNvPicPr>
                      <a:picLocks noChangeAspect="1" noChangeArrowheads="1"/>
                    </pic:cNvPicPr>
                  </pic:nvPicPr>
                  <pic:blipFill>
                    <a:blip r:embed="rId47" cstate="none"/>
                    <a:srcRect/>
                    <a:stretch>
                      <a:fillRect/>
                    </a:stretch>
                  </pic:blipFill>
                  <pic:spPr bwMode="auto">
                    <a:xfrm>
                      <a:off x="0" y="0"/>
                      <a:ext cx="3200400" cy="3596034"/>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5. Pantallazos de Precio Claro en producción: (a) pestaña Transporte con las tarifas de referencia; (b) pestaña Mapa con la zona Centro Histórico seleccionada, su ventana emergente y la carta de ejemplo. Elaboración propia.</w:t>
      </w:r>
    </w:p>
    <w:p>
      <w:pPr>
        <w:keepNext/>
        <w:spacing w:after="80" w:before="120"/>
        <w:jc w:val="center"/>
      </w:pPr>
      <w:r>
        <w:drawing>
          <wp:inline distT="0" distB="0" distL="0" distR="0">
            <wp:extent cx="3200400" cy="3610164"/>
            <wp:effectExtent t="0" r="0" b="0" l="0"/>
            <wp:docPr id="303" name="Figura 303" descr="Capturas de las pestañas Panel y Encuesta de la aplicación Precio Clar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3.png" descr="Capturas de las pestañas Panel y Encuesta de la aplicación Precio Claro"/>
                    <pic:cNvPicPr>
                      <a:picLocks noChangeAspect="1" noChangeArrowheads="1"/>
                    </pic:cNvPicPr>
                  </pic:nvPicPr>
                  <pic:blipFill>
                    <a:blip r:embed="rId48" cstate="none"/>
                    <a:srcRect/>
                    <a:stretch>
                      <a:fillRect/>
                    </a:stretch>
                  </pic:blipFill>
                  <pic:spPr bwMode="auto">
                    <a:xfrm>
                      <a:off x="0" y="0"/>
                      <a:ext cx="3200400" cy="3610164"/>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6. Pantallazos de Precio Claro en producción: (a) Panel de resultados con el aviso de datos simulados; (b) formulario de la Encuesta, mostrado con respuestas de ejemplo sin enviar. Elaboración propia.</w:t>
      </w:r>
    </w:p>
    <w:p>
      <w:pPr>
        <w:keepNext/>
        <w:spacing w:after="100" w:before="220"/>
        <w:jc w:val="left"/>
      </w:pPr>
      <w:r>
        <w:rPr>
          <w:rFonts w:ascii="Times New Roman" w:cs="Times New Roman" w:eastAsia="Times New Roman" w:hAnsi="Times New Roman"/>
          <w:b/>
          <w:bCs/>
          <w:sz w:val="21"/>
          <w:szCs w:val="21"/>
        </w:rPr>
        <w:t>Tabla 6. Comparación documental entre la aplicación oficial Visit Cartagena y el prototipo Precio Claro.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4500"/>
      </w:tblGrid>
      <w:tr>
        <w:trPr>
          <w:tblHeader/>
        </w:trPr>
        <w:tc>
          <w:tcPr>
            <w:tcW w:type="dxa" w:w="2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Criterio</w:t>
            </w:r>
          </w:p>
        </w:tc>
        <w:tc>
          <w:tcPr>
            <w:tcW w:type="dxa" w:w="4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Visit Cartagena (aplicación oficial)</w:t>
            </w:r>
          </w:p>
        </w:tc>
        <w:tc>
          <w:tcPr>
            <w:tcW w:type="dxa" w:w="45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Precio Claro (prototipo)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Responsable y madurez</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oficial del Distrito desarrollada por GlobalSoft Wigilab S.A.S., con una inversión reportada de 4.500 millones de pesos; lanzada en versión beta (El Tiempo, s.f.-c;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Prototipo académico de la Universidad de Cartagena, sin respaldo oficial; construido con Next.js y Supabase para el artículo.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Plataformas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móvil en Android e iOS y versión web (Infobae, 2024a;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web que se abre desde el navegador del celular o del computador, sin instalación.</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Acceso</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Las fuentes revisadas no especifican si exige inicio de sesión.</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Exige iniciar sesión con una cuenta de Google antes de usar cualquier pestaña.</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Tarifas de referencia</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listas de precios de referencia y consulta de precios promedio para consumos, transporte y servicios de playa (Infobae, 2024a;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rangos por zona para transporte y playas, con la fuente normativa de cada tarifa (por ejemplo, el Decreto 0051 de 2026 y las listas de La Boquilla y Cholón).</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Verificación de un cobro puntual</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documentada en las fuentes revisadas; la consulta se hace mediante listas y un asistente conversacional.</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el usuario ingresa lo que pagó y la aplicación indica si el valor está dentro del rango de referencia o por encima de él.</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 interactivo con comercios recomendados y calificaciones de usuarios (Infobae, 2024a).</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 real (Leaflet y OpenStreetMap) con cinco zonas y filtros por categoría; los comercios, cartas y calificaciones son ilustrativos.</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Calificaciones por plataforma</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Muestra calificaciones de usuarios; las fuentes no documentan que agregue las de plataformas externas.</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Plantea un historial por plataforma, hoy con datos ilustrativos por las restricciones legales de la sección 6.6.</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Asistente de inteligencia artificial</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chatbot para resolver dudas sobre precios y el destino (Infobae, 2024a;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incluye asistente conversacional.</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Denuncia de cobros excesivos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canal Titán Chat, con alertas a la Superintendencia de Industria y Comercio (El Tiempo, s.f.-c; Infobae, 2024a).</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gestiona denuncias: muestra un protocolo y remite al turista a Titán Chat, la Policía de Turismo o la Secretaría de Turismo.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Itinerarios personalizados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Actores, encuesta y validación</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documentados.</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Módulos Actores, Encuesta y Panel; el Panel usa 20 respuestas simuladas (sección 6.7).</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Adopción y valoración</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 la ficha de Google Play consultada en octubre de 2026: más de 10.000 descargas, calificación de 3,2 sobre 5 con 13 reseñas y última actualización el 14 de agosto de 2026 (Google Play,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Sin usuarios reales todavía; la validación con turistas y prestadores sigue pendiente.</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Datos personales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ficha de Google Play declara que recopila información personal y fotos o videos (Google Play,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 el correo de la cuenta de Google para la sesión; las respuestas de la encuesta no piden otros datos personales.</w:t>
            </w:r>
          </w:p>
        </w:tc>
      </w:tr>
    </w:tbl>
    <w:p>
      <w:pPr>
        <w:spacing w:after="320" w:before="80"/>
        <w:jc w:val="left"/>
      </w:pPr>
      <w:r>
        <w:rPr>
          <w:rFonts w:ascii="Times New Roman" w:cs="Times New Roman" w:eastAsia="Times New Roman" w:hAnsi="Times New Roman"/>
          <w:i/>
          <w:iCs/>
          <w:sz w:val="19"/>
          <w:szCs w:val="19"/>
        </w:rPr>
        <w:t>Nota. Elaboración propia. La columna de Visit Cartagena se basa en la cobertura periodística citada y en la ficha pública de la aplicación en Google Play; no proviene de una auditoría interna ni de una prueba funcional de la aplicación oficial.</w:t>
      </w:r>
    </w:p>
    <w:p>
      <w:pPr>
        <w:sectPr>
          <w:headerReference w:type="default" r:id="rId31"/>
          <w:footerReference w:type="default" r:id="rId32"/>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b/>
          <w:bCs/>
          <w:i w:val="false"/>
          <w:iCs w:val="false"/>
          <w:sz w:val="24"/>
          <w:szCs w:val="24"/>
        </w:rPr>
        <w:t xml:space="preserve">Lectura de la comparación. </w:t>
      </w:r>
      <w:r>
        <w:rPr>
          <w:rFonts w:ascii="Times New Roman" w:cs="Times New Roman" w:eastAsia="Times New Roman" w:hAnsi="Times New Roman"/>
          <w:sz w:val="24"/>
          <w:szCs w:val="24"/>
        </w:rPr>
        <w:t xml:space="preserve">La comparación muestra que ambas aplicaciones comparten el propósito de reducir la asimetría de información, pero resuelven partes distintas del problema. Visit Cartagena tiene mayor alcance funcional —asistente de inteligencia artificial, canal de denuncia integrado, itinerarios y respaldo institucional—, mientras que Precio Claro se concentra en dos funciones que las fuentes revisadas no documentan en el referente oficial: contrastar de inmediato lo cobrado con el rango de referencia y mostrar, junto a cada tarifa, la norma o lista oficial de la que proviene. Además, el prototipo es explícito sobre qué datos son reales (tarifas oficiales) y cuáles son ilustrativos (comercios, calificaciones y encuestas simuladas), un cuidado que su carácter académico permite y que conviene conservar si el proyecto avanza.</w:t>
      </w:r>
    </w:p>
    <w:p>
      <w:pPr>
        <w:spacing w:after="200" w:line="360"/>
        <w:jc w:val="both"/>
      </w:pPr>
      <w:r>
        <w:rPr>
          <w:rFonts w:ascii="Times New Roman" w:cs="Times New Roman" w:eastAsia="Times New Roman" w:hAnsi="Times New Roman"/>
          <w:b/>
          <w:bCs/>
          <w:i w:val="false"/>
          <w:iCs w:val="false"/>
          <w:sz w:val="24"/>
          <w:szCs w:val="24"/>
        </w:rPr>
        <w:t xml:space="preserve">Alcance y limitaciones. </w:t>
      </w:r>
      <w:r>
        <w:rPr>
          <w:rFonts w:ascii="Times New Roman" w:cs="Times New Roman" w:eastAsia="Times New Roman" w:hAnsi="Times New Roman"/>
          <w:sz w:val="24"/>
          <w:szCs w:val="24"/>
        </w:rPr>
        <w:t xml:space="preserve">Las ventajas de Precio Claro deben leerse con cautela. Es un prototipo sin usuarios reales, no oficial, con una base de comercios ilustrativa y sin asistente ni canal de denuncia propios; por eso se plantea como complemento y no como sustituto de Visit Cartagena, y su ruta natural de crecimiento es articularse con los canales oficiales que ya existen. Asimismo, la comparación es documental: se apoya en fuentes públicas y en la ficha de la aplicación en las tiendas, y no en una evaluación de uso de la aplicación oficial, que queda como tarea pendiente para validar o corregir las diferencias aquí señaladas.</w:t>
      </w:r>
    </w:p>
    <w:p>
      <w:pPr>
        <w:pStyle w:val="Heading1"/>
        <w:spacing w:after="180" w:before="340"/>
      </w:pPr>
      <w:r>
        <w:rPr>
          <w:rFonts w:ascii="Times New Roman" w:cs="Times New Roman" w:eastAsia="Times New Roman" w:hAnsi="Times New Roman"/>
          <w:b/>
          <w:bCs/>
          <w:color w:val="1F3864"/>
          <w:sz w:val="27"/>
          <w:szCs w:val="27"/>
        </w:rPr>
        <w:t xml:space="preserve">7. Conclusión</w:t>
      </w:r>
    </w:p>
    <w:p>
      <w:pPr>
        <w:spacing w:after="200" w:line="360"/>
        <w:jc w:val="both"/>
      </w:pPr>
      <w:r>
        <w:rPr>
          <w:rFonts w:ascii="Times New Roman" w:cs="Times New Roman" w:eastAsia="Times New Roman" w:hAnsi="Times New Roman"/>
          <w:sz w:val="24"/>
          <w:szCs w:val="24"/>
        </w:rPr>
        <w:t xml:space="preserve">La revisión de la evidencia disponible confirma que la falta de transparencia y control de precios es un problema real y recurrente en el sector turístico de Cartagena, documentado tanto por cifras institucionales como por casos individuales de alto impacto mediático que superan, en algunos casos, doscientas veces el valor de referencia de un producto o servicio. El problema se concentra en zonas específicas —Barú y Playa Blanca, Cholón y La Boquilla, Bocagrande y el Centro Histórico— y en categorías de consumo particulares: mariscos y cócteles en restaurantes de playa, cargos de “servicio” no acordados previamente, y paseos en coche de caballos.</w:t>
      </w:r>
    </w:p>
    <w:p>
      <w:pPr>
        <w:spacing w:after="200" w:line="360"/>
        <w:jc w:val="both"/>
      </w:pPr>
      <w:r>
        <w:rPr>
          <w:rFonts w:ascii="Times New Roman" w:cs="Times New Roman" w:eastAsia="Times New Roman" w:hAnsi="Times New Roman"/>
          <w:sz w:val="24"/>
          <w:szCs w:val="24"/>
        </w:rPr>
        <w:t xml:space="preserve">El estado del arte internacional muestra que este problema no es exclusivo de Cartagena: la literatura sobre “tourist traps” documenta mecanismos psicológicos y de diseño físico similares en otros destinos, y la evidencia sobre plataformas de reseñas sugiere que estas corrigen la calidad promedio del mercado en el mediano plazo, pero no ofrecen al turista una verificación inmediata del precio en el momento del pago. El marco teórico de asimetría de información explica, a su vez, por qué el problema persiste pese a la existencia de tarifas oficiales de transporte y, en algunas playas, listas oficiales de precios de consumo: estas fuentes están dispersas entre distintas entidades y canales, y la propia aplicación oficial Visit Cartagena, pese a una inversión considerable, muestra señales claras de baja adopción sostenida, persistencia de errores casi dos años después de su lanzamiento y una cobertura funcional limitada a listas de referencia y un chatbot consultivo, sin comparación inmediata del cobro ni historial de reputación de los comercios.</w:t>
      </w:r>
    </w:p>
    <w:p>
      <w:pPr>
        <w:spacing w:after="200" w:line="360"/>
        <w:jc w:val="both"/>
      </w:pPr>
      <w:r>
        <w:rPr>
          <w:rFonts w:ascii="Times New Roman" w:cs="Times New Roman" w:eastAsia="Times New Roman" w:hAnsi="Times New Roman"/>
          <w:sz w:val="24"/>
          <w:szCs w:val="24"/>
        </w:rPr>
        <w:t xml:space="preserve">La ambición de ir más allá —agregar en un mapa las recomendaciones, cartas y calificaciones de comercios tomadas de plataformas como Google Maps o TripAdvisor— es legalmente viable solo de forma parcial: el análisis normativo muestra que el riesgo penal bajo la Ley 1273 de 2009 es limitado cuando no se vulneran medidas de seguridad, pero el riesgo contractual (términos de servicio) y de protección de datos personales (Ley 1581 de 2012) es real y desaconseja el scraping directo. La ruta recomendada combina el uso autorizado de la Places API de Google, con sus obligaciones de atribución y sus restricciones de almacenamiento, y alianzas directas con los propios negocios para publicar sus cartas y precios, en lugar de replicar sin autorización el contenido de otras plataformas.</w:t>
      </w:r>
    </w:p>
    <w:p>
      <w:pPr>
        <w:spacing w:after="200" w:line="360"/>
        <w:jc w:val="both"/>
      </w:pPr>
      <w:r>
        <w:rPr>
          <w:rFonts w:ascii="Times New Roman" w:cs="Times New Roman" w:eastAsia="Times New Roman" w:hAnsi="Times New Roman"/>
          <w:sz w:val="24"/>
          <w:szCs w:val="24"/>
        </w:rPr>
        <w:t xml:space="preserve">Los diagramas de flujo elaborados en este artículo (Figuras 2 y 3) muestran que es viable diseñar una aplicación que integre la información ya existente —tarifas oficiales, listas de precios por zona y canales de denuncia como Titán Chat— en una sola herramienta de consulta y verificación, más ligera y centrada que Visit Cartagena, sin duplicar ni reemplazar el trabajo institucional ya en marcha. Como línea futura, se recomienda validar los precios de referencia directamente con la Secretaría de Turismo Distrital, evaluar formalmente el costo de la Places API de Google frente al volumen esperado de consultas, y explorar alianzas directas con comercios de zonas de alta incidencia de quejas para publicar sus cartas de forma autorizada dentro de la aplicación.</w:t>
      </w:r>
    </w:p>
    <w:p>
      <w:pPr>
        <w:sectPr>
          <w:headerReference w:type="default" r:id="rId37"/>
          <w:footerReference w:type="default" r:id="rId38"/>
          <w:type w:val="continuous"/>
          <w:pgSz w:w="12240" w:h="15840" w:orient="portrait"/>
          <w:pgMar w:top="720" w:right="720" w:bottom="720" w:left="720" w:header="708" w:footer="708" w:gutter="0"/>
          <w:pgNumType/>
          <w:cols w:space="400" w:num="2"/>
          <w:docGrid w:linePitch="360"/>
        </w:sectPr>
      </w:pPr>
    </w:p>
    <w:p>
      <w:pPr>
        <w:pStyle w:val="Heading1"/>
        <w:spacing w:after="180" w:before="340"/>
      </w:pPr>
      <w:r>
        <w:rPr>
          <w:rFonts w:ascii="Times New Roman" w:cs="Times New Roman" w:eastAsia="Times New Roman" w:hAnsi="Times New Roman"/>
          <w:b/>
          <w:bCs/>
          <w:color w:val="1F3864"/>
          <w:sz w:val="27"/>
          <w:szCs w:val="27"/>
        </w:rPr>
        <w:t xml:space="preserve">Referencias</w:t>
      </w:r>
    </w:p>
    <w:p>
      <w:pPr>
        <w:spacing w:after="200" w:line="276"/>
        <w:ind w:left="720" w:hanging="720"/>
        <w:jc w:val="both"/>
      </w:pPr>
      <w:r>
        <w:rPr>
          <w:rFonts w:ascii="Times New Roman" w:cs="Times New Roman" w:eastAsia="Times New Roman" w:hAnsi="Times New Roman"/>
          <w:i w:val="false"/>
          <w:iCs w:val="false"/>
          <w:sz w:val="24"/>
          <w:szCs w:val="24"/>
        </w:rPr>
        <w:t xml:space="preserve">Apple App Store. (s.f.). </w:t>
      </w:r>
      <w:r>
        <w:rPr>
          <w:rFonts w:ascii="Times New Roman" w:cs="Times New Roman" w:eastAsia="Times New Roman" w:hAnsi="Times New Roman"/>
          <w:i/>
          <w:iCs/>
          <w:sz w:val="24"/>
          <w:szCs w:val="24"/>
        </w:rPr>
        <w:t xml:space="preserve">App Visit Cartagena</w:t>
      </w:r>
      <w:r>
        <w:rPr>
          <w:rFonts w:ascii="Times New Roman" w:cs="Times New Roman" w:eastAsia="Times New Roman" w:hAnsi="Times New Roman"/>
          <w:i w:val="false"/>
          <w:iCs w:val="false"/>
          <w:sz w:val="24"/>
          <w:szCs w:val="24"/>
        </w:rPr>
        <w:t xml:space="preserve">. https://apps.apple.com/es/app/visit-cartagena/id6738218023</w:t>
      </w:r>
    </w:p>
    <w:p>
      <w:pPr>
        <w:spacing w:after="200" w:line="276"/>
        <w:ind w:left="720" w:hanging="720"/>
        <w:jc w:val="both"/>
      </w:pPr>
      <w:r>
        <w:rPr>
          <w:rFonts w:ascii="Times New Roman" w:cs="Times New Roman" w:eastAsia="Times New Roman" w:hAnsi="Times New Roman"/>
          <w:i w:val="false"/>
          <w:iCs w:val="false"/>
          <w:sz w:val="24"/>
          <w:szCs w:val="24"/>
        </w:rPr>
        <w:t xml:space="preserve">Cartagena Alerta. (2026). </w:t>
      </w:r>
      <w:r>
        <w:rPr>
          <w:rFonts w:ascii="Times New Roman" w:cs="Times New Roman" w:eastAsia="Times New Roman" w:hAnsi="Times New Roman"/>
          <w:i/>
          <w:iCs/>
          <w:sz w:val="24"/>
          <w:szCs w:val="24"/>
        </w:rPr>
        <w:t xml:space="preserve">Tarifas y horarios de los coches eléctricos en Cartagena 2026: se acabó el paseo gratis</w:t>
      </w:r>
      <w:r>
        <w:rPr>
          <w:rFonts w:ascii="Times New Roman" w:cs="Times New Roman" w:eastAsia="Times New Roman" w:hAnsi="Times New Roman"/>
          <w:i w:val="false"/>
          <w:iCs w:val="false"/>
          <w:sz w:val="24"/>
          <w:szCs w:val="24"/>
        </w:rPr>
        <w:t xml:space="preserve">. https://cartagena.alerta.com.co/taxiviris/coches-electricos-en-cartagena-precios-y-horarios-2026-244334</w:t>
      </w:r>
    </w:p>
    <w:p>
      <w:pPr>
        <w:spacing w:after="200" w:line="276"/>
        <w:ind w:left="720" w:hanging="720"/>
        <w:jc w:val="both"/>
      </w:pPr>
      <w:r>
        <w:rPr>
          <w:rFonts w:ascii="Times New Roman" w:cs="Times New Roman" w:eastAsia="Times New Roman" w:hAnsi="Times New Roman"/>
          <w:i w:val="false"/>
          <w:iCs w:val="false"/>
          <w:sz w:val="24"/>
          <w:szCs w:val="24"/>
        </w:rPr>
        <w:t xml:space="preserve">Cartagena Tours. (s.f.). </w:t>
      </w:r>
      <w:r>
        <w:rPr>
          <w:rFonts w:ascii="Times New Roman" w:cs="Times New Roman" w:eastAsia="Times New Roman" w:hAnsi="Times New Roman"/>
          <w:i/>
          <w:iCs/>
          <w:sz w:val="24"/>
          <w:szCs w:val="24"/>
        </w:rPr>
        <w:t xml:space="preserve">Islas del Rosario precios</w:t>
      </w:r>
      <w:r>
        <w:rPr>
          <w:rFonts w:ascii="Times New Roman" w:cs="Times New Roman" w:eastAsia="Times New Roman" w:hAnsi="Times New Roman"/>
          <w:i w:val="false"/>
          <w:iCs w:val="false"/>
          <w:sz w:val="24"/>
          <w:szCs w:val="24"/>
        </w:rPr>
        <w:t xml:space="preserve">. https://cartagena-tours.co/islas-del-rosario-precios/</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(2009). </w:t>
      </w:r>
      <w:r>
        <w:rPr>
          <w:rFonts w:ascii="Times New Roman" w:cs="Times New Roman" w:eastAsia="Times New Roman" w:hAnsi="Times New Roman"/>
          <w:i/>
          <w:iCs/>
          <w:sz w:val="24"/>
          <w:szCs w:val="24"/>
        </w:rPr>
        <w:t xml:space="preserve">Ley 1273 de 2009, por medio de la cual se modifica el Código Penal, se crea un nuevo bien jurídico tutelado denominado “de la protección de la información y de los datos”</w:t>
      </w:r>
      <w:r>
        <w:rPr>
          <w:rFonts w:ascii="Times New Roman" w:cs="Times New Roman" w:eastAsia="Times New Roman" w:hAnsi="Times New Roman"/>
          <w:i w:val="false"/>
          <w:iCs w:val="false"/>
          <w:sz w:val="24"/>
          <w:szCs w:val="24"/>
        </w:rPr>
        <w:t xml:space="preserve">. Función Pública. https://www.funcionpublica.gov.co/eva/gestornormativo/norma.php?i=34492</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(2011). </w:t>
      </w:r>
      <w:r>
        <w:rPr>
          <w:rFonts w:ascii="Times New Roman" w:cs="Times New Roman" w:eastAsia="Times New Roman" w:hAnsi="Times New Roman"/>
          <w:i/>
          <w:iCs/>
          <w:sz w:val="24"/>
          <w:szCs w:val="24"/>
        </w:rPr>
        <w:t xml:space="preserve">Ley 1480 de 2011, por medio de la cual se expide el Estatuto del Consumidor y se dictan otras disposiciones</w:t>
      </w:r>
      <w:r>
        <w:rPr>
          <w:rFonts w:ascii="Times New Roman" w:cs="Times New Roman" w:eastAsia="Times New Roman" w:hAnsi="Times New Roman"/>
          <w:i w:val="false"/>
          <w:iCs w:val="false"/>
          <w:sz w:val="24"/>
          <w:szCs w:val="24"/>
        </w:rPr>
        <w:t xml:space="preserve">. Función Pública. https://www.funcionpublica.gov.co/eva/gestornormativo/norma.php?i=44306</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(2012). </w:t>
      </w:r>
      <w:r>
        <w:rPr>
          <w:rFonts w:ascii="Times New Roman" w:cs="Times New Roman" w:eastAsia="Times New Roman" w:hAnsi="Times New Roman"/>
          <w:i/>
          <w:iCs/>
          <w:sz w:val="24"/>
          <w:szCs w:val="24"/>
        </w:rPr>
        <w:t xml:space="preserve">Ley 1581 de 2012, por la cual se dictan disposiciones generales para la protección de datos personales</w:t>
      </w:r>
      <w:r>
        <w:rPr>
          <w:rFonts w:ascii="Times New Roman" w:cs="Times New Roman" w:eastAsia="Times New Roman" w:hAnsi="Times New Roman"/>
          <w:i w:val="false"/>
          <w:iCs w:val="false"/>
          <w:sz w:val="24"/>
          <w:szCs w:val="24"/>
        </w:rPr>
        <w:t xml:space="preserve">. Función Pública. https://www.funcionpublica.gov.co/eva/gestornormativo/norma.php?i=49981</w:t>
      </w:r>
    </w:p>
    <w:p>
      <w:pPr>
        <w:spacing w:after="200" w:line="276"/>
        <w:ind w:left="720" w:hanging="720"/>
        <w:jc w:val="both"/>
      </w:pPr>
      <w:r>
        <w:rPr>
          <w:rFonts w:ascii="Times New Roman" w:cs="Times New Roman" w:eastAsia="Times New Roman" w:hAnsi="Times New Roman"/>
          <w:i w:val="false"/>
          <w:iCs w:val="false"/>
          <w:sz w:val="24"/>
          <w:szCs w:val="24"/>
        </w:rPr>
        <w:t xml:space="preserve">Donati, D. (2025). The end of tourist traps: The impact of review platforms on quality upgrading. </w:t>
      </w:r>
      <w:r>
        <w:rPr>
          <w:rFonts w:ascii="Times New Roman" w:cs="Times New Roman" w:eastAsia="Times New Roman" w:hAnsi="Times New Roman"/>
          <w:i/>
          <w:iCs/>
          <w:sz w:val="24"/>
          <w:szCs w:val="24"/>
        </w:rPr>
        <w:t xml:space="preserve">Marketing Science, 45</w:t>
      </w:r>
      <w:r>
        <w:rPr>
          <w:rFonts w:ascii="Times New Roman" w:cs="Times New Roman" w:eastAsia="Times New Roman" w:hAnsi="Times New Roman"/>
          <w:i w:val="false"/>
          <w:iCs w:val="false"/>
          <w:sz w:val="24"/>
          <w:szCs w:val="24"/>
        </w:rPr>
        <w:t xml:space="preserve">(2). https://pubsonline.informs.org/doi/10.1287/mksc.2023.0482</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(s.f.-a). </w:t>
      </w:r>
      <w:r>
        <w:rPr>
          <w:rFonts w:ascii="Times New Roman" w:cs="Times New Roman" w:eastAsia="Times New Roman" w:hAnsi="Times New Roman"/>
          <w:i/>
          <w:iCs/>
          <w:sz w:val="24"/>
          <w:szCs w:val="24"/>
        </w:rPr>
        <w:t xml:space="preserve">Cartagena: nueva lista oficial de precios en Cholón desata controversia</w:t>
      </w:r>
      <w:r>
        <w:rPr>
          <w:rFonts w:ascii="Times New Roman" w:cs="Times New Roman" w:eastAsia="Times New Roman" w:hAnsi="Times New Roman"/>
          <w:i w:val="false"/>
          <w:iCs w:val="false"/>
          <w:sz w:val="24"/>
          <w:szCs w:val="24"/>
        </w:rPr>
        <w:t xml:space="preserve">. https://www.eltiempo.com/colombia/otras-ciudades/cartagena-nueva-lista-oficial-de-precios-en-cholon-desata-controversia-una-limonada-cuesta-50-mil-agua-de-coco-30-mil-un-ceviche-150-mil-3479216</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(s.f.-b). </w:t>
      </w:r>
      <w:r>
        <w:rPr>
          <w:rFonts w:ascii="Times New Roman" w:cs="Times New Roman" w:eastAsia="Times New Roman" w:hAnsi="Times New Roman"/>
          <w:i/>
          <w:iCs/>
          <w:sz w:val="24"/>
          <w:szCs w:val="24"/>
        </w:rPr>
        <w:t xml:space="preserve">Turistas denuncian cobros excesivos en Cartagena: pagaron 600 mil pesos por una langosta</w:t>
      </w:r>
      <w:r>
        <w:rPr>
          <w:rFonts w:ascii="Times New Roman" w:cs="Times New Roman" w:eastAsia="Times New Roman" w:hAnsi="Times New Roman"/>
          <w:i w:val="false"/>
          <w:iCs w:val="false"/>
          <w:sz w:val="24"/>
          <w:szCs w:val="24"/>
        </w:rPr>
        <w:t xml:space="preserve">. https://www.eltiempo.com/colombia/otras-ciudades/turistas-denuncian-cobros-excesivos-en-cartagena-pagaron-600-mil-pesos-por-una-langosta-3347356</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(s.f.-c). </w:t>
      </w:r>
      <w:r>
        <w:rPr>
          <w:rFonts w:ascii="Times New Roman" w:cs="Times New Roman" w:eastAsia="Times New Roman" w:hAnsi="Times New Roman"/>
          <w:i/>
          <w:iCs/>
          <w:sz w:val="24"/>
          <w:szCs w:val="24"/>
        </w:rPr>
        <w:t xml:space="preserve">“Visit Cartagena”: La app que protege a turistas de cobros excesivos en la Heroica</w:t>
      </w:r>
      <w:r>
        <w:rPr>
          <w:rFonts w:ascii="Times New Roman" w:cs="Times New Roman" w:eastAsia="Times New Roman" w:hAnsi="Times New Roman"/>
          <w:i w:val="false"/>
          <w:iCs w:val="false"/>
          <w:sz w:val="24"/>
          <w:szCs w:val="24"/>
        </w:rPr>
        <w:t xml:space="preserve">. https://www.eltiempo.com/colombia/otras-ciudades/visit-cartagena-la-app-que-protege-a-turistas-de-cobros-excesivos-en-la-heroica-3412885</w:t>
      </w:r>
    </w:p>
    <w:p>
      <w:pPr>
        <w:spacing w:after="200" w:line="276"/>
        <w:ind w:left="720" w:hanging="720"/>
        <w:jc w:val="both"/>
      </w:pPr>
      <w:r>
        <w:rPr>
          <w:rFonts w:ascii="Times New Roman" w:cs="Times New Roman" w:eastAsia="Times New Roman" w:hAnsi="Times New Roman"/>
          <w:i w:val="false"/>
          <w:iCs w:val="false"/>
          <w:sz w:val="24"/>
          <w:szCs w:val="24"/>
        </w:rPr>
        <w:t xml:space="preserve">El Universal. (2023, 25 diciembre). </w:t>
      </w:r>
      <w:r>
        <w:rPr>
          <w:rFonts w:ascii="Times New Roman" w:cs="Times New Roman" w:eastAsia="Times New Roman" w:hAnsi="Times New Roman"/>
          <w:i/>
          <w:iCs/>
          <w:sz w:val="24"/>
          <w:szCs w:val="24"/>
        </w:rPr>
        <w:t xml:space="preserve">¿Cuánto cuesta un paseo en coche en Cartagena?</w:t>
      </w:r>
      <w:r>
        <w:rPr>
          <w:rFonts w:ascii="Times New Roman" w:cs="Times New Roman" w:eastAsia="Times New Roman" w:hAnsi="Times New Roman"/>
          <w:i w:val="false"/>
          <w:iCs w:val="false"/>
          <w:sz w:val="24"/>
          <w:szCs w:val="24"/>
        </w:rPr>
        <w:t xml:space="preserve">. https://www.eluniversal.com.co/cartagena/2023/12/25/22-millones-los-pagara-cuanto-cuesta-un-paseo-en-coche-en-cartagena/</w:t>
      </w:r>
    </w:p>
    <w:p>
      <w:pPr>
        <w:spacing w:after="200" w:line="276"/>
        <w:ind w:left="720" w:hanging="720"/>
        <w:jc w:val="both"/>
      </w:pPr>
      <w:r>
        <w:rPr>
          <w:rFonts w:ascii="Times New Roman" w:cs="Times New Roman" w:eastAsia="Times New Roman" w:hAnsi="Times New Roman"/>
          <w:i w:val="false"/>
          <w:iCs w:val="false"/>
          <w:sz w:val="24"/>
          <w:szCs w:val="24"/>
        </w:rPr>
        <w:t xml:space="preserve">El Universal. (2025, 3 agosto). </w:t>
      </w:r>
      <w:r>
        <w:rPr>
          <w:rFonts w:ascii="Times New Roman" w:cs="Times New Roman" w:eastAsia="Times New Roman" w:hAnsi="Times New Roman"/>
          <w:i/>
          <w:iCs/>
          <w:sz w:val="24"/>
          <w:szCs w:val="24"/>
        </w:rPr>
        <w:t xml:space="preserve">Cartagena en alerta por cobros excesivos a turistas: Distrito toma medidas</w:t>
      </w:r>
      <w:r>
        <w:rPr>
          <w:rFonts w:ascii="Times New Roman" w:cs="Times New Roman" w:eastAsia="Times New Roman" w:hAnsi="Times New Roman"/>
          <w:i w:val="false"/>
          <w:iCs w:val="false"/>
          <w:sz w:val="24"/>
          <w:szCs w:val="24"/>
        </w:rPr>
        <w:t xml:space="preserve">. https://www.eluniversal.com.co/cartagena/2025/08/03/cartagena-en-alerta-por-cobros-excesivos-a-turistas-distrito-toma-medidas/</w:t>
      </w:r>
    </w:p>
    <w:p>
      <w:pPr>
        <w:spacing w:after="200" w:line="276"/>
        <w:ind w:left="720" w:hanging="720"/>
        <w:jc w:val="both"/>
      </w:pPr>
      <w:r>
        <w:rPr>
          <w:rFonts w:ascii="Times New Roman" w:cs="Times New Roman" w:eastAsia="Times New Roman" w:hAnsi="Times New Roman"/>
          <w:i w:val="false"/>
          <w:iCs w:val="false"/>
          <w:sz w:val="24"/>
          <w:szCs w:val="24"/>
        </w:rPr>
        <w:t xml:space="preserve">El Universal. (2026, 27 febrero). </w:t>
      </w:r>
      <w:r>
        <w:rPr>
          <w:rFonts w:ascii="Times New Roman" w:cs="Times New Roman" w:eastAsia="Times New Roman" w:hAnsi="Times New Roman"/>
          <w:i/>
          <w:iCs/>
          <w:sz w:val="24"/>
          <w:szCs w:val="24"/>
        </w:rPr>
        <w:t xml:space="preserve">Suben las tarifas de taxis en Cartagena: así quedó la carrera mínima para 2026</w:t>
      </w:r>
      <w:r>
        <w:rPr>
          <w:rFonts w:ascii="Times New Roman" w:cs="Times New Roman" w:eastAsia="Times New Roman" w:hAnsi="Times New Roman"/>
          <w:i w:val="false"/>
          <w:iCs w:val="false"/>
          <w:sz w:val="24"/>
          <w:szCs w:val="24"/>
        </w:rPr>
        <w:t xml:space="preserve">. https://www.eluniversal.com.co/cartagena/2026/02/27/suben-las-tarifas-de-taxis-en-cartagena-asi-quedo-la-carrera-minima-para-2026/</w:t>
      </w:r>
    </w:p>
    <w:p>
      <w:pPr>
        <w:spacing w:after="200" w:line="276"/>
        <w:ind w:left="720" w:hanging="720"/>
        <w:jc w:val="both"/>
      </w:pPr>
      <w:r>
        <w:rPr>
          <w:rFonts w:ascii="Times New Roman" w:cs="Times New Roman" w:eastAsia="Times New Roman" w:hAnsi="Times New Roman"/>
          <w:i w:val="false"/>
          <w:iCs w:val="false"/>
          <w:sz w:val="24"/>
          <w:szCs w:val="24"/>
        </w:rPr>
        <w:t xml:space="preserve">Estudio Penal. (s.f.). </w:t>
      </w:r>
      <w:r>
        <w:rPr>
          <w:rFonts w:ascii="Times New Roman" w:cs="Times New Roman" w:eastAsia="Times New Roman" w:hAnsi="Times New Roman"/>
          <w:i/>
          <w:iCs/>
          <w:sz w:val="24"/>
          <w:szCs w:val="24"/>
        </w:rPr>
        <w:t xml:space="preserve">Delitos informáticos en Colombia: Ley 1273, penas y defensa</w:t>
      </w:r>
      <w:r>
        <w:rPr>
          <w:rFonts w:ascii="Times New Roman" w:cs="Times New Roman" w:eastAsia="Times New Roman" w:hAnsi="Times New Roman"/>
          <w:i w:val="false"/>
          <w:iCs w:val="false"/>
          <w:sz w:val="24"/>
          <w:szCs w:val="24"/>
        </w:rPr>
        <w:t xml:space="preserve">. https://estudiopenal.com/delitos-informaticos-en-colombia</w:t>
      </w:r>
    </w:p>
    <w:p>
      <w:pPr>
        <w:spacing w:after="200" w:line="276"/>
        <w:ind w:left="720" w:hanging="720"/>
        <w:jc w:val="both"/>
      </w:pPr>
      <w:r>
        <w:rPr>
          <w:rFonts w:ascii="Times New Roman" w:cs="Times New Roman" w:eastAsia="Times New Roman" w:hAnsi="Times New Roman"/>
          <w:i w:val="false"/>
          <w:iCs w:val="false"/>
          <w:sz w:val="24"/>
          <w:szCs w:val="24"/>
        </w:rPr>
        <w:t xml:space="preserve">Florido-Benítez, L. (2016). Influencia de las características demográficas y situacionales en la satisfacción y toma de decisiones de las actividades turísticas a través del mobile marketing. </w:t>
      </w:r>
      <w:r>
        <w:rPr>
          <w:rFonts w:ascii="Times New Roman" w:cs="Times New Roman" w:eastAsia="Times New Roman" w:hAnsi="Times New Roman"/>
          <w:i/>
          <w:iCs/>
          <w:sz w:val="24"/>
          <w:szCs w:val="24"/>
        </w:rPr>
        <w:t xml:space="preserve">Cuadernos de Turismo, 38</w:t>
      </w:r>
      <w:r>
        <w:rPr>
          <w:rFonts w:ascii="Times New Roman" w:cs="Times New Roman" w:eastAsia="Times New Roman" w:hAnsi="Times New Roman"/>
          <w:i w:val="false"/>
          <w:iCs w:val="false"/>
          <w:sz w:val="24"/>
          <w:szCs w:val="24"/>
        </w:rPr>
        <w:t xml:space="preserve">, 143-165.</w:t>
      </w:r>
    </w:p>
    <w:p>
      <w:pPr>
        <w:spacing w:after="200" w:line="276"/>
        <w:ind w:left="720" w:hanging="720"/>
        <w:jc w:val="both"/>
      </w:pPr>
      <w:r>
        <w:rPr>
          <w:rFonts w:ascii="Times New Roman" w:cs="Times New Roman" w:eastAsia="Times New Roman" w:hAnsi="Times New Roman"/>
          <w:i w:val="false"/>
          <w:iCs w:val="false"/>
          <w:sz w:val="24"/>
          <w:szCs w:val="24"/>
        </w:rPr>
        <w:t xml:space="preserve">Google for Developers. (s.f.). </w:t>
      </w:r>
      <w:r>
        <w:rPr>
          <w:rFonts w:ascii="Times New Roman" w:cs="Times New Roman" w:eastAsia="Times New Roman" w:hAnsi="Times New Roman"/>
          <w:i/>
          <w:iCs/>
          <w:sz w:val="24"/>
          <w:szCs w:val="24"/>
        </w:rPr>
        <w:t xml:space="preserve">Policies and attributions for Places API</w:t>
      </w:r>
      <w:r>
        <w:rPr>
          <w:rFonts w:ascii="Times New Roman" w:cs="Times New Roman" w:eastAsia="Times New Roman" w:hAnsi="Times New Roman"/>
          <w:i w:val="false"/>
          <w:iCs w:val="false"/>
          <w:sz w:val="24"/>
          <w:szCs w:val="24"/>
        </w:rPr>
        <w:t xml:space="preserve">. https://developers.google.com/maps/documentation/places/web-service/policies</w:t>
      </w:r>
    </w:p>
    <w:p>
      <w:pPr>
        <w:spacing w:after="200" w:line="276"/>
        <w:ind w:left="720" w:hanging="720"/>
        <w:jc w:val="both"/>
      </w:pPr>
      <w:r>
        <w:rPr>
          <w:rFonts w:ascii="Times New Roman" w:cs="Times New Roman" w:eastAsia="Times New Roman" w:hAnsi="Times New Roman"/>
          <w:i w:val="false"/>
          <w:iCs w:val="false"/>
          <w:sz w:val="24"/>
          <w:szCs w:val="24"/>
        </w:rPr>
        <w:t xml:space="preserve">Google Play. (s.f.). </w:t>
      </w:r>
      <w:r>
        <w:rPr>
          <w:rFonts w:ascii="Times New Roman" w:cs="Times New Roman" w:eastAsia="Times New Roman" w:hAnsi="Times New Roman"/>
          <w:i/>
          <w:iCs/>
          <w:sz w:val="24"/>
          <w:szCs w:val="24"/>
        </w:rPr>
        <w:t xml:space="preserve">Visit Cartagena</w:t>
      </w:r>
      <w:r>
        <w:rPr>
          <w:rFonts w:ascii="Times New Roman" w:cs="Times New Roman" w:eastAsia="Times New Roman" w:hAnsi="Times New Roman"/>
          <w:i w:val="false"/>
          <w:iCs w:val="false"/>
          <w:sz w:val="24"/>
          <w:szCs w:val="24"/>
        </w:rPr>
        <w:t xml:space="preserve">. https://play.google.com/store/apps/details?id=com.wigilabs.visitcartagena</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(2023, 15 diciembre). </w:t>
      </w:r>
      <w:r>
        <w:rPr>
          <w:rFonts w:ascii="Times New Roman" w:cs="Times New Roman" w:eastAsia="Times New Roman" w:hAnsi="Times New Roman"/>
          <w:i/>
          <w:iCs/>
          <w:sz w:val="24"/>
          <w:szCs w:val="24"/>
        </w:rPr>
        <w:t xml:space="preserve">Siguen los cobros excesivos en las playas de Cartagena: a turistas argentinos les cobraron 7 millones por dos limonadas en Barú</w:t>
      </w:r>
      <w:r>
        <w:rPr>
          <w:rFonts w:ascii="Times New Roman" w:cs="Times New Roman" w:eastAsia="Times New Roman" w:hAnsi="Times New Roman"/>
          <w:i w:val="false"/>
          <w:iCs w:val="false"/>
          <w:sz w:val="24"/>
          <w:szCs w:val="24"/>
        </w:rPr>
        <w:t xml:space="preserve">. https://www.infobae.com/colombia/2023/12/15/siguen-los-cobros-excesivo-en-las-playas-de-cartagena-a-turistas-argentinos-les-cobraron-7-millones-por-dos-limonadas-en-baru/</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(2024a, 26 diciembre). </w:t>
      </w:r>
      <w:r>
        <w:rPr>
          <w:rFonts w:ascii="Times New Roman" w:cs="Times New Roman" w:eastAsia="Times New Roman" w:hAnsi="Times New Roman"/>
          <w:i/>
          <w:iCs/>
          <w:sz w:val="24"/>
          <w:szCs w:val="24"/>
        </w:rPr>
        <w:t xml:space="preserve">Así funciona Visit Cartagena: la aplicación para denunciar cobros excesivos en la ciudad</w:t>
      </w:r>
      <w:r>
        <w:rPr>
          <w:rFonts w:ascii="Times New Roman" w:cs="Times New Roman" w:eastAsia="Times New Roman" w:hAnsi="Times New Roman"/>
          <w:i w:val="false"/>
          <w:iCs w:val="false"/>
          <w:sz w:val="24"/>
          <w:szCs w:val="24"/>
        </w:rPr>
        <w:t xml:space="preserve">. https://www.infobae.com/colombia/2024/12/26/asi-funciona-visit-cartagena-la-aplicacion-para-denunciar-cobros-excesivos-en-la-ciudad/</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(2024b, 30 noviembre). </w:t>
      </w:r>
      <w:r>
        <w:rPr>
          <w:rFonts w:ascii="Times New Roman" w:cs="Times New Roman" w:eastAsia="Times New Roman" w:hAnsi="Times New Roman"/>
          <w:i/>
          <w:iCs/>
          <w:sz w:val="24"/>
          <w:szCs w:val="24"/>
        </w:rPr>
        <w:t xml:space="preserve">Estafas a turistas en Cartagena: mujer que cobró 600.000 pesos por un paseo en coche tuvo que regresar el dinero a los viajeros</w:t>
      </w:r>
      <w:r>
        <w:rPr>
          <w:rFonts w:ascii="Times New Roman" w:cs="Times New Roman" w:eastAsia="Times New Roman" w:hAnsi="Times New Roman"/>
          <w:i w:val="false"/>
          <w:iCs w:val="false"/>
          <w:sz w:val="24"/>
          <w:szCs w:val="24"/>
        </w:rPr>
        <w:t xml:space="preserve">. https://www.infobae.com/colombia/2024/11/30/estafas-a-turistas-en-cartagena-mujer-que-cobro-600000-pesos-por-un-paseo-en-coche-tuvo-que-regresar-el-dinero-a-los-viajeros/</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(2025, 30 julio). </w:t>
      </w:r>
      <w:r>
        <w:rPr>
          <w:rFonts w:ascii="Times New Roman" w:cs="Times New Roman" w:eastAsia="Times New Roman" w:hAnsi="Times New Roman"/>
          <w:i/>
          <w:iCs/>
          <w:sz w:val="24"/>
          <w:szCs w:val="24"/>
        </w:rPr>
        <w:t xml:space="preserve">A turistas en Cartagena les cobraron más de 6 millones por tres comidas, dos cócteles y el alquiler de un parlante</w:t>
      </w:r>
      <w:r>
        <w:rPr>
          <w:rFonts w:ascii="Times New Roman" w:cs="Times New Roman" w:eastAsia="Times New Roman" w:hAnsi="Times New Roman"/>
          <w:i w:val="false"/>
          <w:iCs w:val="false"/>
          <w:sz w:val="24"/>
          <w:szCs w:val="24"/>
        </w:rPr>
        <w:t xml:space="preserve">. https://www.infobae.com/colombia/2025/07/30/a-turistas-en-cartagena-les-cobraron-mas-de-6-millones-por-tres-comidas-dos-cocteles-y-el-alquiler-de-un-parlante/</w:t>
      </w:r>
    </w:p>
    <w:p>
      <w:pPr>
        <w:spacing w:after="200" w:line="276"/>
        <w:ind w:left="720" w:hanging="720"/>
        <w:jc w:val="both"/>
      </w:pPr>
      <w:r>
        <w:rPr>
          <w:rFonts w:ascii="Times New Roman" w:cs="Times New Roman" w:eastAsia="Times New Roman" w:hAnsi="Times New Roman"/>
          <w:i w:val="false"/>
          <w:iCs w:val="false"/>
          <w:sz w:val="24"/>
          <w:szCs w:val="24"/>
        </w:rPr>
        <w:t xml:space="preserve">La FM. (2025). </w:t>
      </w:r>
      <w:r>
        <w:rPr>
          <w:rFonts w:ascii="Times New Roman" w:cs="Times New Roman" w:eastAsia="Times New Roman" w:hAnsi="Times New Roman"/>
          <w:i/>
          <w:iCs/>
          <w:sz w:val="24"/>
          <w:szCs w:val="24"/>
        </w:rPr>
        <w:t xml:space="preserve">Precios actualizados de las playas de Cartagena en 2025</w:t>
      </w:r>
      <w:r>
        <w:rPr>
          <w:rFonts w:ascii="Times New Roman" w:cs="Times New Roman" w:eastAsia="Times New Roman" w:hAnsi="Times New Roman"/>
          <w:i w:val="false"/>
          <w:iCs w:val="false"/>
          <w:sz w:val="24"/>
          <w:szCs w:val="24"/>
        </w:rPr>
        <w:t xml:space="preserve">. https://www.lafm.com.co/economia/precios-actualizados-de-las-playas-de-cartagena-en-2025-376210</w:t>
      </w:r>
    </w:p>
    <w:p>
      <w:pPr>
        <w:spacing w:after="200" w:line="276"/>
        <w:ind w:left="720" w:hanging="720"/>
        <w:jc w:val="both"/>
      </w:pPr>
      <w:r>
        <w:rPr>
          <w:rFonts w:ascii="Times New Roman" w:cs="Times New Roman" w:eastAsia="Times New Roman" w:hAnsi="Times New Roman"/>
          <w:i w:val="false"/>
          <w:iCs w:val="false"/>
          <w:sz w:val="24"/>
          <w:szCs w:val="24"/>
        </w:rPr>
        <w:t xml:space="preserve">Perrotini, I. (2002). La economía de la información asimétrica: microfundamentos de competencia imperfecta. </w:t>
      </w:r>
      <w:r>
        <w:rPr>
          <w:rFonts w:ascii="Times New Roman" w:cs="Times New Roman" w:eastAsia="Times New Roman" w:hAnsi="Times New Roman"/>
          <w:i/>
          <w:iCs/>
          <w:sz w:val="24"/>
          <w:szCs w:val="24"/>
        </w:rPr>
        <w:t xml:space="preserve">Aportes, Revista de la Facultad de Economía-BUAP, 7</w:t>
      </w:r>
      <w:r>
        <w:rPr>
          <w:rFonts w:ascii="Times New Roman" w:cs="Times New Roman" w:eastAsia="Times New Roman" w:hAnsi="Times New Roman"/>
          <w:i w:val="false"/>
          <w:iCs w:val="false"/>
          <w:sz w:val="24"/>
          <w:szCs w:val="24"/>
        </w:rPr>
        <w:t xml:space="preserve">(19), 59-67.</w:t>
      </w:r>
    </w:p>
    <w:p>
      <w:pPr>
        <w:spacing w:after="200" w:line="276"/>
        <w:ind w:left="720" w:hanging="720"/>
        <w:jc w:val="both"/>
      </w:pPr>
      <w:r>
        <w:rPr>
          <w:rFonts w:ascii="Times New Roman" w:cs="Times New Roman" w:eastAsia="Times New Roman" w:hAnsi="Times New Roman"/>
          <w:i w:val="false"/>
          <w:iCs w:val="false"/>
          <w:sz w:val="24"/>
          <w:szCs w:val="24"/>
        </w:rPr>
        <w:t xml:space="preserve">Polus, R., Nautiyal, R., &amp; Nautiyal, A. (2024). Caught in the maze: Exploration of the “tourist trap” phenomenon. </w:t>
      </w:r>
      <w:r>
        <w:rPr>
          <w:rFonts w:ascii="Times New Roman" w:cs="Times New Roman" w:eastAsia="Times New Roman" w:hAnsi="Times New Roman"/>
          <w:i/>
          <w:iCs/>
          <w:sz w:val="24"/>
          <w:szCs w:val="24"/>
        </w:rPr>
        <w:t xml:space="preserve">Tourism Management, 106</w:t>
      </w:r>
      <w:r>
        <w:rPr>
          <w:rFonts w:ascii="Times New Roman" w:cs="Times New Roman" w:eastAsia="Times New Roman" w:hAnsi="Times New Roman"/>
          <w:i w:val="false"/>
          <w:iCs w:val="false"/>
          <w:sz w:val="24"/>
          <w:szCs w:val="24"/>
        </w:rPr>
        <w:t xml:space="preserve">, Artículo 105009. https://www.sciencedirect.com/science/article/pii/S0261517724001286</w:t>
      </w:r>
    </w:p>
    <w:p>
      <w:pPr>
        <w:spacing w:after="200" w:line="276"/>
        <w:ind w:left="720" w:hanging="720"/>
        <w:jc w:val="both"/>
      </w:pPr>
      <w:r>
        <w:rPr>
          <w:rFonts w:ascii="Times New Roman" w:cs="Times New Roman" w:eastAsia="Times New Roman" w:hAnsi="Times New Roman"/>
          <w:i w:val="false"/>
          <w:iCs w:val="false"/>
          <w:sz w:val="24"/>
          <w:szCs w:val="24"/>
        </w:rPr>
        <w:t xml:space="preserve">Portafolio. (2024). </w:t>
      </w:r>
      <w:r>
        <w:rPr>
          <w:rFonts w:ascii="Times New Roman" w:cs="Times New Roman" w:eastAsia="Times New Roman" w:hAnsi="Times New Roman"/>
          <w:i/>
          <w:iCs/>
          <w:sz w:val="24"/>
          <w:szCs w:val="24"/>
        </w:rPr>
        <w:t xml:space="preserve">Prohibición de pago en dólares y más medidas contra estafas a turistas en Cartagena</w:t>
      </w:r>
      <w:r>
        <w:rPr>
          <w:rFonts w:ascii="Times New Roman" w:cs="Times New Roman" w:eastAsia="Times New Roman" w:hAnsi="Times New Roman"/>
          <w:i w:val="false"/>
          <w:iCs w:val="false"/>
          <w:sz w:val="24"/>
          <w:szCs w:val="24"/>
        </w:rPr>
        <w:t xml:space="preserve">. https://www.portafolio.co/economia/regiones/arranco-plan-para-evitar-estafas-y-altos-precios-hacia-turistas-en-cartagena-596878</w:t>
      </w:r>
    </w:p>
    <w:p>
      <w:pPr>
        <w:spacing w:after="200" w:line="276"/>
        <w:ind w:left="720" w:hanging="720"/>
        <w:jc w:val="both"/>
      </w:pPr>
      <w:r>
        <w:rPr>
          <w:rFonts w:ascii="Times New Roman" w:cs="Times New Roman" w:eastAsia="Times New Roman" w:hAnsi="Times New Roman"/>
          <w:i w:val="false"/>
          <w:iCs w:val="false"/>
          <w:sz w:val="24"/>
          <w:szCs w:val="24"/>
        </w:rPr>
        <w:t xml:space="preserve">Semana. (s.f.). </w:t>
      </w:r>
      <w:r>
        <w:rPr>
          <w:rFonts w:ascii="Times New Roman" w:cs="Times New Roman" w:eastAsia="Times New Roman" w:hAnsi="Times New Roman"/>
          <w:i/>
          <w:iCs/>
          <w:sz w:val="24"/>
          <w:szCs w:val="24"/>
        </w:rPr>
        <w:t xml:space="preserve">¿250 mil solo por servicio? Turistas denuncian cobros excesivos en Playa Blanca, Cartagena</w:t>
      </w:r>
      <w:r>
        <w:rPr>
          <w:rFonts w:ascii="Times New Roman" w:cs="Times New Roman" w:eastAsia="Times New Roman" w:hAnsi="Times New Roman"/>
          <w:i w:val="false"/>
          <w:iCs w:val="false"/>
          <w:sz w:val="24"/>
          <w:szCs w:val="24"/>
        </w:rPr>
        <w:t xml:space="preserve">. https://www.semana.com/nacion/cartagena/articulo/250-mil-solo-por-servicio-turistas-denuncian-cobros-excesivos-en-playa-blanca-cartagena/202246/</w:t>
      </w:r>
    </w:p>
    <w:p>
      <w:pPr>
        <w:spacing w:after="200" w:line="276"/>
        <w:ind w:left="720" w:hanging="720"/>
        <w:jc w:val="both"/>
      </w:pPr>
      <w:r>
        <w:rPr>
          <w:rFonts w:ascii="Times New Roman" w:cs="Times New Roman" w:eastAsia="Times New Roman" w:hAnsi="Times New Roman"/>
          <w:i w:val="false"/>
          <w:iCs w:val="false"/>
          <w:sz w:val="24"/>
          <w:szCs w:val="24"/>
        </w:rPr>
        <w:t xml:space="preserve">Superintendencia de Industria y Comercio. (s.f.). </w:t>
      </w:r>
      <w:r>
        <w:rPr>
          <w:rFonts w:ascii="Times New Roman" w:cs="Times New Roman" w:eastAsia="Times New Roman" w:hAnsi="Times New Roman"/>
          <w:i/>
          <w:iCs/>
          <w:sz w:val="24"/>
          <w:szCs w:val="24"/>
        </w:rPr>
        <w:t xml:space="preserve">Superindustria y Anato lanzan cartilla de buenas prácticas empresariales para el sector turístico</w:t>
      </w:r>
      <w:r>
        <w:rPr>
          <w:rFonts w:ascii="Times New Roman" w:cs="Times New Roman" w:eastAsia="Times New Roman" w:hAnsi="Times New Roman"/>
          <w:i w:val="false"/>
          <w:iCs w:val="false"/>
          <w:sz w:val="24"/>
          <w:szCs w:val="24"/>
        </w:rPr>
        <w:t xml:space="preserve">. https://www.sic.gov.co/superindustria-y-anato-lanzan-cartilla-de-buenas-practicas-empresariales-para-el-sector-turistico</w:t>
      </w:r>
    </w:p>
    <w:p>
      <w:pPr>
        <w:spacing w:after="200" w:line="276"/>
        <w:ind w:left="720" w:hanging="720"/>
        <w:jc w:val="both"/>
      </w:pPr>
      <w:r>
        <w:rPr>
          <w:rFonts w:ascii="Times New Roman" w:cs="Times New Roman" w:eastAsia="Times New Roman" w:hAnsi="Times New Roman"/>
          <w:i w:val="false"/>
          <w:iCs w:val="false"/>
          <w:sz w:val="24"/>
          <w:szCs w:val="24"/>
        </w:rPr>
        <w:t xml:space="preserve">Thunderbit. (s.f.). </w:t>
      </w:r>
      <w:r>
        <w:rPr>
          <w:rFonts w:ascii="Times New Roman" w:cs="Times New Roman" w:eastAsia="Times New Roman" w:hAnsi="Times New Roman"/>
          <w:i/>
          <w:iCs/>
          <w:sz w:val="24"/>
          <w:szCs w:val="24"/>
        </w:rPr>
        <w:t xml:space="preserve">Is scraping Google Maps legal? What Google's terms and courts say</w:t>
      </w:r>
      <w:r>
        <w:rPr>
          <w:rFonts w:ascii="Times New Roman" w:cs="Times New Roman" w:eastAsia="Times New Roman" w:hAnsi="Times New Roman"/>
          <w:i w:val="false"/>
          <w:iCs w:val="false"/>
          <w:sz w:val="24"/>
          <w:szCs w:val="24"/>
        </w:rPr>
        <w:t xml:space="preserve">. https://thunderbit.com/blog/is-scraping-google-maps-legal</w:t>
      </w:r>
    </w:p>
    <w:p>
      <w:pPr>
        <w:spacing w:after="200" w:line="276"/>
        <w:ind w:left="720" w:hanging="720"/>
        <w:jc w:val="both"/>
      </w:pPr>
      <w:r>
        <w:rPr>
          <w:rFonts w:ascii="Times New Roman" w:cs="Times New Roman" w:eastAsia="Times New Roman" w:hAnsi="Times New Roman"/>
          <w:i w:val="false"/>
          <w:iCs w:val="false"/>
          <w:sz w:val="24"/>
          <w:szCs w:val="24"/>
        </w:rPr>
        <w:t xml:space="preserve">Xataka Colombia. (s.f.). </w:t>
      </w:r>
      <w:r>
        <w:rPr>
          <w:rFonts w:ascii="Times New Roman" w:cs="Times New Roman" w:eastAsia="Times New Roman" w:hAnsi="Times New Roman"/>
          <w:i/>
          <w:iCs/>
          <w:sz w:val="24"/>
          <w:szCs w:val="24"/>
        </w:rPr>
        <w:t xml:space="preserve">“Visit Cartagena”: La nueva aplicación para combatir los abusos en precios turísticos</w:t>
      </w:r>
      <w:r>
        <w:rPr>
          <w:rFonts w:ascii="Times New Roman" w:cs="Times New Roman" w:eastAsia="Times New Roman" w:hAnsi="Times New Roman"/>
          <w:i w:val="false"/>
          <w:iCs w:val="false"/>
          <w:sz w:val="24"/>
          <w:szCs w:val="24"/>
        </w:rPr>
        <w:t xml:space="preserve">. https://www.xataka.com.co/aplicaciones/visit-cartagena-nueva-aplicacion-para-combatir-abusos-precios-turisticos</w:t>
      </w:r>
    </w:p>
    <w:sectPr>
      <w:headerReference w:type="default" r:id="rId39"/>
      <w:footerReference w:type="default" r:id="rId40"/>
      <w:type w:val="continuous"/>
      <w:pgSz w:w="12240" w:h="15840" w:orient="portrait"/>
      <w:pgMar w:top="720" w:right="720" w:bottom="720" w:left="720"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rPr>
  </w:style>
  <w:style w:type="paragraph" w:styleId="Heading2">
    <w:name w:val="Heading 2"/>
    <w:basedOn w:val="Normal"/>
    <w:next w:val="Normal"/>
    <w:qFormat/>
    <w:rPr>
      <w:rFonts w:ascii="Times New Roman" w:cs="Times New Roman" w:eastAsia="Times New Roman" w:hAnsi="Times New Roman"/>
    </w:rPr>
  </w:style>
  <w:style w:type="paragraph" w:styleId="Heading3">
    <w:name w:val="Heading 3"/>
    <w:basedOn w:val="Normal"/>
    <w:next w:val="Normal"/>
    <w:qFormat/>
    <w:rPr>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image" Target="media/4e1d5300bb530c41c9f1fd6c3d6912e41629c141.png"/><Relationship Id="rId42" Type="http://schemas.openxmlformats.org/officeDocument/2006/relationships/image" Target="media/32db7080ef96b2903bd21319759d9ee29bb4432d.png"/><Relationship Id="rId43" Type="http://schemas.openxmlformats.org/officeDocument/2006/relationships/image" Target="media/8fedf9c506326118f69a4de0582c3c2623d4a18c.png"/><Relationship Id="rId44" Type="http://schemas.openxmlformats.org/officeDocument/2006/relationships/image" Target="media/c22990c082fe80b0a9c89e2597e2e5ea5fbe155d.png"/><Relationship Id="rId45" Type="http://schemas.openxmlformats.org/officeDocument/2006/relationships/fontTable" Target="fontTable.xml"/><Relationship Id="rId46" Type="http://schemas.openxmlformats.org/officeDocument/2006/relationships/image" Target="media/fig_sim.png"/><Relationship Id="rId47" Type="http://schemas.openxmlformats.org/officeDocument/2006/relationships/image" Target="media/fig_app1.png"/><Relationship Id="rId48" Type="http://schemas.openxmlformats.org/officeDocument/2006/relationships/image" Target="media/fig_app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2026-09-20T17:07:13.615Z</dcterms:created>
  <dcterms:modified xsi:type="dcterms:W3CDTF">2026-09-20T17:07:13.616Z</dcterms:modified>
</cp:coreProperties>
</file>

<file path=docProps/custom.xml><?xml version="1.0" encoding="utf-8"?>
<Properties xmlns="http://schemas.openxmlformats.org/officeDocument/2006/custom-properties" xmlns:vt="http://schemas.openxmlformats.org/officeDocument/2006/docPropsVTypes"/>
</file>