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4C1C" w14:textId="75BB69F2" w:rsidR="00EC2851" w:rsidRDefault="00EC2851" w:rsidP="00EC2851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GraphSAGE Environmental Model </w:t>
      </w:r>
      <w:r w:rsidRPr="00D817F1">
        <w:rPr>
          <w:rFonts w:ascii="Calibri" w:hAnsi="Calibri" w:cs="Calibri"/>
          <w:b/>
          <w:bCs/>
          <w:sz w:val="24"/>
          <w:szCs w:val="24"/>
        </w:rPr>
        <w:t>References</w:t>
      </w:r>
    </w:p>
    <w:p w14:paraId="3A0F7702" w14:textId="77777777" w:rsidR="00EC2851" w:rsidRPr="00D817F1" w:rsidRDefault="00EC2851" w:rsidP="00EC2851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7E556156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Aiello, L., &amp; Banerjee, S. (2023).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Detecting Spatial Health Disparities Using Disease Maps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(No.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arXiv:2309.02086).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arXiv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 https://doi.org/10.48550/arXiv.2309.02086</w:t>
      </w:r>
    </w:p>
    <w:p w14:paraId="2C8429BD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Bath, P. A., Craigs, C., Maheswaran, R., Raymond, J., &amp; Willett, P. (2005). Use of Graph Theory to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Identify Patterns of Deprivation and High Morbidity and Mortality in Public Health Data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Sets.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Journal of the American Medical Informatics Association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12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(6), 630–641.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https://doi.org/10.1197/jamia.M1714</w:t>
      </w:r>
    </w:p>
    <w:p w14:paraId="6541F71F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Beale, L., Abellan, J. J., Hodgson, S., &amp;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Jarup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L. (2008). Methodologic Issues and Approaches to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Spatial Epidemiology.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Environmental Health Perspectives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116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(8), 1105–1110.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https://doi.org/10.1289/ehp.10816</w:t>
      </w:r>
    </w:p>
    <w:p w14:paraId="2EB25AB2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Benavidez, G. A., Zahnd, W. E., Hung, P., &amp; Eberth, J. M. (2024). Chronic Disease Prevalence in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the US: Sociodemographic and Geographic Variations by Zip Code Tabulation Area.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Preventing Chronic Disease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21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, 230267. https://doi.org/10.5888/pcd21.230267</w:t>
      </w:r>
    </w:p>
    <w:p w14:paraId="0B4E30DD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Besse, C., &amp; Faye, G. (2021). Dynamics of epidemic spreading on connected graphs.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Journal of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Mathematical Biology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82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(6), 52. https://doi.org/10.1007/s00285-021-01602-5</w:t>
      </w:r>
    </w:p>
    <w:p w14:paraId="51B54BBA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Bonaccorsi, S., Ottaviano, S., Mugnolo, D., &amp; Pellegrini, F. D. (2015). Epidemic Outbreaks in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Networks with Equitable or Almost-Equitable Partitions.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SIAM Journal on Applied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Mathematics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75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(6), 2421–2443. https://doi.org/10.1137/140995829</w:t>
      </w:r>
    </w:p>
    <w:p w14:paraId="3326F650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Casaes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Teixeira, B.,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Toporcov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T. N., Chiaravalloti-Neto, F., &amp;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Chiavegatto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Filho, A. D. P. (2023).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Spatial Clusters of Cancer Mortality in Brazil: A Machine Learning Modeling Approach.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International Journal of Public Health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68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1604789.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https://doi.org/10.3389/ijph.2023.1604789</w:t>
      </w:r>
    </w:p>
    <w:p w14:paraId="78C4296F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Clarke, K. C., McLafferty, S. L., &amp; Tempalski, B. J. (1996). On Epidemiology and Geographic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Information Systems: A Review and Discussion of Future Directions.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Emerging Infectious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Diseases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2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(2), 85–92. https://doi.org/10.3201/eid0202.960202</w:t>
      </w:r>
    </w:p>
    <w:p w14:paraId="18768761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Corrections, F. D. of. (n.d.).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Reception and Medical Center / Institutions List / Institutions—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Florida Department of Corrections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Retrieved February 18, 2025, from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https://www.fdc.myflorida.com/institutions/list-of-major-institutions/209</w:t>
      </w:r>
    </w:p>
    <w:p w14:paraId="1634580D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lastRenderedPageBreak/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Cui, Y., Eccles, K. M., Kwok, R. K., Joubert, B. R., Messier, K. P., &amp; Balshaw, D. M. (2022).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Integrating Multiscale Geospatial Environmental Data into Large Population Health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Studies: Challenges and Opportunities.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Toxics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10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(7), 403.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https://doi.org/10.3390/toxics10070403</w:t>
      </w:r>
    </w:p>
    <w:p w14:paraId="7122ACF5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Does Radon Cause Cancer?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(n.d.). Retrieved May 6, 2025, from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https://www.cancer.org/cancer/risk-prevention/radiation-exposure/radon.html</w:t>
      </w:r>
    </w:p>
    <w:p w14:paraId="5A5222B9" w14:textId="77777777" w:rsidR="00EC2851" w:rsidRPr="00EF1CCF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Fayet, Y., Praud, D.,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Fervers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, B., Ray-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Coquard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I., Blay, J.-Y., </w:t>
      </w:r>
      <w:proofErr w:type="spellStart"/>
      <w:proofErr w:type="gram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Ducimetiere</w:t>
      </w:r>
      <w:proofErr w:type="spellEnd"/>
      <w:proofErr w:type="gram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F.,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Fagherazzi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G., &amp;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Faure, E. (2020). Beyond the map: Evidencing the spatial dimension of health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inequalities.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International Journal of Health Geographics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19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(1), 46.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https://doi.org/10.1186/s12942-020-00242-0</w:t>
      </w:r>
    </w:p>
    <w:p w14:paraId="1C0AE674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proofErr w:type="spellStart"/>
      <w:r w:rsidRPr="00EF1CCF">
        <w:rPr>
          <w:rFonts w:ascii="Calibri" w:hAnsi="Calibri" w:cs="Calibri"/>
          <w:sz w:val="24"/>
          <w:szCs w:val="24"/>
        </w:rPr>
        <w:t>Geopandas</w:t>
      </w:r>
      <w:proofErr w:type="spellEnd"/>
      <w:r w:rsidRPr="00EF1CCF">
        <w:rPr>
          <w:rFonts w:ascii="Calibri" w:hAnsi="Calibri" w:cs="Calibri"/>
          <w:sz w:val="24"/>
          <w:szCs w:val="24"/>
        </w:rPr>
        <w:t xml:space="preserve"> developers. (2023). </w:t>
      </w:r>
      <w:proofErr w:type="spellStart"/>
      <w:r w:rsidRPr="00EF1CCF">
        <w:rPr>
          <w:rFonts w:ascii="Calibri" w:hAnsi="Calibri" w:cs="Calibri"/>
          <w:sz w:val="24"/>
          <w:szCs w:val="24"/>
        </w:rPr>
        <w:t>geopandas</w:t>
      </w:r>
      <w:proofErr w:type="spellEnd"/>
      <w:r w:rsidRPr="00EF1CCF">
        <w:rPr>
          <w:rFonts w:ascii="Calibri" w:hAnsi="Calibri" w:cs="Calibri"/>
          <w:sz w:val="24"/>
          <w:szCs w:val="24"/>
        </w:rPr>
        <w:t>: Python tools for geographic data. Retrieved from https://geopandas.org/</w:t>
      </w:r>
    </w:p>
    <w:p w14:paraId="6937C269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t xml:space="preserve">Google </w:t>
      </w:r>
      <w:proofErr w:type="spellStart"/>
      <w:r w:rsidRPr="00EF1CCF">
        <w:rPr>
          <w:rFonts w:ascii="Calibri" w:hAnsi="Calibri" w:cs="Calibri"/>
          <w:sz w:val="24"/>
          <w:szCs w:val="24"/>
        </w:rPr>
        <w:t>Colab</w:t>
      </w:r>
      <w:proofErr w:type="spellEnd"/>
      <w:r w:rsidRPr="00EF1CCF">
        <w:rPr>
          <w:rFonts w:ascii="Calibri" w:hAnsi="Calibri" w:cs="Calibri"/>
          <w:sz w:val="24"/>
          <w:szCs w:val="24"/>
        </w:rPr>
        <w:t xml:space="preserve">. (2023). Google </w:t>
      </w:r>
      <w:proofErr w:type="spellStart"/>
      <w:r w:rsidRPr="00EF1CCF">
        <w:rPr>
          <w:rFonts w:ascii="Calibri" w:hAnsi="Calibri" w:cs="Calibri"/>
          <w:sz w:val="24"/>
          <w:szCs w:val="24"/>
        </w:rPr>
        <w:t>Colaboratory</w:t>
      </w:r>
      <w:proofErr w:type="spellEnd"/>
      <w:r w:rsidRPr="00EF1CCF">
        <w:rPr>
          <w:rFonts w:ascii="Calibri" w:hAnsi="Calibri" w:cs="Calibri"/>
          <w:sz w:val="24"/>
          <w:szCs w:val="24"/>
        </w:rPr>
        <w:t>. Retrieved from https://colab.research.google.com/</w:t>
      </w:r>
    </w:p>
    <w:p w14:paraId="1B2A20EB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Gu, W., Xue, F., Han, W., Wang, Z., Zhao, J., Zhang, L., Yang, C., &amp; Jiang, J. (2023a). Assessment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of the spatial association between multiple pollutants of surface water and digestive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cancer incidence in China: A novel application of spatial machine learning.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Ecological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Indicators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154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, 110897. https://doi.org/10.1016/j.ecolind.2023.110897</w:t>
      </w:r>
    </w:p>
    <w:p w14:paraId="3A3DAAFE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Gu, W., Xue, F., Han, W., Wang, Z., Zhao, J., Zhang, L., Yang, C., &amp; Jiang, J. (2023b). Assessment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of the spatial association between multiple pollutants of surface water and digestive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cancer incidence in China: A novel application of spatial machine learning.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Ecological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Indicators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154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, 110897. https://doi.org/10.1016/j.ecolind.2023.110897</w:t>
      </w:r>
    </w:p>
    <w:p w14:paraId="6AD5A105" w14:textId="77777777" w:rsidR="00EC2851" w:rsidRPr="00EF1CCF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Hamilton, W. L., Ying, R., &amp; Leskovec, J. (2018).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Inductive Representation Learning on Large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Graphs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(No. arXiv:1706.02216).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arXiv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 https://doi.org/10.48550/arXiv.1706.02216</w:t>
      </w:r>
    </w:p>
    <w:p w14:paraId="208F3959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t xml:space="preserve">Harris, C. R., Millman, K. J., van der Walt, S. J., </w:t>
      </w:r>
      <w:proofErr w:type="spellStart"/>
      <w:r w:rsidRPr="00EF1CCF">
        <w:rPr>
          <w:rFonts w:ascii="Calibri" w:hAnsi="Calibri" w:cs="Calibri"/>
          <w:sz w:val="24"/>
          <w:szCs w:val="24"/>
        </w:rPr>
        <w:t>Gommers</w:t>
      </w:r>
      <w:proofErr w:type="spellEnd"/>
      <w:r w:rsidRPr="00EF1CCF">
        <w:rPr>
          <w:rFonts w:ascii="Calibri" w:hAnsi="Calibri" w:cs="Calibri"/>
          <w:sz w:val="24"/>
          <w:szCs w:val="24"/>
        </w:rPr>
        <w:t xml:space="preserve">, R., Virtanen, P., </w:t>
      </w:r>
      <w:proofErr w:type="spellStart"/>
      <w:r w:rsidRPr="00EF1CCF">
        <w:rPr>
          <w:rFonts w:ascii="Calibri" w:hAnsi="Calibri" w:cs="Calibri"/>
          <w:sz w:val="24"/>
          <w:szCs w:val="24"/>
        </w:rPr>
        <w:t>Cournapeau</w:t>
      </w:r>
      <w:proofErr w:type="spellEnd"/>
      <w:r w:rsidRPr="00EF1CCF">
        <w:rPr>
          <w:rFonts w:ascii="Calibri" w:hAnsi="Calibri" w:cs="Calibri"/>
          <w:sz w:val="24"/>
          <w:szCs w:val="24"/>
        </w:rPr>
        <w:t>, D., ... &amp; Oliphant, T. E. (2020). Array programming with NumPy. Nature, 585(7825), 357-362. https://doi.org/10.1038/s41586-020-2649-2</w:t>
      </w:r>
    </w:p>
    <w:p w14:paraId="3197E0FA" w14:textId="77777777" w:rsidR="00EC2851" w:rsidRPr="00EF1CCF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Hasegawa, T., Yun, S., Liu, X., Phua, Y. J., &amp; Murata, T. (2024).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DEGNN: Dual Experts Graph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Neural Network Handling Both Edge and Node Feature Noise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(No. arXiv:2404.09207).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arXiv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 https://doi.org/10.48550/arXiv.2404.09207</w:t>
      </w:r>
    </w:p>
    <w:p w14:paraId="2A9EA1E6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lastRenderedPageBreak/>
        <w:t>Hunter, J. D. (2007). Matplotlib: A 2D graphics environment. Computing in Science &amp; Engineering, 9(3), 90-95. https://doi.org/10.1109/MCSE.2007.55</w:t>
      </w:r>
    </w:p>
    <w:p w14:paraId="22B5CE8C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Keeling, M. J., &amp; Eames, K. T. D. (2005). Networks and epidemic models.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Journal of The Royal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Society Interface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2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(4), 295–307. https://doi.org/10.1098/rsif.2005.0051</w:t>
      </w:r>
    </w:p>
    <w:p w14:paraId="33C18A1B" w14:textId="77777777" w:rsidR="00EC2851" w:rsidRPr="00EF1CCF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Lee, D., &amp; Sarran, C. (2014).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Controlling for unmeasured confounding and spatial misalignment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in long-term air pollution and health studies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(No. arXiv:1412.4479).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arXiv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https://doi.org/10.48550/arXiv.1412.4479</w:t>
      </w:r>
    </w:p>
    <w:p w14:paraId="22DBFEF5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t>McKinney, W. (2010). Data structures for statistical computing in Python. Proceedings of the 9th Python in Science Conference, 51-56. https://doi.org/10.25080/Majora-92bf1922-00a</w:t>
      </w:r>
    </w:p>
    <w:p w14:paraId="6CD0CBFA" w14:textId="77777777" w:rsidR="00EC2851" w:rsidRPr="00EF1CCF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Oliver, M. N., Matthews, K. A.,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Siadaty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M., Hauck, F. R., &amp; Pickle, L. W. (2005). Geographic bias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related to geocoding in epidemiologic studies.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International Journal of Health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Geographics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4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(1), 29. https://doi.org/10.1186/1476-072X-4-29</w:t>
      </w:r>
    </w:p>
    <w:p w14:paraId="212E20E5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proofErr w:type="spellStart"/>
      <w:r w:rsidRPr="00EF1CCF">
        <w:rPr>
          <w:rFonts w:ascii="Calibri" w:hAnsi="Calibri" w:cs="Calibri"/>
          <w:sz w:val="24"/>
          <w:szCs w:val="24"/>
        </w:rPr>
        <w:t>Paszke</w:t>
      </w:r>
      <w:proofErr w:type="spellEnd"/>
      <w:r w:rsidRPr="00EF1CCF">
        <w:rPr>
          <w:rFonts w:ascii="Calibri" w:hAnsi="Calibri" w:cs="Calibri"/>
          <w:sz w:val="24"/>
          <w:szCs w:val="24"/>
        </w:rPr>
        <w:t xml:space="preserve">, A., Gross, S., Massa, F., Lerer, A., Bradbury, J., Chanan, G., ... &amp; Chintala, S. (2019). </w:t>
      </w:r>
      <w:proofErr w:type="spellStart"/>
      <w:r w:rsidRPr="00EF1CCF">
        <w:rPr>
          <w:rFonts w:ascii="Calibri" w:hAnsi="Calibri" w:cs="Calibri"/>
          <w:sz w:val="24"/>
          <w:szCs w:val="24"/>
        </w:rPr>
        <w:t>PyTorch</w:t>
      </w:r>
      <w:proofErr w:type="spellEnd"/>
      <w:r w:rsidRPr="00EF1CCF">
        <w:rPr>
          <w:rFonts w:ascii="Calibri" w:hAnsi="Calibri" w:cs="Calibri"/>
          <w:sz w:val="24"/>
          <w:szCs w:val="24"/>
        </w:rPr>
        <w:t>: An imperative style, high-performance deep learning library. Advances in Neural Information Processing Systems, 32, 8024-8035. Retrieved from https://pytorch.org/</w:t>
      </w:r>
    </w:p>
    <w:p w14:paraId="01B0BA67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t xml:space="preserve">Pedregosa, F., </w:t>
      </w:r>
      <w:proofErr w:type="spellStart"/>
      <w:r w:rsidRPr="00EF1CCF">
        <w:rPr>
          <w:rFonts w:ascii="Calibri" w:hAnsi="Calibri" w:cs="Calibri"/>
          <w:sz w:val="24"/>
          <w:szCs w:val="24"/>
        </w:rPr>
        <w:t>Varoquaux</w:t>
      </w:r>
      <w:proofErr w:type="spellEnd"/>
      <w:r w:rsidRPr="00EF1CCF">
        <w:rPr>
          <w:rFonts w:ascii="Calibri" w:hAnsi="Calibri" w:cs="Calibri"/>
          <w:sz w:val="24"/>
          <w:szCs w:val="24"/>
        </w:rPr>
        <w:t xml:space="preserve">, G., </w:t>
      </w:r>
      <w:proofErr w:type="spellStart"/>
      <w:r w:rsidRPr="00EF1CCF">
        <w:rPr>
          <w:rFonts w:ascii="Calibri" w:hAnsi="Calibri" w:cs="Calibri"/>
          <w:sz w:val="24"/>
          <w:szCs w:val="24"/>
        </w:rPr>
        <w:t>Gramfort</w:t>
      </w:r>
      <w:proofErr w:type="spellEnd"/>
      <w:r w:rsidRPr="00EF1CCF">
        <w:rPr>
          <w:rFonts w:ascii="Calibri" w:hAnsi="Calibri" w:cs="Calibri"/>
          <w:sz w:val="24"/>
          <w:szCs w:val="24"/>
        </w:rPr>
        <w:t>, A., Michel, V., Thirion, B., Grisel, O., ... &amp; Duchesnay, É. (2011). Scikit-learn: Machine learning in Python. Journal of Machine Learning Research, 12, 2825-2830. Retrieved from https://scikit-learn.org/</w:t>
      </w:r>
    </w:p>
    <w:p w14:paraId="73EBA049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Piel, F. B., Fecht, D., Hodgson, S.,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Blangiardo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M., Toledano, M., Hansell, A. L., &amp; Elliott, P.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(2020). Small-area methods for investigation of environment and health.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International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Journal of Epidemiology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49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(2), 686–699. https://doi.org/10.1093/ije/dyaa006</w:t>
      </w:r>
    </w:p>
    <w:p w14:paraId="31710A6E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Reception and Medical Center. (2024). In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Wikipedia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https://en.wikipedia.org/w/index.php?title=Reception_and_Medical_Center&amp;oldid=125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9064021</w:t>
      </w:r>
    </w:p>
    <w:p w14:paraId="58A9FCBE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Reception and Medical Center Work Camp. (n.d.).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Floridaprisonroster.Org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Retrieved February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18, 2025, from https://floridaprisonroster.org/florida/state/reception-and-medical-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center-work-camp/</w:t>
      </w:r>
    </w:p>
    <w:p w14:paraId="0C51FC9D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lastRenderedPageBreak/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Rezaeian, M., Dunn, G., St Leger, S., &amp; Appleby, L. (2007). Geographical epidemiology, spatial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analysis and geographical information systems: A multidisciplinary glossary.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Journal of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Epidemiology &amp; Community Health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61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(2), 98–102.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https://doi.org/10.1136/jech.2005.043117</w:t>
      </w:r>
    </w:p>
    <w:p w14:paraId="4054C29D" w14:textId="77777777" w:rsidR="00EC2851" w:rsidRPr="00EF1CCF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Saha, A., Ghorbani, M.,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Suleimenova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D., Anagnostou, A., &amp; Groen, D. (2023).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Impact of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geography on the importance of parameters in infectious disease models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(No.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arXiv:2310.02449).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arXiv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 https://doi.org/10.48550/arXiv.2310.02449</w:t>
      </w:r>
    </w:p>
    <w:p w14:paraId="0EBAE7FD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t>Shapely developers. (2023). Shapely: Manipulation and analysis of geometric objects. Retrieved from https://shapely.readthedocs.io/</w:t>
      </w:r>
    </w:p>
    <w:p w14:paraId="33629E6A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Shchur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O., Mumme, M.,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Bojchevski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A., &amp;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Günnemann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S. (2019).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Pitfalls of Graph Neural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Network Evaluation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(No. arXiv:1811.05868).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arXiv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https://doi.org/10.48550/arXiv.1811.05868</w:t>
      </w:r>
    </w:p>
    <w:p w14:paraId="6964299D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Shiode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S. (2012). Revisiting John Snow’s map: Network-based spatial demarcation of cholera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area.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International Journal of Geographical Information Science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26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(1), 133–150.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https://doi.org/10.1080/13658816.2011.577433</w:t>
      </w:r>
    </w:p>
    <w:p w14:paraId="429D5576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Simkin, J., Dummer, T. J. B., Erickson, A. C., Otterstatter, M. C., Woods, R. R., &amp; Ogilvie, G.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(2022). Small area disease mapping of cancer incidence in British Columbia using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Bayesian spatial models and the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smallareamapp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R Package.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Frontiers in Oncology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12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https://doi.org/10.3389/fonc.2022.833265</w:t>
      </w:r>
    </w:p>
    <w:p w14:paraId="28E45926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State Cancer Profiles &gt; Incidence Rates Table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(n.d.). Retrieved February 19, 2025, from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https://www.statecancerprofiles.cancer.gov/incidencerates/index.php?stateFIPS=00&amp;ar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eatype=county&amp;cancer=001&amp;race=00&amp;sex=0&amp;age=001&amp;type=incd&amp;sortVariableName=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rate&amp;sortOrder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=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default&amp;output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=0#results</w:t>
      </w:r>
    </w:p>
    <w:p w14:paraId="5B3CD301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Tan, T. Q., Kullar, R., Swartz, T. H., Mathew, T. A., Piggott, D. A., &amp;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Berthaud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V. (2020). Location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Matters: Geographic Disparities and Impact of Coronavirus Disease 2019.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 xml:space="preserve">The Journal of </w:t>
      </w: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Infectious Diseases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222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(12), 1951–1954. https://doi.org/10.1093/infdis/jiaa583</w:t>
      </w:r>
    </w:p>
    <w:p w14:paraId="4777C327" w14:textId="77777777" w:rsidR="00EC2851" w:rsidRPr="00EF1CCF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Teibo, T. K. A., Andrade, R. L. D. P., Rosa, R. J., Tavares, R. B. V., Berra, T. Z., &amp; </w:t>
      </w:r>
      <w:proofErr w:type="spell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Arcêncio</w:t>
      </w:r>
      <w:proofErr w:type="spell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R. A.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(2023). Geo-spatial high-risk clusters of Tuberculosis in the </w:t>
      </w:r>
      <w:proofErr w:type="gramStart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global general</w:t>
      </w:r>
      <w:proofErr w:type="gramEnd"/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population: A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lastRenderedPageBreak/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systematic review.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BMC Public Health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23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(1), 1586. https://doi.org/10.1186/s12889-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023-16493-y</w:t>
      </w:r>
    </w:p>
    <w:p w14:paraId="58867753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t xml:space="preserve">Tokui, S., Ohta, S., </w:t>
      </w:r>
      <w:proofErr w:type="spellStart"/>
      <w:r w:rsidRPr="00EF1CCF">
        <w:rPr>
          <w:rFonts w:ascii="Calibri" w:hAnsi="Calibri" w:cs="Calibri"/>
          <w:sz w:val="24"/>
          <w:szCs w:val="24"/>
        </w:rPr>
        <w:t>Hido</w:t>
      </w:r>
      <w:proofErr w:type="spellEnd"/>
      <w:r w:rsidRPr="00EF1CCF">
        <w:rPr>
          <w:rFonts w:ascii="Calibri" w:hAnsi="Calibri" w:cs="Calibri"/>
          <w:sz w:val="24"/>
          <w:szCs w:val="24"/>
        </w:rPr>
        <w:t xml:space="preserve">, S., &amp; Crissman, J. (2019). Optuna: A </w:t>
      </w:r>
      <w:proofErr w:type="gramStart"/>
      <w:r w:rsidRPr="00EF1CCF">
        <w:rPr>
          <w:rFonts w:ascii="Calibri" w:hAnsi="Calibri" w:cs="Calibri"/>
          <w:sz w:val="24"/>
          <w:szCs w:val="24"/>
        </w:rPr>
        <w:t>next-generation</w:t>
      </w:r>
      <w:proofErr w:type="gramEnd"/>
      <w:r w:rsidRPr="00EF1CCF">
        <w:rPr>
          <w:rFonts w:ascii="Calibri" w:hAnsi="Calibri" w:cs="Calibri"/>
          <w:sz w:val="24"/>
          <w:szCs w:val="24"/>
        </w:rPr>
        <w:t xml:space="preserve"> hyperparameter optimization framework. Proceedings of the 25th ACM SIGKDD International Conference on Knowledge Discovery &amp; Data Mining, 2623-2631. https://doi.org/10.1145/3292500.3330701</w:t>
      </w:r>
    </w:p>
    <w:p w14:paraId="399C81EC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t xml:space="preserve">Torch Geometric Team. (2023). </w:t>
      </w:r>
      <w:proofErr w:type="spellStart"/>
      <w:r w:rsidRPr="00EF1CCF">
        <w:rPr>
          <w:rFonts w:ascii="Calibri" w:hAnsi="Calibri" w:cs="Calibri"/>
          <w:sz w:val="24"/>
          <w:szCs w:val="24"/>
        </w:rPr>
        <w:t>PyTorch</w:t>
      </w:r>
      <w:proofErr w:type="spellEnd"/>
      <w:r w:rsidRPr="00EF1CCF">
        <w:rPr>
          <w:rFonts w:ascii="Calibri" w:hAnsi="Calibri" w:cs="Calibri"/>
          <w:sz w:val="24"/>
          <w:szCs w:val="24"/>
        </w:rPr>
        <w:t xml:space="preserve"> Geometric: Graph learning in </w:t>
      </w:r>
      <w:proofErr w:type="spellStart"/>
      <w:r w:rsidRPr="00EF1CCF">
        <w:rPr>
          <w:rFonts w:ascii="Calibri" w:hAnsi="Calibri" w:cs="Calibri"/>
          <w:sz w:val="24"/>
          <w:szCs w:val="24"/>
        </w:rPr>
        <w:t>PyTorch</w:t>
      </w:r>
      <w:proofErr w:type="spellEnd"/>
      <w:r w:rsidRPr="00EF1CCF">
        <w:rPr>
          <w:rFonts w:ascii="Calibri" w:hAnsi="Calibri" w:cs="Calibri"/>
          <w:sz w:val="24"/>
          <w:szCs w:val="24"/>
        </w:rPr>
        <w:t>. Retrieved from https://pytorch-geometric.readthedocs.io/</w:t>
      </w:r>
    </w:p>
    <w:p w14:paraId="4430FB3F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U.S. Census Bureau QuickFacts: Union County, Florida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(n.d.). Retrieved February 18, 2025, from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https://www.census.gov/quickfacts/fact/table/unioncountyflorida/PST045224</w:t>
      </w:r>
    </w:p>
    <w:p w14:paraId="262388CA" w14:textId="77777777" w:rsidR="00EC2851" w:rsidRPr="003F4AAC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 EPA, O. (2015, February 12). </w:t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Superfund Data and Reports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[Reports and Assessments].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https://www.epa.gov/superfund/superfund-data-and-reports</w:t>
      </w:r>
    </w:p>
    <w:p w14:paraId="3C436C40" w14:textId="77777777" w:rsidR="00EC2851" w:rsidRPr="00EF1CCF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US: Louisiana’s ‘Cancer Alley’ | Human Rights Watch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. (2024, January 25).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https://www.hrw.org/news/2024/01/25/us-louisianas-cancer-alley</w:t>
      </w:r>
    </w:p>
    <w:p w14:paraId="019C95F1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t>Van Rossum, G., &amp; Drake, F. L. (2009). Python 3 Reference Manual. Scotts Valley, CA: CreateSpace. Retrieved from https://www.python.org/</w:t>
      </w:r>
    </w:p>
    <w:p w14:paraId="6F30E4FD" w14:textId="77777777" w:rsidR="00EC2851" w:rsidRPr="00EF1CCF" w:rsidRDefault="00EC2851" w:rsidP="00EC2851">
      <w:pPr>
        <w:spacing w:line="360" w:lineRule="auto"/>
        <w:ind w:hanging="475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EF1CCF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i/>
          <w:iCs/>
          <w:kern w:val="0"/>
          <w:sz w:val="24"/>
          <w:szCs w:val="24"/>
          <w14:ligatures w14:val="none"/>
        </w:rPr>
        <w:t>WHERE ARE AMERICA’S TEN MOST POLLUTED RIVERS?</w:t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(n.d.). APEC WATER. Retrieved February 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19, 2025, from https://www.freedrinkingwater.com/blogs/water-quality/1-americas-</w:t>
      </w:r>
      <w:r w:rsidRPr="00EF1CC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ab/>
      </w:r>
      <w:r w:rsidRPr="003F4AAC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ten-most-polluted-rivers</w:t>
      </w:r>
    </w:p>
    <w:p w14:paraId="41CD9EB8" w14:textId="77777777" w:rsidR="00EC2851" w:rsidRPr="00EF1CCF" w:rsidRDefault="00EC2851" w:rsidP="00EC2851">
      <w:pPr>
        <w:pStyle w:val="NoSpacing"/>
        <w:spacing w:line="360" w:lineRule="auto"/>
        <w:ind w:left="720" w:hanging="720"/>
        <w:rPr>
          <w:rFonts w:ascii="Calibri" w:hAnsi="Calibri" w:cs="Calibri"/>
          <w:sz w:val="24"/>
          <w:szCs w:val="24"/>
        </w:rPr>
      </w:pPr>
      <w:r w:rsidRPr="00EF1CCF">
        <w:rPr>
          <w:rFonts w:ascii="Calibri" w:hAnsi="Calibri" w:cs="Calibri"/>
          <w:sz w:val="24"/>
          <w:szCs w:val="24"/>
        </w:rPr>
        <w:t>Williams, T., Kelley, C., et al. (2023). Tabulate: Pretty-print tabular data in Python. Retrieved from https://pypi.org/project/tabulate/</w:t>
      </w:r>
    </w:p>
    <w:p w14:paraId="19908B7A" w14:textId="77777777" w:rsidR="00D63C6F" w:rsidRDefault="00D63C6F"/>
    <w:sectPr w:rsidR="00D63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51"/>
    <w:rsid w:val="00216252"/>
    <w:rsid w:val="006828C0"/>
    <w:rsid w:val="00884F9F"/>
    <w:rsid w:val="00977D96"/>
    <w:rsid w:val="009B7261"/>
    <w:rsid w:val="00C860D2"/>
    <w:rsid w:val="00D63C6F"/>
    <w:rsid w:val="00DF0D78"/>
    <w:rsid w:val="00EC2851"/>
    <w:rsid w:val="00FB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800A"/>
  <w15:chartTrackingRefBased/>
  <w15:docId w15:val="{21DAF1ED-46C2-461D-A6C8-0ED5EB6A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EC2851"/>
    <w:pPr>
      <w:contextualSpacing/>
    </w:pPr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8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8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8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8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8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8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8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6252"/>
    <w:pPr>
      <w:contextualSpacing/>
    </w:pPr>
    <w:rPr>
      <w:rFonts w:ascii="Verdana" w:hAnsi="Verdana"/>
    </w:rPr>
  </w:style>
  <w:style w:type="character" w:customStyle="1" w:styleId="Heading1Char">
    <w:name w:val="Heading 1 Char"/>
    <w:basedOn w:val="DefaultParagraphFont"/>
    <w:link w:val="Heading1"/>
    <w:uiPriority w:val="9"/>
    <w:rsid w:val="00EC2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851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8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8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851"/>
    <w:rPr>
      <w:rFonts w:ascii="Verdana" w:hAnsi="Verdan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851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C2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851"/>
    <w:rPr>
      <w:rFonts w:ascii="Verdana" w:hAnsi="Verdan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88123BD4BFF4BB6E1493C4CA41BCC" ma:contentTypeVersion="11" ma:contentTypeDescription="Create a new document." ma:contentTypeScope="" ma:versionID="f229abcd8161b98bcac15808a0d77c50">
  <xsd:schema xmlns:xsd="http://www.w3.org/2001/XMLSchema" xmlns:xs="http://www.w3.org/2001/XMLSchema" xmlns:p="http://schemas.microsoft.com/office/2006/metadata/properties" xmlns:ns2="c777777e-1ffb-4618-8ccf-3c243d531f26" xmlns:ns3="5fe9fb69-378a-4eef-b188-89b3f454330f" targetNamespace="http://schemas.microsoft.com/office/2006/metadata/properties" ma:root="true" ma:fieldsID="ee7bb4462343b422ad1a5aea87311475" ns2:_="" ns3:_="">
    <xsd:import namespace="c777777e-1ffb-4618-8ccf-3c243d531f26"/>
    <xsd:import namespace="5fe9fb69-378a-4eef-b188-89b3f45433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7777e-1ffb-4618-8ccf-3c243d531f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d6df8f-d6bb-45dc-bd80-81c67b4c63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e9fb69-378a-4eef-b188-89b3f45433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07cd7d-63d7-40d1-a501-a1fa78c7fb24}" ma:internalName="TaxCatchAll" ma:showField="CatchAllData" ma:web="5fe9fb69-378a-4eef-b188-89b3f45433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e9fb69-378a-4eef-b188-89b3f454330f" xsi:nil="true"/>
    <lcf76f155ced4ddcb4097134ff3c332f xmlns="c777777e-1ffb-4618-8ccf-3c243d531f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0841A7-8F94-4BD6-8581-30A971CEE078}"/>
</file>

<file path=customXml/itemProps2.xml><?xml version="1.0" encoding="utf-8"?>
<ds:datastoreItem xmlns:ds="http://schemas.openxmlformats.org/officeDocument/2006/customXml" ds:itemID="{116BCC4C-F4EA-4B59-BDEB-435C82A677A0}"/>
</file>

<file path=customXml/itemProps3.xml><?xml version="1.0" encoding="utf-8"?>
<ds:datastoreItem xmlns:ds="http://schemas.openxmlformats.org/officeDocument/2006/customXml" ds:itemID="{4049691B-0456-422F-BA52-073E3A50C7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1485</Words>
  <Characters>8526</Characters>
  <Application>Microsoft Office Word</Application>
  <DocSecurity>0</DocSecurity>
  <Lines>167</Lines>
  <Paragraphs>46</Paragraphs>
  <ScaleCrop>false</ScaleCrop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Driscoll</dc:creator>
  <cp:keywords/>
  <dc:description/>
  <cp:lastModifiedBy>Jason Driscoll</cp:lastModifiedBy>
  <cp:revision>2</cp:revision>
  <dcterms:created xsi:type="dcterms:W3CDTF">2025-05-08T01:01:00Z</dcterms:created>
  <dcterms:modified xsi:type="dcterms:W3CDTF">2025-05-08T01:01:00Z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0x01010068188123BD4BFF4BB6E1493C4CA41BCC</vt:lpwstr>
  </property>
</Properties>
</file>