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7F" w:rsidRDefault="00691A7F" w:rsidP="00691A7F">
      <w:pPr>
        <w:pStyle w:val="Title"/>
      </w:pPr>
      <w:r>
        <w:t>Collision</w:t>
      </w:r>
    </w:p>
    <w:p w:rsidR="006E2019" w:rsidRDefault="00573FB6"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691A7F" w:rsidRDefault="00691A7F" w:rsidP="00691A7F">
      <w:pPr>
        <w:pStyle w:val="NormalWeb"/>
        <w:rPr>
          <w:rFonts w:ascii="Segoe UI" w:hAnsi="Segoe UI" w:cs="Segoe UI"/>
          <w:color w:val="000000"/>
          <w:sz w:val="19"/>
          <w:szCs w:val="19"/>
        </w:rPr>
      </w:pPr>
      <w:r>
        <w:rPr>
          <w:rFonts w:ascii="Segoe UI" w:hAnsi="Segoe UI" w:cs="Segoe UI"/>
          <w:color w:val="000000"/>
          <w:sz w:val="19"/>
          <w:szCs w:val="19"/>
        </w:rPr>
        <w:t xml:space="preserve">This sample demonstrates </w:t>
      </w:r>
      <w:hyperlink r:id="rId8" w:history="1">
        <w:proofErr w:type="spellStart"/>
        <w:r>
          <w:rPr>
            <w:rStyle w:val="Hyperlink"/>
            <w:sz w:val="19"/>
            <w:szCs w:val="19"/>
          </w:rPr>
          <w:t>DirectXMath</w:t>
        </w:r>
        <w:proofErr w:type="spellEnd"/>
      </w:hyperlink>
      <w:r>
        <w:rPr>
          <w:rFonts w:ascii="Segoe UI" w:hAnsi="Segoe UI" w:cs="Segoe UI"/>
          <w:color w:val="000000"/>
          <w:sz w:val="19"/>
          <w:szCs w:val="19"/>
        </w:rPr>
        <w:t xml:space="preserve"> using the </w:t>
      </w:r>
      <w:hyperlink r:id="rId9" w:history="1">
        <w:r>
          <w:rPr>
            <w:rStyle w:val="Hyperlink"/>
            <w:sz w:val="19"/>
            <w:szCs w:val="19"/>
          </w:rPr>
          <w:t>DirectX Tool Kit</w:t>
        </w:r>
      </w:hyperlink>
      <w:r>
        <w:rPr>
          <w:rFonts w:ascii="Segoe UI" w:hAnsi="Segoe UI" w:cs="Segoe UI"/>
          <w:color w:val="000000"/>
          <w:sz w:val="19"/>
          <w:szCs w:val="19"/>
        </w:rPr>
        <w:t xml:space="preserve"> and </w:t>
      </w:r>
      <w:hyperlink r:id="rId10" w:history="1">
        <w:r>
          <w:rPr>
            <w:rStyle w:val="Hyperlink"/>
            <w:sz w:val="19"/>
            <w:szCs w:val="19"/>
          </w:rPr>
          <w:t>DXUT for Direct3D 11</w:t>
        </w:r>
      </w:hyperlink>
      <w:r>
        <w:rPr>
          <w:rFonts w:ascii="Segoe UI" w:hAnsi="Segoe UI" w:cs="Segoe UI"/>
          <w:color w:val="000000"/>
          <w:sz w:val="19"/>
          <w:szCs w:val="19"/>
        </w:rPr>
        <w:t> framework for Win32 desktop applications.</w:t>
      </w:r>
    </w:p>
    <w:p w:rsidR="00691A7F" w:rsidRDefault="00691A7F" w:rsidP="00691A7F">
      <w:pPr>
        <w:pStyle w:val="Heading2"/>
        <w:rPr>
          <w:sz w:val="23"/>
          <w:szCs w:val="23"/>
        </w:rPr>
      </w:pPr>
      <w:r>
        <w:rPr>
          <w:sz w:val="23"/>
          <w:szCs w:val="23"/>
        </w:rPr>
        <w:t>Collision</w:t>
      </w:r>
    </w:p>
    <w:p w:rsidR="00691A7F" w:rsidRDefault="00691A7F" w:rsidP="00691A7F">
      <w:pPr>
        <w:pStyle w:val="Heading2"/>
        <w:rPr>
          <w:sz w:val="23"/>
          <w:szCs w:val="23"/>
        </w:rPr>
      </w:pPr>
      <w:r>
        <w:rPr>
          <w:noProof/>
          <w:sz w:val="23"/>
          <w:szCs w:val="23"/>
        </w:rPr>
        <w:drawing>
          <wp:inline distT="0" distB="0" distL="0" distR="0">
            <wp:extent cx="847725" cy="676275"/>
            <wp:effectExtent l="0" t="0" r="9525" b="9525"/>
            <wp:docPr id="1" name="Picture 1" descr="https://code.msdn.microsoft.com/site/view/file/96797/1/Coll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797" descr="https://code.msdn.microsoft.com/site/view/file/96797/1/Collis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676275"/>
                    </a:xfrm>
                    <a:prstGeom prst="rect">
                      <a:avLst/>
                    </a:prstGeom>
                    <a:noFill/>
                    <a:ln>
                      <a:noFill/>
                    </a:ln>
                  </pic:spPr>
                </pic:pic>
              </a:graphicData>
            </a:graphic>
          </wp:inline>
        </w:drawing>
      </w:r>
    </w:p>
    <w:p w:rsidR="00691A7F" w:rsidRDefault="00691A7F" w:rsidP="00E57DAE">
      <w:pPr>
        <w:pStyle w:val="Heading2"/>
      </w:pPr>
      <w:r>
        <w:t>Create and Initialize Collision Object Structures</w:t>
      </w:r>
    </w:p>
    <w:p w:rsidR="00691A7F" w:rsidRDefault="00691A7F" w:rsidP="00E57DAE">
      <w:r>
        <w:t xml:space="preserve">The </w:t>
      </w:r>
      <w:proofErr w:type="spellStart"/>
      <w:r>
        <w:t>DirectXMath</w:t>
      </w:r>
      <w:proofErr w:type="spellEnd"/>
      <w:r>
        <w:t xml:space="preserve"> Collision library has API functions to test collisions between many types of geometric shapes, including frustums, spheres, axis-aligned bounding boxes, oriented bounding boxes, triangles, planes, and rays. The Collision library header file also defines simple structures for most of these shapes. </w:t>
      </w:r>
      <w:proofErr w:type="spellStart"/>
      <w:r>
        <w:t>DirectXMath</w:t>
      </w:r>
      <w:proofErr w:type="spellEnd"/>
      <w:r>
        <w:t xml:space="preserve"> Math library types (XMVECTOR, and so on) are used for rays, triangles, and planes.</w:t>
      </w:r>
    </w:p>
    <w:p w:rsidR="00691A7F" w:rsidRDefault="00691A7F" w:rsidP="00E57DAE">
      <w:r>
        <w:t>The collision objects are created in two groups—primary and secondary. Each collision test occurs between a primary object and a secondary object, and the collision result is recorded on the secondary object. Therefore, for secondary objects, a custom data structure is made for each type of collision object. The data structure contains a collision object structure and an integer flag to hold collision results.</w:t>
      </w:r>
    </w:p>
    <w:p w:rsidR="00691A7F" w:rsidRDefault="00691A7F" w:rsidP="00E57DAE">
      <w:r>
        <w:t>The sample is visually organized so that each group of objects on the screen contains one primary object and a collection of secondary objects. Primary objects are made significantly larger than secondary objects.</w:t>
      </w:r>
    </w:p>
    <w:p w:rsidR="00691A7F" w:rsidRDefault="00691A7F" w:rsidP="00E57DAE">
      <w:r>
        <w:t>Notice how the frustum object is created from a projection matrix. This way of constructing a frustum object makes it easy to create a frustum from your title's camera projection matrix, and then use the Collision library to do frustum testing on game objects.</w:t>
      </w:r>
    </w:p>
    <w:p w:rsidR="00691A7F" w:rsidRDefault="00691A7F" w:rsidP="00E57DAE">
      <w:pPr>
        <w:pStyle w:val="Heading2"/>
      </w:pPr>
      <w:r>
        <w:lastRenderedPageBreak/>
        <w:t>Animate Collision Objects</w:t>
      </w:r>
    </w:p>
    <w:p w:rsidR="00691A7F" w:rsidRDefault="00691A7F" w:rsidP="00E57DAE">
      <w:r>
        <w:t>Note that only the secondary collision objects are animated. The sample uses simple mathematics functions to move these objects around and through the primary collision objects, providing opportunities for collisions to occur.</w:t>
      </w:r>
    </w:p>
    <w:p w:rsidR="00691A7F" w:rsidRDefault="00691A7F" w:rsidP="00E57DAE">
      <w:pPr>
        <w:pStyle w:val="Heading2"/>
      </w:pPr>
      <w:r>
        <w:t>Update the Camera</w:t>
      </w:r>
    </w:p>
    <w:p w:rsidR="00691A7F" w:rsidRDefault="00691A7F" w:rsidP="00E57DAE">
      <w:r>
        <w:t>The sample uses the standard DXUT Model Viewer camera. You can select preset camera locations for the four sample collision groups through the UI or by pressing 1, 2, 3, or 4 on the keyboard.</w:t>
      </w:r>
    </w:p>
    <w:p w:rsidR="00691A7F" w:rsidRDefault="00691A7F" w:rsidP="00E57DAE">
      <w:pPr>
        <w:pStyle w:val="Heading2"/>
      </w:pPr>
      <w:r>
        <w:t>Test Collisions</w:t>
      </w:r>
    </w:p>
    <w:p w:rsidR="00691A7F" w:rsidRDefault="00691A7F" w:rsidP="00E57DAE">
      <w:r>
        <w:t>The Collide function calls various functions in the Collision library on pairs of objects. The calls are grouped by primary object, so frustum tests come first, then axis-aligned box tests, and so on. Results from the collision tests, which are usually Boolean, are stored in the secondary object involved in each test.</w:t>
      </w:r>
    </w:p>
    <w:p w:rsidR="00691A7F" w:rsidRDefault="00691A7F" w:rsidP="00E57DAE">
      <w:r>
        <w:t>For ray-object collision tests, the collision function returns a float parameter that represents the distance along the ray at which the collision occurred. If one of the ray-object collision tests succeeds, the float parameter is used to compute the 3D location of the collision. This location is stored as the center of a small cube, which is rendered later.</w:t>
      </w:r>
    </w:p>
    <w:p w:rsidR="00691A7F" w:rsidRDefault="00691A7F" w:rsidP="00E57DAE">
      <w:pPr>
        <w:pStyle w:val="Heading2"/>
      </w:pPr>
      <w:r>
        <w:t>Render Collision Objects</w:t>
      </w:r>
    </w:p>
    <w:p w:rsidR="00691A7F" w:rsidRDefault="00691A7F" w:rsidP="00E57DAE">
      <w:r>
        <w:t>The Collision sample uses various drawing functions to render each collision object in wireframe graphics. The sample progresses through the following steps:</w:t>
      </w:r>
    </w:p>
    <w:p w:rsidR="00691A7F" w:rsidRDefault="00691A7F" w:rsidP="00E57DAE">
      <w:pPr>
        <w:pStyle w:val="ListParagraph"/>
        <w:numPr>
          <w:ilvl w:val="0"/>
          <w:numId w:val="4"/>
        </w:numPr>
      </w:pPr>
      <w:bookmarkStart w:id="0" w:name="_GoBack"/>
      <w:r>
        <w:t xml:space="preserve">It draws black gridlines to represent a ground plane below each object group. These gridlines are purely decorative, and help as a visual reference to establish the scene. </w:t>
      </w:r>
    </w:p>
    <w:p w:rsidR="00691A7F" w:rsidRDefault="00691A7F" w:rsidP="00E57DAE">
      <w:pPr>
        <w:pStyle w:val="ListParagraph"/>
        <w:numPr>
          <w:ilvl w:val="0"/>
          <w:numId w:val="4"/>
        </w:numPr>
      </w:pPr>
      <w:r>
        <w:t xml:space="preserve">It draws the primary collision objects in white. </w:t>
      </w:r>
    </w:p>
    <w:p w:rsidR="00691A7F" w:rsidRDefault="00691A7F" w:rsidP="00E57DAE">
      <w:pPr>
        <w:pStyle w:val="ListParagraph"/>
        <w:numPr>
          <w:ilvl w:val="0"/>
          <w:numId w:val="4"/>
        </w:numPr>
      </w:pPr>
      <w:r>
        <w:t xml:space="preserve">Using the results of each collision test, the sample draws the secondary objects in various colors. Red represents a collision; light green represents no collision. For the frustum collision tests, yellow represents a partial collision—that is, the object is partially inside the frustum, and partially outside. </w:t>
      </w:r>
    </w:p>
    <w:p w:rsidR="00691A7F" w:rsidRDefault="00691A7F" w:rsidP="00E57DAE">
      <w:pPr>
        <w:pStyle w:val="ListParagraph"/>
        <w:numPr>
          <w:ilvl w:val="0"/>
          <w:numId w:val="4"/>
        </w:numPr>
      </w:pPr>
      <w:r>
        <w:t xml:space="preserve">The sample renders ray-object collision tests in a separate group, and renders the collision ray in white. To better visually represent the extended direction of the collision ray, the sample renders a longer gray ray aligned with the collision ray. </w:t>
      </w:r>
    </w:p>
    <w:p w:rsidR="00691A7F" w:rsidRDefault="00691A7F" w:rsidP="00E57DAE">
      <w:pPr>
        <w:pStyle w:val="ListParagraph"/>
        <w:numPr>
          <w:ilvl w:val="0"/>
          <w:numId w:val="4"/>
        </w:numPr>
      </w:pPr>
      <w:r>
        <w:t xml:space="preserve">If one of the ray-object collision tests succeeds, the sample renders a small yellow cube at the collision location. </w:t>
      </w:r>
    </w:p>
    <w:bookmarkEnd w:id="0"/>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w:t>
      </w:r>
      <w:r>
        <w:lastRenderedPageBreak/>
        <w:t xml:space="preserve">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573FB6" w:rsidP="006E2019">
      <w:pPr>
        <w:rPr>
          <w:rFonts w:ascii="Segoe UI" w:hAnsi="Segoe UI" w:cs="Segoe UI"/>
          <w:color w:val="000000"/>
          <w:sz w:val="19"/>
          <w:szCs w:val="19"/>
        </w:rPr>
      </w:pPr>
      <w:hyperlink r:id="rId12" w:history="1">
        <w:r w:rsidR="007F45A2">
          <w:rPr>
            <w:rStyle w:val="Hyperlink"/>
            <w:sz w:val="19"/>
            <w:szCs w:val="19"/>
          </w:rPr>
          <w:t>Where is the DirectX SDK?</w:t>
        </w:r>
      </w:hyperlink>
    </w:p>
    <w:p w:rsidR="007F45A2" w:rsidRDefault="00573FB6" w:rsidP="006E2019">
      <w:pPr>
        <w:rPr>
          <w:rFonts w:ascii="Segoe UI" w:hAnsi="Segoe UI" w:cs="Segoe UI"/>
          <w:color w:val="000000"/>
          <w:sz w:val="19"/>
          <w:szCs w:val="19"/>
        </w:rPr>
      </w:pPr>
      <w:hyperlink r:id="rId13"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573FB6" w:rsidP="006E2019">
      <w:pPr>
        <w:rPr>
          <w:rStyle w:val="Hyperlink"/>
          <w:sz w:val="19"/>
          <w:szCs w:val="19"/>
        </w:rPr>
      </w:pPr>
      <w:hyperlink r:id="rId14" w:history="1">
        <w:r w:rsidR="007F45A2">
          <w:rPr>
            <w:rStyle w:val="Hyperlink"/>
            <w:sz w:val="19"/>
            <w:szCs w:val="19"/>
          </w:rPr>
          <w:t>DXUT for Win32 Desktop Update</w:t>
        </w:r>
      </w:hyperlink>
    </w:p>
    <w:p w:rsidR="00691A7F" w:rsidRDefault="00573FB6" w:rsidP="006E2019">
      <w:pPr>
        <w:rPr>
          <w:rFonts w:ascii="Segoe UI" w:hAnsi="Segoe UI" w:cs="Segoe UI"/>
          <w:color w:val="000000"/>
          <w:sz w:val="19"/>
          <w:szCs w:val="19"/>
        </w:rPr>
      </w:pPr>
      <w:hyperlink r:id="rId15" w:history="1">
        <w:r w:rsidR="00691A7F">
          <w:rPr>
            <w:rStyle w:val="Hyperlink"/>
            <w:sz w:val="19"/>
            <w:szCs w:val="19"/>
          </w:rPr>
          <w:t>DirectX Tool Kit</w:t>
        </w:r>
      </w:hyperlink>
    </w:p>
    <w:p w:rsidR="007F45A2" w:rsidRDefault="00573FB6" w:rsidP="006E2019">
      <w:pPr>
        <w:rPr>
          <w:rFonts w:ascii="Segoe UI" w:hAnsi="Segoe UI" w:cs="Segoe UI"/>
          <w:color w:val="000000"/>
          <w:sz w:val="19"/>
          <w:szCs w:val="19"/>
        </w:rPr>
      </w:pPr>
      <w:hyperlink r:id="rId16" w:history="1">
        <w:r w:rsidR="007F45A2">
          <w:rPr>
            <w:rStyle w:val="Hyperlink"/>
            <w:sz w:val="19"/>
            <w:szCs w:val="19"/>
          </w:rPr>
          <w:t>Games for Windows and DirectX SDK blog</w:t>
        </w:r>
      </w:hyperlink>
    </w:p>
    <w:p w:rsidR="007F45A2" w:rsidRDefault="007F45A2"/>
    <w:sectPr w:rsidR="007F45A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FB6" w:rsidRDefault="00573FB6" w:rsidP="00A125D6">
      <w:pPr>
        <w:spacing w:after="0" w:line="240" w:lineRule="auto"/>
      </w:pPr>
      <w:r>
        <w:separator/>
      </w:r>
    </w:p>
  </w:endnote>
  <w:endnote w:type="continuationSeparator" w:id="0">
    <w:p w:rsidR="00573FB6" w:rsidRDefault="00573FB6"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FB6" w:rsidRDefault="00573FB6" w:rsidP="00A125D6">
      <w:pPr>
        <w:spacing w:after="0" w:line="240" w:lineRule="auto"/>
      </w:pPr>
      <w:r>
        <w:separator/>
      </w:r>
    </w:p>
  </w:footnote>
  <w:footnote w:type="continuationSeparator" w:id="0">
    <w:p w:rsidR="00573FB6" w:rsidRDefault="00573FB6"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4080B"/>
    <w:multiLevelType w:val="hybridMultilevel"/>
    <w:tmpl w:val="691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A491B"/>
    <w:multiLevelType w:val="multilevel"/>
    <w:tmpl w:val="B556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511F5"/>
    <w:rsid w:val="002A5168"/>
    <w:rsid w:val="00573FB6"/>
    <w:rsid w:val="00691A7F"/>
    <w:rsid w:val="00695DF5"/>
    <w:rsid w:val="006E2019"/>
    <w:rsid w:val="007932FA"/>
    <w:rsid w:val="007F45A2"/>
    <w:rsid w:val="00A125D6"/>
    <w:rsid w:val="00A70E0B"/>
    <w:rsid w:val="00B71902"/>
    <w:rsid w:val="00CD1758"/>
    <w:rsid w:val="00D152B2"/>
    <w:rsid w:val="00E57DAE"/>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91635462">
      <w:bodyDiv w:val="1"/>
      <w:marLeft w:val="0"/>
      <w:marRight w:val="0"/>
      <w:marTop w:val="0"/>
      <w:marBottom w:val="0"/>
      <w:divBdr>
        <w:top w:val="none" w:sz="0" w:space="0" w:color="auto"/>
        <w:left w:val="none" w:sz="0" w:space="0" w:color="auto"/>
        <w:bottom w:val="none" w:sz="0" w:space="0" w:color="auto"/>
        <w:right w:val="none" w:sz="0" w:space="0" w:color="auto"/>
      </w:divBdr>
      <w:divsChild>
        <w:div w:id="466899611">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chuckw/archive/2012/03/27/introducing-directxmath.aspx" TargetMode="External"/><Relationship Id="rId13" Type="http://schemas.openxmlformats.org/officeDocument/2006/relationships/hyperlink" Target="http://blogs.msdn.com/b/chuckw/archive/2013/07/01/where-is-the-directx-sdk-2013-edition.asp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2/03/22/where-is-the-directx-sdk.asp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logs.msdn.com/b/chuckw/"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irectxtk.codeplex.com/" TargetMode="External"/><Relationship Id="rId23" Type="http://schemas.openxmlformats.org/officeDocument/2006/relationships/fontTable" Target="fontTable.xml"/><Relationship Id="rId10" Type="http://schemas.openxmlformats.org/officeDocument/2006/relationships/hyperlink" Target="http://go.microsoft.com/fwlink/?LinkId=320437"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o.microsoft.com/fwlink/?LinkId=248929" TargetMode="External"/><Relationship Id="rId14" Type="http://schemas.openxmlformats.org/officeDocument/2006/relationships/hyperlink" Target="http://blogs.msdn.com/b/chuckw/archive/2013/09/14/dxut-for-win32-desktop-update.asp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2015-06-18T02:06:00Z</dcterms:modified>
</cp:coreProperties>
</file>