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59D" w:rsidRDefault="00A8759D" w:rsidP="00A8759D">
      <w:pPr>
        <w:pStyle w:val="Title"/>
      </w:pPr>
      <w:r>
        <w:t>SubD11</w:t>
      </w:r>
    </w:p>
    <w:p w:rsidR="006E2019" w:rsidRDefault="009A3AC9" w:rsidP="006E2019">
      <w:pPr>
        <w:pStyle w:val="Subtitle"/>
      </w:pPr>
      <w:hyperlink r:id="rId7" w:history="1">
        <w:r w:rsidR="006E2019" w:rsidRPr="000E4D61">
          <w:rPr>
            <w:rStyle w:val="Hyperlink"/>
          </w:rPr>
          <w:t>https://github.com/walbourn/directx-sdk-samples</w:t>
        </w:r>
      </w:hyperlink>
    </w:p>
    <w:p w:rsidR="00FE5DBF" w:rsidRDefault="00FE5DBF" w:rsidP="006E2019">
      <w:r>
        <w:t>This is the DirectX SDK's Direct3D 11 sample updated to use Visual Studio 2012 and the Windows SDK 8.0 without any dependencies on legacy DirectX SDK content. This sample is a Win32 desktop DirectX 11.0 application for Windows 10, Windows 8.1, Windows 8, Windows 7, and Windows Vista Service Pack 2 with the DirectX 11.0 runtime. </w:t>
      </w:r>
    </w:p>
    <w:p w:rsidR="00FE5DBF" w:rsidRPr="006E2019" w:rsidRDefault="00FE5DBF" w:rsidP="00FE5DBF">
      <w:pPr>
        <w:pStyle w:val="NormalWeb"/>
        <w:rPr>
          <w:rStyle w:val="Strong"/>
        </w:rPr>
      </w:pPr>
      <w:r w:rsidRPr="006E2019">
        <w:rPr>
          <w:rStyle w:val="Strong"/>
        </w:rPr>
        <w:t>This is based on the legacy DirectX SDK (June 2010) Win32 desktop sample. This is not intended for use with Windows Store apps, Windows RT, or universal Windows apps.</w:t>
      </w:r>
    </w:p>
    <w:p w:rsidR="00416EEE" w:rsidRPr="00416EEE" w:rsidRDefault="00416EEE" w:rsidP="00416EEE">
      <w:pPr>
        <w:rPr>
          <w:i/>
        </w:rPr>
      </w:pPr>
      <w:r w:rsidRPr="00416EEE">
        <w:rPr>
          <w:i/>
        </w:rPr>
        <w:t>This sample requires Feature Level 11.0 or better.</w:t>
      </w:r>
    </w:p>
    <w:p w:rsidR="00FE5DBF" w:rsidRPr="002511F5" w:rsidRDefault="00FE5DBF" w:rsidP="002511F5">
      <w:pPr>
        <w:pStyle w:val="Heading1"/>
      </w:pPr>
      <w:r w:rsidRPr="002511F5">
        <w:t>Description</w:t>
      </w:r>
    </w:p>
    <w:p w:rsidR="00A8759D" w:rsidRDefault="00A8759D" w:rsidP="00A8759D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noProof/>
          <w:color w:val="000000"/>
          <w:sz w:val="19"/>
          <w:szCs w:val="19"/>
        </w:rPr>
        <w:drawing>
          <wp:inline distT="0" distB="0" distL="0" distR="0">
            <wp:extent cx="1905000" cy="1562100"/>
            <wp:effectExtent l="0" t="0" r="0" b="0"/>
            <wp:docPr id="2" name="Picture 2" descr="https://code.msdn.microsoft.com/site/view/file/96141/1/SubD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6141" descr="https://code.msdn.microsoft.com/site/view/file/96141/1/SubD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59D" w:rsidRDefault="00A8759D" w:rsidP="00A8759D">
      <w:r>
        <w:t>The SubD11 sample implements the algorithm described in the paper "</w:t>
      </w:r>
      <w:hyperlink r:id="rId9" w:history="1">
        <w:r>
          <w:rPr>
            <w:rStyle w:val="Hyperlink"/>
            <w:sz w:val="19"/>
            <w:szCs w:val="19"/>
          </w:rPr>
          <w:t xml:space="preserve">Approximating </w:t>
        </w:r>
        <w:proofErr w:type="spellStart"/>
        <w:r>
          <w:rPr>
            <w:rStyle w:val="Hyperlink"/>
            <w:sz w:val="19"/>
            <w:szCs w:val="19"/>
          </w:rPr>
          <w:t>Catmull</w:t>
        </w:r>
        <w:proofErr w:type="spellEnd"/>
        <w:r>
          <w:rPr>
            <w:rStyle w:val="Hyperlink"/>
            <w:sz w:val="19"/>
            <w:szCs w:val="19"/>
          </w:rPr>
          <w:t xml:space="preserve">-Clark Subdivision Surfaces with </w:t>
        </w:r>
        <w:proofErr w:type="spellStart"/>
        <w:r>
          <w:rPr>
            <w:rStyle w:val="Hyperlink"/>
            <w:sz w:val="19"/>
            <w:szCs w:val="19"/>
          </w:rPr>
          <w:t>Bicubic</w:t>
        </w:r>
        <w:proofErr w:type="spellEnd"/>
        <w:r>
          <w:rPr>
            <w:rStyle w:val="Hyperlink"/>
            <w:sz w:val="19"/>
            <w:szCs w:val="19"/>
          </w:rPr>
          <w:t xml:space="preserve"> Patches</w:t>
        </w:r>
      </w:hyperlink>
      <w:r>
        <w:t xml:space="preserve">" by Charles Loop and Scott Schaefer. This sample is similar to the DirectX SDK </w:t>
      </w:r>
      <w:r>
        <w:rPr>
          <w:rStyle w:val="Strong"/>
          <w:rFonts w:ascii="Segoe UI" w:hAnsi="Segoe UI" w:cs="Segoe UI"/>
          <w:color w:val="000000"/>
          <w:sz w:val="19"/>
          <w:szCs w:val="19"/>
        </w:rPr>
        <w:t xml:space="preserve">SubD10 </w:t>
      </w:r>
      <w:r>
        <w:t xml:space="preserve">sample, except that it has been enhanced to take advantage of three new Direct3D 11 pipeline stages: the hull </w:t>
      </w:r>
      <w:proofErr w:type="spellStart"/>
      <w:r>
        <w:t>shader</w:t>
      </w:r>
      <w:proofErr w:type="spellEnd"/>
      <w:r>
        <w:t xml:space="preserve">, the </w:t>
      </w:r>
      <w:proofErr w:type="spellStart"/>
      <w:r>
        <w:t>tessellator</w:t>
      </w:r>
      <w:proofErr w:type="spellEnd"/>
      <w:r>
        <w:t xml:space="preserve">, and the domain </w:t>
      </w:r>
      <w:proofErr w:type="spellStart"/>
      <w:r>
        <w:t>shader</w:t>
      </w:r>
      <w:proofErr w:type="spellEnd"/>
      <w:r>
        <w:t>.</w:t>
      </w:r>
    </w:p>
    <w:p w:rsidR="00A8759D" w:rsidRDefault="00A8759D" w:rsidP="00A8759D">
      <w:pPr>
        <w:pStyle w:val="Heading2"/>
      </w:pPr>
      <w:r>
        <w:t>Sample Performance and Architecture Notes</w:t>
      </w:r>
    </w:p>
    <w:p w:rsidR="00A8759D" w:rsidRDefault="00A8759D" w:rsidP="00A8759D">
      <w:r>
        <w:t xml:space="preserve">The </w:t>
      </w:r>
      <w:proofErr w:type="spellStart"/>
      <w:r>
        <w:t>Catmull</w:t>
      </w:r>
      <w:proofErr w:type="spellEnd"/>
      <w:r>
        <w:t>-Clark content flows through the graphics pipeline in the following steps:</w:t>
      </w:r>
    </w:p>
    <w:p w:rsidR="00A8759D" w:rsidRDefault="00A8759D" w:rsidP="00A8759D">
      <w:pPr>
        <w:pStyle w:val="ListParagraph"/>
        <w:numPr>
          <w:ilvl w:val="0"/>
          <w:numId w:val="5"/>
        </w:numPr>
      </w:pPr>
      <w:r>
        <w:t xml:space="preserve">The input to the pipeline is a </w:t>
      </w:r>
      <w:proofErr w:type="spellStart"/>
      <w:r>
        <w:t>Catmull</w:t>
      </w:r>
      <w:proofErr w:type="spellEnd"/>
      <w:r>
        <w:t xml:space="preserve">-Clark control mesh, which consists of quads and adjacency information. The control mesh is stored in a specially constructed SDKMESH content file. The adjacency information is computed offline using the Samples Content Exporter. </w:t>
      </w:r>
    </w:p>
    <w:p w:rsidR="00A8759D" w:rsidRDefault="00A8759D" w:rsidP="00A8759D">
      <w:pPr>
        <w:pStyle w:val="ListParagraph"/>
        <w:numPr>
          <w:ilvl w:val="0"/>
          <w:numId w:val="5"/>
        </w:numPr>
      </w:pPr>
      <w:r>
        <w:t xml:space="preserve">The vertex </w:t>
      </w:r>
      <w:proofErr w:type="spellStart"/>
      <w:r>
        <w:t>shader</w:t>
      </w:r>
      <w:proofErr w:type="spellEnd"/>
      <w:r>
        <w:t xml:space="preserve"> is used to deform the control mesh using skeletal animation. </w:t>
      </w:r>
    </w:p>
    <w:p w:rsidR="00A8759D" w:rsidRDefault="00A8759D" w:rsidP="00A8759D">
      <w:pPr>
        <w:pStyle w:val="ListParagraph"/>
        <w:numPr>
          <w:ilvl w:val="0"/>
          <w:numId w:val="5"/>
        </w:numPr>
      </w:pPr>
      <w:r>
        <w:t xml:space="preserve">The hull </w:t>
      </w:r>
      <w:proofErr w:type="spellStart"/>
      <w:r>
        <w:t>shader</w:t>
      </w:r>
      <w:proofErr w:type="spellEnd"/>
      <w:r>
        <w:t xml:space="preserve"> is used for basis conversion between the control mesh and a 4×4 Bezier patch. </w:t>
      </w:r>
    </w:p>
    <w:p w:rsidR="00A8759D" w:rsidRDefault="00A8759D" w:rsidP="00A8759D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tessellator</w:t>
      </w:r>
      <w:proofErr w:type="spellEnd"/>
      <w:r>
        <w:t xml:space="preserve"> generates domain points and triangles that are based on the partitioning style and tessellation factor. </w:t>
      </w:r>
    </w:p>
    <w:p w:rsidR="00A8759D" w:rsidRDefault="00A8759D" w:rsidP="00A8759D">
      <w:pPr>
        <w:pStyle w:val="ListParagraph"/>
        <w:numPr>
          <w:ilvl w:val="0"/>
          <w:numId w:val="5"/>
        </w:numPr>
      </w:pPr>
      <w:r>
        <w:t xml:space="preserve">The domain </w:t>
      </w:r>
      <w:proofErr w:type="spellStart"/>
      <w:r>
        <w:t>shader</w:t>
      </w:r>
      <w:proofErr w:type="spellEnd"/>
      <w:r>
        <w:t xml:space="preserve"> is used to compute tangent patch data for the patch and then to evaluate all of the patches into a position and normal value for each domain point. Displacement mapping is also applied within the domain </w:t>
      </w:r>
      <w:proofErr w:type="spellStart"/>
      <w:r>
        <w:t>shader</w:t>
      </w:r>
      <w:proofErr w:type="spellEnd"/>
      <w:r>
        <w:t xml:space="preserve">. Note that the tangent patch data is only used to </w:t>
      </w:r>
      <w:r>
        <w:lastRenderedPageBreak/>
        <w:t xml:space="preserve">compute the surface normal of the patch at the domain point. Texture tangent data from the content is merely interpolated in the domain </w:t>
      </w:r>
      <w:proofErr w:type="spellStart"/>
      <w:r>
        <w:t>shader</w:t>
      </w:r>
      <w:proofErr w:type="spellEnd"/>
      <w:r>
        <w:t xml:space="preserve"> and passed on to the pixel </w:t>
      </w:r>
      <w:proofErr w:type="spellStart"/>
      <w:r>
        <w:t>shader</w:t>
      </w:r>
      <w:proofErr w:type="spellEnd"/>
      <w:r>
        <w:t xml:space="preserve"> for use in normal mapping. </w:t>
      </w:r>
    </w:p>
    <w:p w:rsidR="00A8759D" w:rsidRDefault="00A8759D" w:rsidP="00A8759D">
      <w:pPr>
        <w:pStyle w:val="ListParagraph"/>
        <w:numPr>
          <w:ilvl w:val="0"/>
          <w:numId w:val="5"/>
        </w:numPr>
      </w:pPr>
      <w:r>
        <w:t xml:space="preserve">Finally, the pixel </w:t>
      </w:r>
      <w:proofErr w:type="spellStart"/>
      <w:r>
        <w:t>shader</w:t>
      </w:r>
      <w:proofErr w:type="spellEnd"/>
      <w:r>
        <w:t xml:space="preserve"> evaluates the normal map and produces a lit pixel. </w:t>
      </w:r>
    </w:p>
    <w:p w:rsidR="00A8759D" w:rsidRDefault="00A8759D" w:rsidP="00A8759D">
      <w:r>
        <w:t xml:space="preserve">Since this sample depends on the new Direct3D 11 pipeline stages, it can only operate by using the reference </w:t>
      </w:r>
      <w:proofErr w:type="gramStart"/>
      <w:r>
        <w:t>rasterizer</w:t>
      </w:r>
      <w:proofErr w:type="gramEnd"/>
      <w:r>
        <w:t xml:space="preserve"> at this time. As a result, it takes several seconds to render each frame. When Direct3D 11 hardware is available, we expect this sample to run thousands of times faster.</w:t>
      </w:r>
    </w:p>
    <w:p w:rsidR="00A8759D" w:rsidRDefault="00A8759D" w:rsidP="00A8759D">
      <w:r>
        <w:t xml:space="preserve">The architecture of the hull </w:t>
      </w:r>
      <w:proofErr w:type="spellStart"/>
      <w:r>
        <w:t>shader</w:t>
      </w:r>
      <w:proofErr w:type="spellEnd"/>
      <w:r>
        <w:t xml:space="preserve"> is currently designed for maximum readability, and it does not generate a compiled </w:t>
      </w:r>
      <w:proofErr w:type="spellStart"/>
      <w:r>
        <w:t>shader</w:t>
      </w:r>
      <w:proofErr w:type="spellEnd"/>
      <w:r>
        <w:t xml:space="preserve"> that is expected to be efficient on hardware. Specifically, the switch statements that are used to select different code paths for each hull </w:t>
      </w:r>
      <w:proofErr w:type="spellStart"/>
      <w:r>
        <w:t>shader</w:t>
      </w:r>
      <w:proofErr w:type="spellEnd"/>
      <w:r>
        <w:t xml:space="preserve"> output are inefficient. In future releases of this sample, the hull </w:t>
      </w:r>
      <w:proofErr w:type="spellStart"/>
      <w:r>
        <w:t>shader</w:t>
      </w:r>
      <w:proofErr w:type="spellEnd"/>
      <w:r>
        <w:t xml:space="preserve"> will be rewritten to avoid these inefficient constructs, at the expense of readability.</w:t>
      </w:r>
    </w:p>
    <w:p w:rsidR="00A8759D" w:rsidRDefault="00A8759D" w:rsidP="00A8759D">
      <w:r>
        <w:t>Currently the sample features tessellation using integer partitioning. Future releases will also demonstrate fractional and pow2 partitioning.</w:t>
      </w:r>
    </w:p>
    <w:p w:rsidR="00A8759D" w:rsidRDefault="00A8759D" w:rsidP="00A8759D">
      <w:pPr>
        <w:pStyle w:val="Heading2"/>
      </w:pPr>
      <w:r>
        <w:t>Features</w:t>
      </w:r>
    </w:p>
    <w:p w:rsidR="00A8759D" w:rsidRDefault="00A8759D" w:rsidP="00A8759D">
      <w:r>
        <w:t>The following settings can be changed at run time:</w:t>
      </w:r>
    </w:p>
    <w:p w:rsidR="00A8759D" w:rsidRDefault="00A8759D" w:rsidP="00A8759D">
      <w:pPr>
        <w:pStyle w:val="ListParagraph"/>
        <w:numPr>
          <w:ilvl w:val="0"/>
          <w:numId w:val="6"/>
        </w:numPr>
      </w:pPr>
      <w:bookmarkStart w:id="0" w:name="_GoBack"/>
      <w:r>
        <w:t xml:space="preserve">The bump height can be adjusted, which demonstrates displacement mapping. </w:t>
      </w:r>
    </w:p>
    <w:p w:rsidR="00A8759D" w:rsidRDefault="00A8759D" w:rsidP="00A8759D">
      <w:pPr>
        <w:pStyle w:val="ListParagraph"/>
        <w:numPr>
          <w:ilvl w:val="0"/>
          <w:numId w:val="6"/>
        </w:numPr>
      </w:pPr>
      <w:r>
        <w:t xml:space="preserve">The tessellation factor can be adjusted to increase or decrease the level of tessellation. </w:t>
      </w:r>
    </w:p>
    <w:p w:rsidR="00A8759D" w:rsidRDefault="00A8759D" w:rsidP="00A8759D">
      <w:pPr>
        <w:pStyle w:val="ListParagraph"/>
        <w:numPr>
          <w:ilvl w:val="0"/>
          <w:numId w:val="6"/>
        </w:numPr>
      </w:pPr>
      <w:r>
        <w:t xml:space="preserve">A wireframe overlay can be enabled to show the triangles that are generated by the </w:t>
      </w:r>
      <w:proofErr w:type="spellStart"/>
      <w:r>
        <w:t>tessellator</w:t>
      </w:r>
      <w:proofErr w:type="spellEnd"/>
      <w:r>
        <w:t xml:space="preserve">. </w:t>
      </w:r>
    </w:p>
    <w:p w:rsidR="00A8759D" w:rsidRDefault="00A8759D" w:rsidP="00A8759D">
      <w:pPr>
        <w:pStyle w:val="ListParagraph"/>
        <w:numPr>
          <w:ilvl w:val="0"/>
          <w:numId w:val="6"/>
        </w:numPr>
      </w:pPr>
      <w:r>
        <w:t xml:space="preserve">Mesh animation can be enabled to demonstrate deformable subdivision surfaces. </w:t>
      </w:r>
    </w:p>
    <w:bookmarkEnd w:id="0"/>
    <w:p w:rsidR="00FE5DBF" w:rsidRDefault="006E2019" w:rsidP="00FE5DBF">
      <w:pPr>
        <w:pStyle w:val="Heading1"/>
        <w:rPr>
          <w:sz w:val="27"/>
          <w:szCs w:val="27"/>
        </w:rPr>
      </w:pPr>
      <w:r>
        <w:rPr>
          <w:sz w:val="27"/>
          <w:szCs w:val="27"/>
        </w:rPr>
        <w:t>Dependencies</w:t>
      </w:r>
    </w:p>
    <w:p w:rsidR="00FE5DBF" w:rsidRDefault="00FE5DBF" w:rsidP="006E2019">
      <w:r>
        <w:t xml:space="preserve">DXUT-based samples typically make use of runtime HLSL compilation. Build-time compilation is recommended for all production Direct3D applications, but for experimentation and samples development runtime HLSL </w:t>
      </w:r>
      <w:r w:rsidR="006E2019">
        <w:t>compilation</w:t>
      </w:r>
      <w:r>
        <w:t xml:space="preserve"> is preferred. Therefore, the D3DCompile*.DLL must be available in the search path when these programs are executed.</w:t>
      </w:r>
    </w:p>
    <w:p w:rsidR="00FE5DBF" w:rsidRDefault="00FE5DBF" w:rsidP="006E2019">
      <w:pPr>
        <w:pStyle w:val="ListParagraph"/>
        <w:numPr>
          <w:ilvl w:val="0"/>
          <w:numId w:val="2"/>
        </w:numPr>
      </w:pPr>
      <w:r>
        <w:t xml:space="preserve">When using the Windows 8.x SDK and targeting Windows Vista or later, you can include the D3DCompile_46 or D3DCompile_47 DLL side-by-side with your application copying the file from the REDIST folder. </w:t>
      </w:r>
    </w:p>
    <w:p w:rsidR="00FE5DBF" w:rsidRDefault="00FE5DBF" w:rsidP="006E2019">
      <w:pPr>
        <w:pStyle w:val="HTMLPreformatted"/>
        <w:ind w:left="360"/>
        <w:rPr>
          <w:color w:val="000000"/>
        </w:rPr>
      </w:pPr>
      <w:r>
        <w:rPr>
          <w:color w:val="000000"/>
        </w:rPr>
        <w:t>%</w:t>
      </w:r>
      <w:proofErr w:type="spellStart"/>
      <w:r>
        <w:rPr>
          <w:color w:val="000000"/>
        </w:rPr>
        <w:t>ProgramFiles</w:t>
      </w:r>
      <w:proofErr w:type="spellEnd"/>
      <w:r>
        <w:rPr>
          <w:color w:val="000000"/>
        </w:rPr>
        <w:t>(x86</w:t>
      </w:r>
      <w:proofErr w:type="gramStart"/>
      <w:r>
        <w:rPr>
          <w:color w:val="000000"/>
        </w:rPr>
        <w:t>)%</w:t>
      </w:r>
      <w:proofErr w:type="gramEnd"/>
      <w:r>
        <w:rPr>
          <w:color w:val="000000"/>
        </w:rPr>
        <w:t>\Windows kits\8.0\</w:t>
      </w:r>
      <w:proofErr w:type="spellStart"/>
      <w:r>
        <w:rPr>
          <w:color w:val="000000"/>
        </w:rPr>
        <w:t>Redist</w:t>
      </w:r>
      <w:proofErr w:type="spellEnd"/>
      <w:r>
        <w:rPr>
          <w:color w:val="000000"/>
        </w:rPr>
        <w:t>\D3D\arm, x86 or x64</w:t>
      </w:r>
    </w:p>
    <w:p w:rsidR="00FE5DBF" w:rsidRDefault="00FE5DBF" w:rsidP="006E2019">
      <w:pPr>
        <w:pStyle w:val="HTMLPreformatted"/>
        <w:ind w:left="360"/>
        <w:rPr>
          <w:color w:val="000000"/>
        </w:rPr>
      </w:pPr>
      <w:r>
        <w:rPr>
          <w:color w:val="000000"/>
        </w:rPr>
        <w:t>%</w:t>
      </w:r>
      <w:proofErr w:type="spellStart"/>
      <w:r>
        <w:rPr>
          <w:color w:val="000000"/>
        </w:rPr>
        <w:t>ProgramFiles</w:t>
      </w:r>
      <w:proofErr w:type="spellEnd"/>
      <w:r>
        <w:rPr>
          <w:color w:val="000000"/>
        </w:rPr>
        <w:t>(x86</w:t>
      </w:r>
      <w:proofErr w:type="gramStart"/>
      <w:r>
        <w:rPr>
          <w:color w:val="000000"/>
        </w:rPr>
        <w:t>)%</w:t>
      </w:r>
      <w:proofErr w:type="gramEnd"/>
      <w:r>
        <w:rPr>
          <w:color w:val="000000"/>
        </w:rPr>
        <w:t>\Windows kits\8.1\</w:t>
      </w:r>
      <w:proofErr w:type="spellStart"/>
      <w:r>
        <w:rPr>
          <w:color w:val="000000"/>
        </w:rPr>
        <w:t>Redist</w:t>
      </w:r>
      <w:proofErr w:type="spellEnd"/>
      <w:r>
        <w:rPr>
          <w:color w:val="000000"/>
        </w:rPr>
        <w:t>\D3D\arm, x86 or x64</w:t>
      </w:r>
    </w:p>
    <w:p w:rsidR="007F45A2" w:rsidRDefault="007F45A2" w:rsidP="007F45A2">
      <w:pPr>
        <w:pStyle w:val="Heading1"/>
        <w:rPr>
          <w:sz w:val="27"/>
          <w:szCs w:val="27"/>
        </w:rPr>
      </w:pPr>
      <w:r>
        <w:rPr>
          <w:sz w:val="27"/>
          <w:szCs w:val="27"/>
        </w:rPr>
        <w:t>More Information</w:t>
      </w:r>
    </w:p>
    <w:p w:rsidR="00416EEE" w:rsidRDefault="009A3AC9" w:rsidP="006E2019">
      <w:hyperlink r:id="rId10" w:history="1">
        <w:r w:rsidR="00416EEE" w:rsidRPr="00416EEE">
          <w:rPr>
            <w:rStyle w:val="Hyperlink"/>
          </w:rPr>
          <w:t>Direct3D 11 Tessellation</w:t>
        </w:r>
      </w:hyperlink>
    </w:p>
    <w:p w:rsidR="007F45A2" w:rsidRDefault="009A3AC9" w:rsidP="006E2019">
      <w:pPr>
        <w:rPr>
          <w:rFonts w:ascii="Segoe UI" w:hAnsi="Segoe UI" w:cs="Segoe UI"/>
          <w:color w:val="000000"/>
          <w:sz w:val="19"/>
          <w:szCs w:val="19"/>
        </w:rPr>
      </w:pPr>
      <w:hyperlink r:id="rId11" w:history="1">
        <w:r w:rsidR="007F45A2">
          <w:rPr>
            <w:rStyle w:val="Hyperlink"/>
            <w:sz w:val="19"/>
            <w:szCs w:val="19"/>
          </w:rPr>
          <w:t>Where is the DirectX SDK?</w:t>
        </w:r>
      </w:hyperlink>
    </w:p>
    <w:p w:rsidR="007F45A2" w:rsidRDefault="009A3AC9" w:rsidP="006E2019">
      <w:pPr>
        <w:rPr>
          <w:rFonts w:ascii="Segoe UI" w:hAnsi="Segoe UI" w:cs="Segoe UI"/>
          <w:color w:val="000000"/>
          <w:sz w:val="19"/>
          <w:szCs w:val="19"/>
        </w:rPr>
      </w:pPr>
      <w:hyperlink r:id="rId12" w:history="1">
        <w:r w:rsidR="007F45A2">
          <w:rPr>
            <w:rStyle w:val="Hyperlink"/>
            <w:sz w:val="19"/>
            <w:szCs w:val="19"/>
          </w:rPr>
          <w:t>Where is the DirectX SDK (2013 Edition)?</w:t>
        </w:r>
      </w:hyperlink>
      <w:r w:rsidR="007F45A2">
        <w:rPr>
          <w:rFonts w:ascii="Segoe UI" w:hAnsi="Segoe UI" w:cs="Segoe UI"/>
          <w:color w:val="000000"/>
          <w:sz w:val="19"/>
          <w:szCs w:val="19"/>
        </w:rPr>
        <w:t> </w:t>
      </w:r>
    </w:p>
    <w:p w:rsidR="007F45A2" w:rsidRDefault="009A3AC9" w:rsidP="006E2019">
      <w:pPr>
        <w:rPr>
          <w:rFonts w:ascii="Segoe UI" w:hAnsi="Segoe UI" w:cs="Segoe UI"/>
          <w:color w:val="000000"/>
          <w:sz w:val="19"/>
          <w:szCs w:val="19"/>
        </w:rPr>
      </w:pPr>
      <w:hyperlink r:id="rId13" w:history="1">
        <w:r w:rsidR="007F45A2">
          <w:rPr>
            <w:rStyle w:val="Hyperlink"/>
            <w:sz w:val="19"/>
            <w:szCs w:val="19"/>
          </w:rPr>
          <w:t>DXUT for Win32 Desktop Update</w:t>
        </w:r>
      </w:hyperlink>
    </w:p>
    <w:p w:rsidR="007F45A2" w:rsidRDefault="009A3AC9" w:rsidP="006E2019">
      <w:pPr>
        <w:rPr>
          <w:rFonts w:ascii="Segoe UI" w:hAnsi="Segoe UI" w:cs="Segoe UI"/>
          <w:color w:val="000000"/>
          <w:sz w:val="19"/>
          <w:szCs w:val="19"/>
        </w:rPr>
      </w:pPr>
      <w:hyperlink r:id="rId14" w:history="1">
        <w:r w:rsidR="007F45A2">
          <w:rPr>
            <w:rStyle w:val="Hyperlink"/>
            <w:sz w:val="19"/>
            <w:szCs w:val="19"/>
          </w:rPr>
          <w:t>Games for Windows and DirectX SDK blog</w:t>
        </w:r>
      </w:hyperlink>
    </w:p>
    <w:p w:rsidR="007F45A2" w:rsidRDefault="007F45A2"/>
    <w:sectPr w:rsidR="007F45A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3AC9" w:rsidRDefault="009A3AC9" w:rsidP="00A125D6">
      <w:pPr>
        <w:spacing w:after="0" w:line="240" w:lineRule="auto"/>
      </w:pPr>
      <w:r>
        <w:separator/>
      </w:r>
    </w:p>
  </w:endnote>
  <w:endnote w:type="continuationSeparator" w:id="0">
    <w:p w:rsidR="009A3AC9" w:rsidRDefault="009A3AC9" w:rsidP="00A12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3AC9" w:rsidRDefault="009A3AC9" w:rsidP="00A125D6">
      <w:pPr>
        <w:spacing w:after="0" w:line="240" w:lineRule="auto"/>
      </w:pPr>
      <w:r>
        <w:separator/>
      </w:r>
    </w:p>
  </w:footnote>
  <w:footnote w:type="continuationSeparator" w:id="0">
    <w:p w:rsidR="009A3AC9" w:rsidRDefault="009A3AC9" w:rsidP="00A12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D6535"/>
    <w:multiLevelType w:val="multilevel"/>
    <w:tmpl w:val="E866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594760"/>
    <w:multiLevelType w:val="hybridMultilevel"/>
    <w:tmpl w:val="F602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20650"/>
    <w:multiLevelType w:val="multilevel"/>
    <w:tmpl w:val="D6086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B4DCB"/>
    <w:multiLevelType w:val="hybridMultilevel"/>
    <w:tmpl w:val="57048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B78C2"/>
    <w:multiLevelType w:val="hybridMultilevel"/>
    <w:tmpl w:val="ECAC0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856FF"/>
    <w:multiLevelType w:val="multilevel"/>
    <w:tmpl w:val="8E46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B2"/>
    <w:rsid w:val="000A2A34"/>
    <w:rsid w:val="002511F5"/>
    <w:rsid w:val="002A5168"/>
    <w:rsid w:val="003D39BC"/>
    <w:rsid w:val="00416EEE"/>
    <w:rsid w:val="00695DF5"/>
    <w:rsid w:val="006E2019"/>
    <w:rsid w:val="007932FA"/>
    <w:rsid w:val="007F45A2"/>
    <w:rsid w:val="008138B9"/>
    <w:rsid w:val="00952463"/>
    <w:rsid w:val="009A3AC9"/>
    <w:rsid w:val="00A125D6"/>
    <w:rsid w:val="00A8759D"/>
    <w:rsid w:val="00B71902"/>
    <w:rsid w:val="00CD1758"/>
    <w:rsid w:val="00D152B2"/>
    <w:rsid w:val="00D16CDE"/>
    <w:rsid w:val="00E70334"/>
    <w:rsid w:val="00F5201A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1902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3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902"/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rsid w:val="00B7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5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5DBF"/>
    <w:rPr>
      <w:b/>
      <w:bCs/>
    </w:rPr>
  </w:style>
  <w:style w:type="character" w:styleId="Hyperlink">
    <w:name w:val="Hyperlink"/>
    <w:basedOn w:val="DefaultParagraphFont"/>
    <w:uiPriority w:val="99"/>
    <w:unhideWhenUsed/>
    <w:rsid w:val="007F45A2"/>
    <w:rPr>
      <w:strike w:val="0"/>
      <w:dstrike w:val="0"/>
      <w:color w:val="00749E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E20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20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2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201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D6"/>
  </w:style>
  <w:style w:type="paragraph" w:styleId="Footer">
    <w:name w:val="footer"/>
    <w:basedOn w:val="Normal"/>
    <w:link w:val="Foot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D6"/>
  </w:style>
  <w:style w:type="character" w:customStyle="1" w:styleId="Heading3Char">
    <w:name w:val="Heading 3 Char"/>
    <w:basedOn w:val="DefaultParagraphFont"/>
    <w:link w:val="Heading3"/>
    <w:uiPriority w:val="9"/>
    <w:rsid w:val="00E703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33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blogs.msdn.com/b/chuckw/archive/2013/09/14/dxut-for-win32-desktop-update.aspx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walbourn/directx-sdk-samples" TargetMode="External"/><Relationship Id="rId12" Type="http://schemas.openxmlformats.org/officeDocument/2006/relationships/hyperlink" Target="http://blogs.msdn.com/b/chuckw/archive/2013/07/01/where-is-the-directx-sdk-2013-edition.aspx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s.msdn.com/b/chuckw/archive/2012/03/22/where-is-the-directx-sdk.aspx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blogs.msdn.com/b/chuckw/archive/2010/07/19/direct3d-11-tessellation.aspx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research.microsoft.com/~cloop/msrtr-2007-44.pdf" TargetMode="External"/><Relationship Id="rId14" Type="http://schemas.openxmlformats.org/officeDocument/2006/relationships/hyperlink" Target="http://blogs.msdn.com/b/chuckw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2015-06-17T18:43:00Z</dcterms:created>
  <dcterms:modified xsi:type="dcterms:W3CDTF">2015-06-18T01:56:00Z</dcterms:modified>
</cp:coreProperties>
</file>