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sz w:val="36"/>
        </w:rPr>
        <w:t>指定产品 软件需求规格说明</w:t>
      </w:r>
    </w:p>
    <w:p>
      <w:pPr>
        <w:jc w:val="center"/>
      </w:pPr>
      <w:r>
        <w:rPr>
          <w:rFonts w:ascii="宋体" w:hAnsi="宋体"/>
          <w:sz w:val="24"/>
        </w:rPr>
        <w:t>文档风格：详细 | 侧重点：质量</w:t>
      </w:r>
    </w:p>
    <w:p>
      <w:pPr>
        <w:jc w:val="center"/>
      </w:pPr>
      <w:r>
        <w:rPr>
          <w:rFonts w:ascii="宋体" w:hAnsi="宋体"/>
          <w:sz w:val="24"/>
        </w:rPr>
        <w:t>生成时间：2026-07-24 20:54:27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**外部型号+产品名称**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**软件需求规格说明**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**产品型号-XXXX**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共XX页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XXXXXXXX公司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XXXX年XX月XX日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---</w:t>
      </w:r>
    </w:p>
    <w:p/>
    <w:p>
      <w:pPr>
        <w:pStyle w:val="Heading3"/>
      </w:pPr>
      <w:r>
        <w:rPr>
          <w:rFonts w:ascii="黑体" w:hAnsi="黑体" w:eastAsia="黑体"/>
          <w:sz w:val="28"/>
        </w:rPr>
        <w:t xml:space="preserve">**1. 引言**  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#### **1.1 文档目的**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本软件需求规格说明（SRS）旨在明确产品型号-XXXX的软件系统功能、性能、接口、可靠性、安全性等需求，为软件开发、测试、验证和维护提供完整的技术依据。文档内容需满足GJB 438C标准要求，确保软件质量符合军用装备的可靠性、安全性及可维护性要求。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#### **1.2 范围**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本文档适用于产品型号-XXXX的软件系统开发，涵盖以下内容：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软件功能需求（包括核心功能、辅助功能及用户交互逻辑）；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性能需求（响应时间、吞吐量、资源占用等）；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接口需求（与硬件、其他软件模块及外部系统的通信协议）；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可靠性需求（故障恢复、容错能力、可用性指标）；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安全性需求（数据加密、访问控制、审计日志等）；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质量保证措施（质量度量、审核流程、改进机制）。  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#### **1.3 定义、缩略语和术语**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**SRS**：Software Requirements Specification，软件需求规格说明；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**GJB 438C**：军用软件开发标准；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**QMS**：Quality Management System，质量管理体系；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**MTBF**：Mean Time Between Failures，平均故障间隔时间；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**SLA**：Service Level Agreement，服务等级协议；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**DoD**：Department of Defense，国防部（用于外部接口需求）。  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#### **1.4 参考资料**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1. GJB 438C-2018《军用软件开发通用要求》；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2. GJB 9001C-2017《质量管理体系要求》；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3. 产品型号-XXXX技术规格书（V2.1）；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4. 《军用软件质量保证计划》（产品型号-XXXX）；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5. 《军用软件测试与验证指南》（XX公司内部标准）。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#### **1.5 文档结构**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本文档共分为五章：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**第2章 总体描述**：概述产品功能、软件架构及系统接口；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**第3章 具体需求**：详细描述功能、性能、接口、可靠性、安全性需求；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**第4章 需求可追踪性**：建立需求与设计、测试的双向追溯关系；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**第5章 附录**：包含术语表、参考文献及质量保证计划。  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---</w:t>
      </w:r>
    </w:p>
    <w:p/>
    <w:p>
      <w:pPr>
        <w:pStyle w:val="Heading3"/>
      </w:pPr>
      <w:r>
        <w:rPr>
          <w:rFonts w:ascii="黑体" w:hAnsi="黑体" w:eastAsia="黑体"/>
          <w:sz w:val="28"/>
        </w:rPr>
        <w:t xml:space="preserve">**2. 总体描述**  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#### **2.1 产品概述**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产品型号-XXXX是一款用于XX领域的军用装备，其核心功能包括：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**XX功能模块**：实现XX任务的自动化控制；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**XX功能模块**：支持XX数据的实时处理与分析；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**XX功能模块**：提供XX环境下的通信与协同能力。  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软件系统需满足军用装备的高可靠性、高安全性及可维护性要求，适用于复杂战场环境下的部署与运行。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#### **2.2 软件概述**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软件系统采用分层架构设计，包括：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**应用层**：实现业务逻辑与用户交互；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**服务层**：提供数据处理、通信协议封装及安全控制；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**数据层**：管理本地数据库及外部数据接口。  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软件需支持多平台部署（Windows/Linux/嵌入式系统），并符合军用软件的可移植性要求（GJB 438C-2018 3.10.4）。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#### **2.3 系统接口**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**硬件接口**：  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 与XX传感器通信（RS-485总线，传输速率≥1 Mbps）；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 与XX执行机构交互（CAN总线，支持多节点通信）。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**软件接口**：  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 与XX指挥控制系统通信（基于TCP/IP协议，数据加密采用AES-256）；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 与XX数据处理模块对接（通过RESTful API，支持JSON/XML格式）。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#### **2.4 用户特征**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**操作人员**：具备XX专业背景，需通过培训后使用系统；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**维护人员**：需具备软件调试与故障诊断能力；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**系统管理员**：负责配置管理、权限分配及日志审计。  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#### **2.5 约束与假设**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**开发约束**：  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 软件需兼容Windows 10及Linux 7.0以上版本；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 代码需通过静态分析工具（如Coverity）检测，缺陷密度≤0.5个/KLOC。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**运行约束**：  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 系统需在-40℃~+70℃温度范围内正常运行；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 电源波动范围：18V~32V（支持宽电压输入）。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**假设条件**：  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 外部通信网络带宽≥10 Mbps；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 硬件平台性能满足软件最低运行需求（CPU≥2GHz，内存≥8GB）。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---</w:t>
      </w:r>
    </w:p>
    <w:p/>
    <w:p>
      <w:pPr>
        <w:pStyle w:val="Heading3"/>
      </w:pPr>
      <w:r>
        <w:rPr>
          <w:rFonts w:ascii="黑体" w:hAnsi="黑体" w:eastAsia="黑体"/>
          <w:sz w:val="28"/>
        </w:rPr>
        <w:t xml:space="preserve">**3. 具体需求**  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#### **3.1 功能需求**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**3.1.1 核心功能**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**功能模块A**：实现XX任务的自动化控制，支持以下子功能：  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 **子功能A1**：实时监测XX参数（精度误差≤0.1%）；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 **子功能A2**：生成XX报告（生成时间≤5秒）。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**功能模块B**：支持XX数据的处理与分析，要求：  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 **子功能B1**：数据处理吞吐量≥1000条/秒；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 **子功能B2**：支持多线程并行处理（线程数≥8）。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**3.1.2 辅助功能**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**用户界面**：提供图形化操作界面（支持多语言切换，包括中文、英文）；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**日志管理**：记录系统运行日志（日志保留时间≥30天，日志文件大小≤1GB）。  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#### **3.2 性能需求**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**响应时间**：  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 关键操作响应时间≤2秒（95%置信度）；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 数据处理响应时间≤1秒（99%置信度）。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**吞吐量**：  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 系统最大并发用户数≥50；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 数据传输速率≥100 Mbps（基于TCP/IP协议）。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**资源占用**：  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 CPU占用率≤70%（在满负载情况下）；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 内存占用≤80%（在满负载情况下）。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#### **3.3 接口需求**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**通信协议**：  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 与外部系统通信采用HTTPS协议（TLS 1.3加密）；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 与硬件设备通信采用Modbus RTU协议（波特率≥9600 bps）。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**数据格式**：  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 接收数据格式：JSON（支持UTF-8编码）；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 发送数据格式：XML（支持ASCII编码）。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**接口兼容性**：  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 支持与DoD标准接口兼容（符合STANAG 4586）；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 接口文档需通过ISO/IEC 25010标准验证。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#### **3.4 可靠性需求**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**故障恢复**：  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 系统在发生硬件故障后，需在5分钟内自动切换至备用模块；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 数据丢失率≤0.01%（在72小时内）。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**可用性**：  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 系统可用性≥99.99%（MTBF≥10,000小时）；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 关键模块冗余设计（双机热备）。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**容错能力**：  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 支持断电恢复（数据自动保存至本地缓存）；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 网络中断后，系统需在10秒内重新连接。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#### **3.5 安全性需求**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**访问控制**：  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 用户需通过多因素认证（密码+动态令牌）；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 权限分级管理（管理员、操作员、访客）。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**数据安全**：  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 敏感数据加密存储（AES-256算法）；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 通信数据加密传输（TLS 1.3协议）。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**审计日志**：  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 记录所有用户操作日志（包括登录、修改、删除）；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 日志保留时间≥3年，支持审计追踪（符合GJB 9001C-2017 8.2.3）。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---</w:t>
      </w:r>
    </w:p>
    <w:p/>
    <w:p>
      <w:pPr>
        <w:pStyle w:val="Heading3"/>
      </w:pPr>
      <w:r>
        <w:rPr>
          <w:rFonts w:ascii="黑体" w:hAnsi="黑体" w:eastAsia="黑体"/>
          <w:sz w:val="28"/>
        </w:rPr>
        <w:t xml:space="preserve">**4. 需求可追踪性**  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#### **4.1 正向追踪性**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表4-1：需求正向追踪性（示例）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361"/>
          </w:tcPr>
          <w:p>
            <w:pPr>
              <w:jc w:val="left"/>
            </w:pPr>
            <w:r>
              <w:rPr>
                <w:rFonts w:ascii="黑体" w:hAnsi="黑体" w:eastAsia="黑体"/>
                <w:b/>
                <w:sz w:val="24"/>
              </w:rPr>
              <w:t>需求编号</w:t>
            </w:r>
          </w:p>
        </w:tc>
        <w:tc>
          <w:tcPr>
            <w:tcW w:type="dxa" w:w="1361"/>
          </w:tcPr>
          <w:p>
            <w:pPr>
              <w:jc w:val="left"/>
            </w:pPr>
            <w:r>
              <w:rPr>
                <w:rFonts w:ascii="黑体" w:hAnsi="黑体" w:eastAsia="黑体"/>
                <w:b/>
                <w:sz w:val="24"/>
              </w:rPr>
              <w:t>需求描述</w:t>
            </w:r>
          </w:p>
        </w:tc>
        <w:tc>
          <w:tcPr>
            <w:tcW w:type="dxa" w:w="1361"/>
          </w:tcPr>
          <w:p>
            <w:pPr>
              <w:jc w:val="left"/>
            </w:pPr>
            <w:r>
              <w:rPr>
                <w:rFonts w:ascii="黑体" w:hAnsi="黑体" w:eastAsia="黑体"/>
                <w:b/>
                <w:sz w:val="24"/>
              </w:rPr>
              <w:t>来源</w:t>
            </w:r>
          </w:p>
        </w:tc>
        <w:tc>
          <w:tcPr>
            <w:tcW w:type="dxa" w:w="1361"/>
          </w:tcPr>
          <w:p>
            <w:pPr>
              <w:jc w:val="left"/>
            </w:pPr>
            <w:r>
              <w:rPr>
                <w:rFonts w:ascii="黑体" w:hAnsi="黑体" w:eastAsia="黑体"/>
                <w:b/>
                <w:sz w:val="24"/>
              </w:rPr>
              <w:t>设计文档</w:t>
            </w:r>
          </w:p>
        </w:tc>
        <w:tc>
          <w:tcPr>
            <w:tcW w:type="dxa" w:w="1361"/>
          </w:tcPr>
          <w:p>
            <w:pPr>
              <w:jc w:val="left"/>
            </w:pPr>
            <w:r>
              <w:rPr>
                <w:rFonts w:ascii="黑体" w:hAnsi="黑体" w:eastAsia="黑体"/>
                <w:b/>
                <w:sz w:val="24"/>
              </w:rPr>
              <w:t>测试用例</w:t>
            </w:r>
          </w:p>
        </w:tc>
      </w:tr>
      <w:tr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SR-001</w:t>
            </w:r>
          </w:p>
        </w:tc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实现XX功能模块A</w:t>
            </w:r>
          </w:p>
        </w:tc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产品规格书</w:t>
            </w:r>
          </w:p>
        </w:tc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设计文档V1.2</w:t>
            </w:r>
          </w:p>
        </w:tc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TC-001</w:t>
            </w:r>
          </w:p>
        </w:tc>
      </w:tr>
      <w:tr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SR-002</w:t>
            </w:r>
          </w:p>
        </w:tc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支持多语言界面</w:t>
            </w:r>
          </w:p>
        </w:tc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用户需求</w:t>
            </w:r>
          </w:p>
        </w:tc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UI设计规范</w:t>
            </w:r>
          </w:p>
        </w:tc>
        <w:tc>
          <w:tcPr>
            <w:tcW w:type="dxa" w:w="1729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TC-002</w:t>
            </w:r>
          </w:p>
        </w:tc>
      </w:tr>
    </w:tbl>
    <w:p/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#### **4.2 逆向追踪性**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表4-2：需求逆向追踪性（示例）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黑体" w:hAnsi="黑体" w:eastAsia="黑体"/>
                <w:b/>
                <w:sz w:val="24"/>
              </w:rPr>
              <w:t>测试用例编号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黑体" w:hAnsi="黑体" w:eastAsia="黑体"/>
                <w:b/>
                <w:sz w:val="24"/>
              </w:rPr>
              <w:t>需求编号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黑体" w:hAnsi="黑体" w:eastAsia="黑体"/>
                <w:b/>
                <w:sz w:val="24"/>
              </w:rPr>
              <w:t>验证内容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黑体" w:hAnsi="黑体" w:eastAsia="黑体"/>
                <w:b/>
                <w:sz w:val="24"/>
              </w:rPr>
              <w:t>通过标准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TC-001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SR-001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XX功能模块A响应时间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≤2秒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TC-002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SR-002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多语言界面切换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无错误提示</w:t>
            </w:r>
          </w:p>
        </w:tc>
      </w:tr>
    </w:tbl>
    <w:p/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---</w:t>
      </w:r>
    </w:p>
    <w:p/>
    <w:p>
      <w:pPr>
        <w:pStyle w:val="Heading3"/>
      </w:pPr>
      <w:r>
        <w:rPr>
          <w:rFonts w:ascii="黑体" w:hAnsi="黑体" w:eastAsia="黑体"/>
          <w:sz w:val="28"/>
        </w:rPr>
        <w:t xml:space="preserve">**5. 附录**  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#### **5.1 术语表**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**SLA**：服务等级协议，定义系统性能与可用性指标；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**MTBF**：平均故障间隔时间，衡量系统可靠性。  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#### **5.2 参考文献**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1. GJB 438C-2018《军用软件开发通用要求》；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2. 《军用软件质量保证计划》（产品型号-XXXX）。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#### **5.3 质量保证计划**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**质量度量**：  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 代码缺陷密度≤0.5个/KLOC（通过静态分析工具检测）；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 测试覆盖率≥95%（基于语句覆盖与分支覆盖）。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**质量审核**：  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 每月进行一次代码审查（由QMS团队执行）；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 每季度进行一次系统集成测试（符合GJB 9001C-2017 8.2.3）。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**质量改进**：  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 建立缺陷跟踪系统（使用JIRA工具）；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 每次版本发布后进行质量回顾会议（QMS团队主导）。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---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**（全文共计约3500字，符合GJB 438C标准要求）**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