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  <w:t>Aim: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  Performing market basket analysis on online retailer using python.</w:t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  <w:t>Description:</w:t>
      </w:r>
    </w:p>
    <w:p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First go through the data-set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Our data-set is on online retail, the snap-shot of our data-set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2018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Now moving towards to analyzing of this data-set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Here we are using Market Basket Analysis,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Definition: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Market Basket Analysis (Association Analysis) is a mathematical modeling technique based upon the theory that if you buy a certain group of items, you are likely to buy another group of items. 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270250" cy="2503805"/>
            <wp:effectExtent l="0" t="0" r="6350" b="0"/>
            <wp:docPr id="1026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8198" cy="2510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7"/>
        <w:spacing w:before="0" w:beforeAutospacing="0" w:after="360" w:afterAutospacing="0"/>
        <w:rPr>
          <w:color w:val="333333"/>
        </w:rPr>
      </w:pPr>
      <w:r>
        <w:rPr>
          <w:color w:val="333333"/>
        </w:rPr>
        <w:t>Association rules are normally written like this: {Diapers} -&gt; {Beer} which means that there is a strong relationship between customers that purchased diapers and also purchased beer in the same transaction.</w:t>
      </w:r>
    </w:p>
    <w:p>
      <w:pPr>
        <w:pStyle w:val="7"/>
        <w:spacing w:before="0" w:beforeAutospacing="0" w:after="360" w:afterAutospacing="0"/>
        <w:rPr>
          <w:color w:val="333333"/>
        </w:rPr>
      </w:pPr>
      <w:r>
        <w:rPr>
          <w:color w:val="333333"/>
        </w:rPr>
        <w:t>In the above example, the {Diaper} is the </w:t>
      </w:r>
      <w:r>
        <w:rPr>
          <w:rStyle w:val="8"/>
          <w:rFonts w:eastAsiaTheme="minorEastAsia"/>
          <w:color w:val="333333"/>
        </w:rPr>
        <w:t>antecedent</w:t>
      </w:r>
      <w:r>
        <w:rPr>
          <w:color w:val="333333"/>
        </w:rPr>
        <w:t> and the {Beer} is the </w:t>
      </w:r>
      <w:r>
        <w:rPr>
          <w:rStyle w:val="8"/>
          <w:rFonts w:eastAsiaTheme="minorEastAsia"/>
          <w:color w:val="333333"/>
        </w:rPr>
        <w:t>consequent</w:t>
      </w:r>
      <w:r>
        <w:rPr>
          <w:color w:val="333333"/>
        </w:rPr>
        <w:t>. Both antecedents and consequents can have multiple items. In other words, {Diaper, Gum} -&gt; {Beer, Chips} is a valid rule.</w:t>
      </w:r>
    </w:p>
    <w:p>
      <w:pPr>
        <w:pStyle w:val="7"/>
        <w:spacing w:before="0" w:beforeAutospacing="0" w:after="360" w:afterAutospacing="0"/>
        <w:rPr>
          <w:color w:val="333333"/>
        </w:rPr>
      </w:pPr>
      <w:r>
        <w:rPr>
          <w:rStyle w:val="8"/>
          <w:rFonts w:eastAsiaTheme="minorEastAsia"/>
          <w:color w:val="333333"/>
        </w:rPr>
        <w:t>Support</w:t>
      </w:r>
      <w:r>
        <w:rPr>
          <w:color w:val="333333"/>
        </w:rPr>
        <w:t> is the relative frequency that the rules show up. In many instances, you may want to look for high support in order to make sure it is a useful relationship. However, there may be instances where a low support is useful if you are trying to find “hidden” relationships.</w:t>
      </w:r>
    </w:p>
    <w:p>
      <w:pPr>
        <w:pStyle w:val="7"/>
        <w:spacing w:before="0" w:beforeAutospacing="0" w:after="360" w:afterAutospacing="0"/>
        <w:rPr>
          <w:color w:val="333333"/>
        </w:rPr>
      </w:pPr>
      <w:r>
        <w:rPr>
          <w:rStyle w:val="8"/>
          <w:rFonts w:eastAsiaTheme="minorEastAsia"/>
          <w:color w:val="333333"/>
        </w:rPr>
        <w:t>Confidence</w:t>
      </w:r>
      <w:r>
        <w:rPr>
          <w:color w:val="333333"/>
        </w:rPr>
        <w:t> is a measure of the reliability of the rule. A confidence of .5 in the above example would mean that in 50% of the cases where Diaper and Gum were purchased, the purchase also included Beer and Chips. For product recommendation, a 50% confidence may be perfectly acceptable but in a medical situation, this level may not be high enough.</w:t>
      </w:r>
    </w:p>
    <w:p>
      <w:pPr>
        <w:pStyle w:val="7"/>
        <w:spacing w:before="0" w:beforeAutospacing="0" w:after="360" w:afterAutospacing="0"/>
        <w:rPr>
          <w:color w:val="333333"/>
        </w:rPr>
      </w:pPr>
      <w:r>
        <w:rPr>
          <w:rStyle w:val="8"/>
          <w:rFonts w:eastAsiaTheme="minorEastAsia"/>
          <w:color w:val="333333"/>
        </w:rPr>
        <w:t>Lift</w:t>
      </w:r>
      <w:r>
        <w:rPr>
          <w:color w:val="333333"/>
        </w:rPr>
        <w:t> is the ratio of the observed support to that expected if the two rules were independent. The basic rule of thumb is that a lift value close to 1 means the rules were completely independent. Lift values &gt; 1 are generally more “interesting” and could be indicative of a useful rule pattern.</w:t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  <w:t>Source Code with Output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Step: 1 read the data-set</w:t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:lang w:eastAsia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43954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Step: 2 process the data from the description</w:t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:lang w:eastAsia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35598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Step: 3 take out needed column </w:t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:lang w:eastAsia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1903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Step: 4 clean out data</w:t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:lang w:eastAsia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3488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Step: 5 generate the rule</w:t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:lang w:eastAsia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14585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Step: 6 display the rules</w:t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:lang w:eastAsia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4458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Step: 7 filter out rule</w:t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:lang w:eastAsia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39350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Step: 8 again do all this process for generate 2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vertAlign w:val="superscript"/>
          <w14:textFill>
            <w14:solidFill>
              <w14:schemeClr w14:val="tx1"/>
            </w14:solidFill>
          </w14:textFill>
        </w:rPr>
        <w:t>nd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basket also generate its rules </w:t>
      </w:r>
    </w:p>
    <w:p>
      <w:pP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:lang w:eastAsia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41675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u w:val="single"/>
          <w:shd w:val="clear" w:color="auto" w:fill="FFFFFF"/>
          <w:lang w:eastAsia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1647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5" w:type="default"/>
      <w:pgSz w:w="12240" w:h="15840"/>
      <w:pgMar w:top="1440" w:right="1440" w:bottom="1440" w:left="144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right"/>
      <w:rPr>
        <w:rFonts w:ascii="Times New Roman" w:hAnsi="Times New Roman" w:cs="Times New Roman"/>
        <w:color w:val="000000" w:themeColor="text1"/>
        <w:sz w:val="24"/>
        <w:szCs w:val="24"/>
        <w14:textFill>
          <w14:solidFill>
            <w14:schemeClr w14:val="tx1"/>
          </w14:solidFill>
        </w14:textFill>
      </w:rPr>
    </w:pPr>
    <w:r>
      <w:rPr>
        <w:rFonts w:ascii="Times New Roman" w:hAnsi="Times New Roman" w:cs="Times New Roman"/>
        <w:color w:val="000000" w:themeColor="text1"/>
        <w:sz w:val="24"/>
        <w:szCs w:val="24"/>
        <w14:textFill>
          <w14:solidFill>
            <w14:schemeClr w14:val="tx1"/>
          </w14:solidFill>
        </w14:textFill>
      </w:rPr>
      <w:t xml:space="preserve">Page. </w:t>
    </w:r>
    <w:r>
      <w:rPr>
        <w:rFonts w:ascii="Times New Roman" w:hAnsi="Times New Roman" w:cs="Times New Roman"/>
        <w:color w:val="000000" w:themeColor="text1"/>
        <w:sz w:val="24"/>
        <w:szCs w:val="24"/>
        <w14:textFill>
          <w14:solidFill>
            <w14:schemeClr w14:val="tx1"/>
          </w14:solidFill>
        </w14:textFill>
      </w:rPr>
      <w:fldChar w:fldCharType="begin"/>
    </w:r>
    <w:r>
      <w:rPr>
        <w:rFonts w:ascii="Times New Roman" w:hAnsi="Times New Roman" w:cs="Times New Roman"/>
        <w:color w:val="000000" w:themeColor="text1"/>
        <w:sz w:val="24"/>
        <w:szCs w:val="24"/>
        <w14:textFill>
          <w14:solidFill>
            <w14:schemeClr w14:val="tx1"/>
          </w14:solidFill>
        </w14:textFill>
      </w:rPr>
      <w:instrText xml:space="preserve"> PAGE  \* Arabic </w:instrText>
    </w:r>
    <w:r>
      <w:rPr>
        <w:rFonts w:ascii="Times New Roman" w:hAnsi="Times New Roman" w:cs="Times New Roman"/>
        <w:color w:val="000000" w:themeColor="text1"/>
        <w:sz w:val="24"/>
        <w:szCs w:val="24"/>
        <w14:textFill>
          <w14:solidFill>
            <w14:schemeClr w14:val="tx1"/>
          </w14:solidFill>
        </w14:textFill>
      </w:rPr>
      <w:fldChar w:fldCharType="separate"/>
    </w:r>
    <w:r>
      <w:rPr>
        <w:rFonts w:ascii="Times New Roman" w:hAnsi="Times New Roman" w:cs="Times New Roman"/>
        <w:color w:val="000000" w:themeColor="text1"/>
        <w:sz w:val="24"/>
        <w:szCs w:val="24"/>
        <w14:textFill>
          <w14:solidFill>
            <w14:schemeClr w14:val="tx1"/>
          </w14:solidFill>
        </w14:textFill>
      </w:rPr>
      <w:t>9</w:t>
    </w:r>
    <w:r>
      <w:rPr>
        <w:rFonts w:ascii="Times New Roman" w:hAnsi="Times New Roman" w:cs="Times New Roman"/>
        <w:color w:val="000000" w:themeColor="text1"/>
        <w:sz w:val="24"/>
        <w:szCs w:val="24"/>
        <w14:textFill>
          <w14:solidFill>
            <w14:schemeClr w14:val="tx1"/>
          </w14:solidFill>
        </w14:textFill>
      </w:rPr>
      <w:fldChar w:fldCharType="end"/>
    </w:r>
  </w:p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64E"/>
    <w:rsid w:val="0004704E"/>
    <w:rsid w:val="00094DB8"/>
    <w:rsid w:val="000F65B1"/>
    <w:rsid w:val="002332A7"/>
    <w:rsid w:val="004B299A"/>
    <w:rsid w:val="005229E7"/>
    <w:rsid w:val="00550589"/>
    <w:rsid w:val="00580714"/>
    <w:rsid w:val="006064D7"/>
    <w:rsid w:val="006C20F2"/>
    <w:rsid w:val="007572D9"/>
    <w:rsid w:val="0083564E"/>
    <w:rsid w:val="00881987"/>
    <w:rsid w:val="00957D28"/>
    <w:rsid w:val="00A80A39"/>
    <w:rsid w:val="00B73F83"/>
    <w:rsid w:val="00BF232C"/>
    <w:rsid w:val="00BF6089"/>
    <w:rsid w:val="00CF5673"/>
    <w:rsid w:val="00DC50CB"/>
    <w:rsid w:val="00E01906"/>
    <w:rsid w:val="00ED25DE"/>
    <w:rsid w:val="00EF0CC0"/>
    <w:rsid w:val="00F37AE2"/>
    <w:rsid w:val="00F8743F"/>
    <w:rsid w:val="00FD43EF"/>
    <w:rsid w:val="00FE303C"/>
    <w:rsid w:val="209C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1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6">
    <w:name w:val="Hyperlink"/>
    <w:basedOn w:val="2"/>
    <w:semiHidden/>
    <w:unhideWhenUsed/>
    <w:uiPriority w:val="99"/>
    <w:rPr>
      <w:color w:val="0000FF"/>
      <w:u w:val="single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US"/>
    </w:rPr>
  </w:style>
  <w:style w:type="character" w:styleId="8">
    <w:name w:val="Strong"/>
    <w:basedOn w:val="2"/>
    <w:qFormat/>
    <w:uiPriority w:val="22"/>
    <w:rPr>
      <w:b/>
      <w:bCs/>
    </w:rPr>
  </w:style>
  <w:style w:type="character" w:customStyle="1" w:styleId="9">
    <w:name w:val="Footer Char"/>
    <w:basedOn w:val="2"/>
    <w:link w:val="4"/>
    <w:uiPriority w:val="99"/>
    <w:rPr>
      <w:rFonts w:eastAsiaTheme="minorEastAsia"/>
      <w:kern w:val="2"/>
      <w:sz w:val="21"/>
      <w:lang w:eastAsia="zh-CN"/>
    </w:rPr>
  </w:style>
  <w:style w:type="character" w:customStyle="1" w:styleId="10">
    <w:name w:val="bbc_underline"/>
    <w:basedOn w:val="2"/>
    <w:uiPriority w:val="0"/>
  </w:style>
  <w:style w:type="character" w:customStyle="1" w:styleId="11">
    <w:name w:val="Header Char"/>
    <w:basedOn w:val="2"/>
    <w:link w:val="5"/>
    <w:uiPriority w:val="99"/>
    <w:rPr>
      <w:rFonts w:eastAsiaTheme="minorEastAsia"/>
      <w:kern w:val="2"/>
      <w:sz w:val="21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407</Words>
  <Characters>2320</Characters>
  <Lines>19</Lines>
  <Paragraphs>5</Paragraphs>
  <TotalTime>92</TotalTime>
  <ScaleCrop>false</ScaleCrop>
  <LinksUpToDate>false</LinksUpToDate>
  <CharactersWithSpaces>2722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2018-10-03T11:03:00Z</dcterms:created>
  <dc:creator>DELL</dc:creator>
  <cp:lastModifiedBy>jaiminika chaudhari</cp:lastModifiedBy>
  <dcterms:modified xsi:type="dcterms:W3CDTF">2021-11-09T19:55:02Z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9C12DBD6126C4C6CA3A9DDE35E2C3E51</vt:lpwstr>
  </property>
</Properties>
</file>