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Times New Roman" w:cs="Times New Roman" w:eastAsia="Times New Roman" w:hAnsi="Times New Roman"/>
          <w:b/>
          <w:bCs/>
          <w:color w:val="000000"/>
          <w:sz w:val="30"/>
          <w:szCs w:val="30"/>
        </w:rPr>
        <w:t xml:space="preserve">Threat-Adaptive Interdiction of Taiwan's Crude Oil Supply</w:t>
      </w:r>
    </w:p>
    <w:p>
      <w:pPr>
        <w:spacing w:after="60" w:before="0" w:line="230"/>
      </w:pPr>
      <w:r>
        <w:rPr>
          <w:rFonts w:ascii="Times New Roman" w:cs="Times New Roman" w:eastAsia="Times New Roman" w:hAnsi="Times New Roman"/>
          <w:color w:val="000000"/>
          <w:sz w:val="17"/>
          <w:szCs w:val="17"/>
        </w:rPr>
        <w:t xml:space="preserve">Research proposal  |  MA289-27-1 Independent Study  |  Cadet Dennis Pezan  |  Advisor: LTC Matthew Webb  |  30 September 2026</w:t>
      </w:r>
    </w:p>
    <w:p>
      <w:pPr>
        <w:keepNext/>
        <w:pBdr>
          <w:bottom w:val="single" w:color="000000" w:sz="4" w:space="1"/>
        </w:pBdr>
        <w:spacing w:after="25" w:before="70"/>
      </w:pPr>
      <w:r>
        <w:rPr>
          <w:rFonts w:ascii="Times New Roman" w:cs="Times New Roman" w:eastAsia="Times New Roman" w:hAnsi="Times New Roman"/>
          <w:b/>
          <w:bCs/>
          <w:color w:val="000000"/>
          <w:sz w:val="19"/>
          <w:szCs w:val="19"/>
        </w:rPr>
        <w:t xml:space="preserve">PURPOSE</w:t>
      </w:r>
    </w:p>
    <w:p>
      <w:pPr>
        <w:spacing w:after="40" w:before="0" w:line="234"/>
      </w:pPr>
      <w:r>
        <w:rPr>
          <w:rFonts w:ascii="Times New Roman" w:cs="Times New Roman" w:eastAsia="Times New Roman" w:hAnsi="Times New Roman"/>
          <w:color w:val="000000"/>
          <w:sz w:val="20"/>
          <w:szCs w:val="20"/>
        </w:rPr>
        <w:t xml:space="preserve">This project tests whether LTC Webb's threat-adaptive RL interdiction agent, built on Ukrainian/Russian rail, still finds sound attacker strategies on a structurally different network: the sea delivery of crude oil to Taiwan's refineries. </w:t>
      </w:r>
      <w:r>
        <w:rPr>
          <w:rFonts w:ascii="Times New Roman" w:cs="Times New Roman" w:eastAsia="Times New Roman" w:hAnsi="Times New Roman"/>
          <w:b/>
          <w:bCs/>
          <w:color w:val="000000"/>
          <w:sz w:val="20"/>
          <w:szCs w:val="20"/>
        </w:rPr>
        <w:t xml:space="preserve">Research question: </w:t>
      </w:r>
      <w:r>
        <w:rPr>
          <w:rFonts w:ascii="Times New Roman" w:cs="Times New Roman" w:eastAsia="Times New Roman" w:hAnsi="Times New Roman"/>
          <w:color w:val="000000"/>
          <w:sz w:val="20"/>
          <w:szCs w:val="20"/>
        </w:rPr>
        <w:t xml:space="preserve">given one effort budget spread across different kinds of action, which sea lanes does an attacker act on to minimize crude reaching Taiwan, and are they distant chokepoints or Taiwan’s own approaches?</w:t>
      </w:r>
    </w:p>
    <w:p>
      <w:pPr>
        <w:keepNext/>
        <w:pBdr>
          <w:bottom w:val="single" w:color="000000" w:sz="4" w:space="1"/>
        </w:pBdr>
        <w:spacing w:after="25" w:before="70"/>
      </w:pPr>
      <w:r>
        <w:rPr>
          <w:rFonts w:ascii="Times New Roman" w:cs="Times New Roman" w:eastAsia="Times New Roman" w:hAnsi="Times New Roman"/>
          <w:b/>
          <w:bCs/>
          <w:color w:val="000000"/>
          <w:sz w:val="19"/>
          <w:szCs w:val="19"/>
        </w:rPr>
        <w:t xml:space="preserve">WHY THIS NETWORK</w:t>
      </w:r>
    </w:p>
    <w:p>
      <w:pPr>
        <w:spacing w:after="40" w:before="0" w:line="234"/>
      </w:pPr>
      <w:r>
        <w:rPr>
          <w:rFonts w:ascii="Times New Roman" w:cs="Times New Roman" w:eastAsia="Times New Roman" w:hAnsi="Times New Roman"/>
          <w:color w:val="000000"/>
          <w:sz w:val="20"/>
          <w:szCs w:val="20"/>
        </w:rPr>
        <w:t xml:space="preserve">Taiwan imports nearly all of its crude: in 2025, 61% from Persian Gulf producers through Hormuz, 27% from the U.S. Gulf Coast, 8% from Oman (EIA, 2026). Every barrel must pass a few named straits, so the open ocean reduces to a finite, closed graph. The structure is real: Hormuz has been largely closed since February 2026, and Taiwan reportedly rerouted through the Saudi Red Sea port of Yanbu, a route this network contains.</w:t>
      </w:r>
    </w:p>
    <w:p>
      <w:pPr>
        <w:keepNext/>
        <w:pBdr>
          <w:bottom w:val="single" w:color="000000" w:sz="4" w:space="1"/>
        </w:pBdr>
        <w:spacing w:after="25" w:before="70"/>
      </w:pPr>
      <w:r>
        <w:rPr>
          <w:rFonts w:ascii="Times New Roman" w:cs="Times New Roman" w:eastAsia="Times New Roman" w:hAnsi="Times New Roman"/>
          <w:b/>
          <w:bCs/>
          <w:color w:val="000000"/>
          <w:sz w:val="19"/>
          <w:szCs w:val="19"/>
        </w:rPr>
        <w:t xml:space="preserve">THE NETWORK</w:t>
      </w:r>
    </w:p>
    <w:p>
      <w:pPr>
        <w:pStyle w:val="ListParagraph"/>
        <w:numPr>
          <w:ilvl w:val="0"/>
          <w:numId w:val="2"/>
        </w:numPr>
        <w:spacing w:after="25" w:before="0" w:line="234"/>
      </w:pPr>
      <w:r>
        <w:rPr>
          <w:rFonts w:ascii="Times New Roman" w:cs="Times New Roman" w:eastAsia="Times New Roman" w:hAnsi="Times New Roman"/>
          <w:b/>
          <w:bCs/>
          <w:color w:val="000000"/>
          <w:sz w:val="20"/>
          <w:szCs w:val="20"/>
        </w:rPr>
        <w:t xml:space="preserve">Size: </w:t>
      </w:r>
      <w:r>
        <w:rPr>
          <w:rFonts w:ascii="Times New Roman" w:cs="Times New Roman" w:eastAsia="Times New Roman" w:hAnsi="Times New Roman"/>
          <w:color w:val="000000"/>
          <w:sz w:val="20"/>
          <w:szCs w:val="20"/>
        </w:rPr>
        <w:t xml:space="preserve">55 nodes, 78 edges (59 interdictable), vs. 70 and 125 for Ukraine; loads into env_TA.py unchanged (Figure 1).</w:t>
      </w:r>
    </w:p>
    <w:p>
      <w:pPr>
        <w:pStyle w:val="ListParagraph"/>
        <w:numPr>
          <w:ilvl w:val="0"/>
          <w:numId w:val="2"/>
        </w:numPr>
        <w:spacing w:after="25" w:before="0" w:line="234"/>
      </w:pPr>
      <w:r>
        <w:rPr>
          <w:rFonts w:ascii="Times New Roman" w:cs="Times New Roman" w:eastAsia="Times New Roman" w:hAnsi="Times New Roman"/>
          <w:b/>
          <w:bCs/>
          <w:color w:val="000000"/>
          <w:sz w:val="20"/>
          <w:szCs w:val="20"/>
        </w:rPr>
        <w:t xml:space="preserve">Sources and sinks: </w:t>
      </w:r>
      <w:r>
        <w:rPr>
          <w:rFonts w:ascii="Times New Roman" w:cs="Times New Roman" w:eastAsia="Times New Roman" w:hAnsi="Times New Roman"/>
          <w:color w:val="000000"/>
          <w:sz w:val="20"/>
          <w:szCs w:val="20"/>
        </w:rPr>
        <w:t xml:space="preserve">four origin regions weighted by EIA import shares; three ports by refinery capacity (Kaohsiung 670, Mailiao 540, Shalung 200 kb/d). Demand: 11.9 VLCC loads a month (783 kb/d ÷ 2 million barrels a load).</w:t>
      </w:r>
    </w:p>
    <w:p>
      <w:pPr>
        <w:pStyle w:val="ListParagraph"/>
        <w:numPr>
          <w:ilvl w:val="0"/>
          <w:numId w:val="2"/>
        </w:numPr>
        <w:spacing w:after="25" w:before="0" w:line="234"/>
      </w:pPr>
      <w:r>
        <w:rPr>
          <w:rFonts w:ascii="Times New Roman" w:cs="Times New Roman" w:eastAsia="Times New Roman" w:hAnsi="Times New Roman"/>
          <w:b/>
          <w:bCs/>
          <w:color w:val="000000"/>
          <w:sz w:val="20"/>
          <w:szCs w:val="20"/>
        </w:rPr>
        <w:t xml:space="preserve">Structure: </w:t>
      </w:r>
      <w:r>
        <w:rPr>
          <w:rFonts w:ascii="Times New Roman" w:cs="Times New Roman" w:eastAsia="Times New Roman" w:hAnsi="Times New Roman"/>
          <w:color w:val="000000"/>
          <w:sz w:val="20"/>
          <w:szCs w:val="20"/>
        </w:rPr>
        <w:t xml:space="preserve">each strait or canal is an edge from entrance to exit; a node at every junction; every interdictable lane has a checked alternative (for Hormuz, the two bypass pipelines).</w:t>
      </w:r>
    </w:p>
    <w:p>
      <w:pPr>
        <w:pStyle w:val="ListParagraph"/>
        <w:numPr>
          <w:ilvl w:val="0"/>
          <w:numId w:val="2"/>
        </w:numPr>
        <w:spacing w:after="25" w:before="0" w:line="234"/>
      </w:pPr>
      <w:r>
        <w:rPr>
          <w:rFonts w:ascii="Times New Roman" w:cs="Times New Roman" w:eastAsia="Times New Roman" w:hAnsi="Times New Roman"/>
          <w:b/>
          <w:bCs/>
          <w:color w:val="000000"/>
          <w:sz w:val="20"/>
          <w:szCs w:val="20"/>
        </w:rPr>
        <w:t xml:space="preserve">Geometry: </w:t>
      </w:r>
      <w:r>
        <w:rPr>
          <w:rFonts w:ascii="Times New Roman" w:cs="Times New Roman" w:eastAsia="Times New Roman" w:hAnsi="Times New Roman"/>
          <w:color w:val="000000"/>
          <w:sz w:val="20"/>
          <w:szCs w:val="20"/>
        </w:rPr>
        <w:t xml:space="preserve">real sea lanes (scgraph marnet); 12 nm offshore near Taiwan, the territorial-sea limit; no lane crosses land (Figure 2).</w:t>
      </w:r>
    </w:p>
    <w:p>
      <w:pPr>
        <w:keepNext/>
        <w:pBdr>
          <w:bottom w:val="single" w:color="000000" w:sz="4" w:space="1"/>
        </w:pBdr>
        <w:spacing w:after="25" w:before="70"/>
      </w:pPr>
      <w:r>
        <w:rPr>
          <w:rFonts w:ascii="Times New Roman" w:cs="Times New Roman" w:eastAsia="Times New Roman" w:hAnsi="Times New Roman"/>
          <w:b/>
          <w:bCs/>
          <w:color w:val="000000"/>
          <w:sz w:val="19"/>
          <w:szCs w:val="19"/>
        </w:rPr>
        <w:t xml:space="preserve">HOW INTERDICTION WORKS</w:t>
      </w:r>
    </w:p>
    <w:p>
      <w:pPr>
        <w:spacing w:after="60" w:before="0" w:line="234"/>
      </w:pPr>
      <w:r>
        <w:rPr>
          <w:rFonts w:ascii="Times New Roman" w:cs="Times New Roman" w:eastAsia="Times New Roman" w:hAnsi="Times New Roman"/>
          <w:color w:val="000000"/>
          <w:sz w:val="20"/>
          <w:szCs w:val="20"/>
        </w:rPr>
        <w:t xml:space="preserve">The attacker spends one effort budget. Each edge carries the one action that fits where it is, with an effort cost and a probability p that it shuts the edge (the expected share of the month closed), which is the per-edge cost and probability env_TA.py already uses. p is anchored on real disruptions; costs are ordinal, by legal threshold and distance from PRC bases.</w:t>
      </w:r>
    </w:p>
    <w:tbl>
      <w:tblPr>
        <w:tblW w:type="dxa" w:w="1065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50"/>
        <w:gridCol w:w="3400"/>
        <w:gridCol w:w="520"/>
        <w:gridCol w:w="900"/>
        <w:gridCol w:w="3742"/>
      </w:tblGrid>
      <w:tr>
        <w:trPr>
          <w:cantSplit/>
          <w:tblHeader/>
        </w:trPr>
        <w:tc>
          <w:tcPr>
            <w:tcW w:type="dxa" w:w="1950"/>
            <w:tcBorders>
              <w:top w:val="single" w:color="000000" w:sz="2"/>
              <w:left w:val="single" w:color="000000" w:sz="2"/>
              <w:bottom w:val="single" w:color="000000" w:sz="2"/>
              <w:right w:val="single" w:color="000000" w:sz="2"/>
            </w:tcBorders>
            <w:tcMar>
              <w:top w:type="dxa" w:w="25"/>
              <w:left w:type="dxa" w:w="70"/>
              <w:bottom w:type="dxa" w:w="25"/>
              <w:right w:type="dxa" w:w="70"/>
            </w:tcMar>
          </w:tcPr>
          <w:p>
            <w:pPr>
              <w:spacing w:after="0" w:line="220"/>
              <w:jc w:val="left"/>
            </w:pPr>
            <w:r>
              <w:rPr>
                <w:rFonts w:ascii="Times New Roman" w:cs="Times New Roman" w:eastAsia="Times New Roman" w:hAnsi="Times New Roman"/>
                <w:b/>
                <w:bCs/>
                <w:color w:val="000000"/>
                <w:sz w:val="17"/>
                <w:szCs w:val="17"/>
              </w:rPr>
              <w:t xml:space="preserve">Action</w:t>
            </w:r>
          </w:p>
        </w:tc>
        <w:tc>
          <w:tcPr>
            <w:tcW w:type="dxa" w:w="3400"/>
            <w:tcBorders>
              <w:top w:val="single" w:color="000000" w:sz="2"/>
              <w:left w:val="single" w:color="000000" w:sz="2"/>
              <w:bottom w:val="single" w:color="000000" w:sz="2"/>
              <w:right w:val="single" w:color="000000" w:sz="2"/>
            </w:tcBorders>
            <w:tcMar>
              <w:top w:type="dxa" w:w="25"/>
              <w:left w:type="dxa" w:w="70"/>
              <w:bottom w:type="dxa" w:w="25"/>
              <w:right w:type="dxa" w:w="70"/>
            </w:tcMar>
          </w:tcPr>
          <w:p>
            <w:pPr>
              <w:spacing w:after="0" w:line="220"/>
              <w:jc w:val="left"/>
            </w:pPr>
            <w:r>
              <w:rPr>
                <w:rFonts w:ascii="Times New Roman" w:cs="Times New Roman" w:eastAsia="Times New Roman" w:hAnsi="Times New Roman"/>
                <w:b/>
                <w:bCs/>
                <w:color w:val="000000"/>
                <w:sz w:val="17"/>
                <w:szCs w:val="17"/>
              </w:rPr>
              <w:t xml:space="preserve">Where it is allowed</w:t>
            </w:r>
          </w:p>
        </w:tc>
        <w:tc>
          <w:tcPr>
            <w:tcW w:type="dxa" w:w="520"/>
            <w:tcBorders>
              <w:top w:val="single" w:color="000000" w:sz="2"/>
              <w:left w:val="single" w:color="000000" w:sz="2"/>
              <w:bottom w:val="single" w:color="000000" w:sz="2"/>
              <w:right w:val="single" w:color="000000" w:sz="2"/>
            </w:tcBorders>
            <w:tcMar>
              <w:top w:type="dxa" w:w="25"/>
              <w:left w:type="dxa" w:w="70"/>
              <w:bottom w:type="dxa" w:w="25"/>
              <w:right w:type="dxa" w:w="70"/>
            </w:tcMar>
          </w:tcPr>
          <w:p>
            <w:pPr>
              <w:spacing w:after="0" w:line="220"/>
              <w:jc w:val="center"/>
            </w:pPr>
            <w:r>
              <w:rPr>
                <w:rFonts w:ascii="Times New Roman" w:cs="Times New Roman" w:eastAsia="Times New Roman" w:hAnsi="Times New Roman"/>
                <w:b/>
                <w:bCs/>
                <w:color w:val="000000"/>
                <w:sz w:val="17"/>
                <w:szCs w:val="17"/>
              </w:rPr>
              <w:t xml:space="preserve">Cost</w:t>
            </w:r>
          </w:p>
        </w:tc>
        <w:tc>
          <w:tcPr>
            <w:tcW w:type="dxa" w:w="900"/>
            <w:tcBorders>
              <w:top w:val="single" w:color="000000" w:sz="2"/>
              <w:left w:val="single" w:color="000000" w:sz="2"/>
              <w:bottom w:val="single" w:color="000000" w:sz="2"/>
              <w:right w:val="single" w:color="000000" w:sz="2"/>
            </w:tcBorders>
            <w:tcMar>
              <w:top w:type="dxa" w:w="25"/>
              <w:left w:type="dxa" w:w="70"/>
              <w:bottom w:type="dxa" w:w="25"/>
              <w:right w:type="dxa" w:w="70"/>
            </w:tcMar>
          </w:tcPr>
          <w:p>
            <w:pPr>
              <w:spacing w:after="0" w:line="220"/>
              <w:jc w:val="center"/>
            </w:pPr>
            <w:r>
              <w:rPr>
                <w:rFonts w:ascii="Times New Roman" w:cs="Times New Roman" w:eastAsia="Times New Roman" w:hAnsi="Times New Roman"/>
                <w:b/>
                <w:bCs/>
                <w:color w:val="000000"/>
                <w:sz w:val="17"/>
                <w:szCs w:val="17"/>
              </w:rPr>
              <w:t xml:space="preserve">p</w:t>
            </w:r>
          </w:p>
        </w:tc>
        <w:tc>
          <w:tcPr>
            <w:tcW w:type="dxa" w:w="3742"/>
            <w:tcBorders>
              <w:top w:val="single" w:color="000000" w:sz="2"/>
              <w:left w:val="single" w:color="000000" w:sz="2"/>
              <w:bottom w:val="single" w:color="000000" w:sz="2"/>
              <w:right w:val="single" w:color="000000" w:sz="2"/>
            </w:tcBorders>
            <w:tcMar>
              <w:top w:type="dxa" w:w="25"/>
              <w:left w:type="dxa" w:w="70"/>
              <w:bottom w:type="dxa" w:w="25"/>
              <w:right w:type="dxa" w:w="70"/>
            </w:tcMar>
          </w:tcPr>
          <w:p>
            <w:pPr>
              <w:spacing w:after="0" w:line="220"/>
              <w:jc w:val="left"/>
            </w:pPr>
            <w:r>
              <w:rPr>
                <w:rFonts w:ascii="Times New Roman" w:cs="Times New Roman" w:eastAsia="Times New Roman" w:hAnsi="Times New Roman"/>
                <w:b/>
                <w:bCs/>
                <w:color w:val="000000"/>
                <w:sz w:val="17"/>
                <w:szCs w:val="17"/>
              </w:rPr>
              <w:t xml:space="preserve">What p is anchored on</w:t>
            </w:r>
          </w:p>
        </w:tc>
      </w:tr>
      <w:tr>
        <w:trPr>
          <w:cantSplit/>
          <w:tblHeader w:val="false"/>
        </w:trPr>
        <w:tc>
          <w:tcPr>
            <w:tcW w:type="dxa" w:w="1950"/>
            <w:tcBorders>
              <w:top w:val="single" w:color="000000" w:sz="2"/>
              <w:left w:val="single" w:color="000000" w:sz="2"/>
              <w:bottom w:val="single" w:color="000000" w:sz="2"/>
              <w:right w:val="single" w:color="000000" w:sz="2"/>
            </w:tcBorders>
            <w:tcMar>
              <w:top w:type="dxa" w:w="25"/>
              <w:left w:type="dxa" w:w="70"/>
              <w:bottom w:type="dxa" w:w="25"/>
              <w:right w:type="dxa" w:w="70"/>
            </w:tcMar>
          </w:tcPr>
          <w:p>
            <w:pPr>
              <w:spacing w:after="0" w:line="220"/>
              <w:jc w:val="left"/>
            </w:pPr>
            <w:r>
              <w:rPr>
                <w:rFonts w:ascii="Times New Roman" w:cs="Times New Roman" w:eastAsia="Times New Roman" w:hAnsi="Times New Roman"/>
                <w:color w:val="000000"/>
                <w:sz w:val="17"/>
                <w:szCs w:val="17"/>
              </w:rPr>
              <w:t xml:space="preserve">Cyber on a canal or port</w:t>
            </w:r>
          </w:p>
        </w:tc>
        <w:tc>
          <w:tcPr>
            <w:tcW w:type="dxa" w:w="3400"/>
            <w:tcBorders>
              <w:top w:val="single" w:color="000000" w:sz="2"/>
              <w:left w:val="single" w:color="000000" w:sz="2"/>
              <w:bottom w:val="single" w:color="000000" w:sz="2"/>
              <w:right w:val="single" w:color="000000" w:sz="2"/>
            </w:tcBorders>
            <w:tcMar>
              <w:top w:type="dxa" w:w="25"/>
              <w:left w:type="dxa" w:w="70"/>
              <w:bottom w:type="dxa" w:w="25"/>
              <w:right w:type="dxa" w:w="70"/>
            </w:tcMar>
          </w:tcPr>
          <w:p>
            <w:pPr>
              <w:spacing w:after="0" w:line="220"/>
              <w:jc w:val="left"/>
            </w:pPr>
            <w:r>
              <w:rPr>
                <w:rFonts w:ascii="Times New Roman" w:cs="Times New Roman" w:eastAsia="Times New Roman" w:hAnsi="Times New Roman"/>
                <w:color w:val="000000"/>
                <w:sz w:val="17"/>
                <w:szCs w:val="17"/>
              </w:rPr>
              <w:t xml:space="preserve">Panama, Suez route, the 3 port entries</w:t>
            </w:r>
          </w:p>
        </w:tc>
        <w:tc>
          <w:tcPr>
            <w:tcW w:type="dxa" w:w="520"/>
            <w:tcBorders>
              <w:top w:val="single" w:color="000000" w:sz="2"/>
              <w:left w:val="single" w:color="000000" w:sz="2"/>
              <w:bottom w:val="single" w:color="000000" w:sz="2"/>
              <w:right w:val="single" w:color="000000" w:sz="2"/>
            </w:tcBorders>
            <w:tcMar>
              <w:top w:type="dxa" w:w="25"/>
              <w:left w:type="dxa" w:w="70"/>
              <w:bottom w:type="dxa" w:w="25"/>
              <w:right w:type="dxa" w:w="70"/>
            </w:tcMar>
          </w:tcPr>
          <w:p>
            <w:pPr>
              <w:spacing w:after="0" w:line="220"/>
              <w:jc w:val="center"/>
            </w:pPr>
            <w:r>
              <w:rPr>
                <w:rFonts w:ascii="Times New Roman" w:cs="Times New Roman" w:eastAsia="Times New Roman" w:hAnsi="Times New Roman"/>
                <w:color w:val="000000"/>
                <w:sz w:val="17"/>
                <w:szCs w:val="17"/>
              </w:rPr>
              <w:t xml:space="preserve">1</w:t>
            </w:r>
          </w:p>
        </w:tc>
        <w:tc>
          <w:tcPr>
            <w:tcW w:type="dxa" w:w="900"/>
            <w:tcBorders>
              <w:top w:val="single" w:color="000000" w:sz="2"/>
              <w:left w:val="single" w:color="000000" w:sz="2"/>
              <w:bottom w:val="single" w:color="000000" w:sz="2"/>
              <w:right w:val="single" w:color="000000" w:sz="2"/>
            </w:tcBorders>
            <w:tcMar>
              <w:top w:type="dxa" w:w="25"/>
              <w:left w:type="dxa" w:w="70"/>
              <w:bottom w:type="dxa" w:w="25"/>
              <w:right w:type="dxa" w:w="70"/>
            </w:tcMar>
          </w:tcPr>
          <w:p>
            <w:pPr>
              <w:spacing w:after="0" w:line="220"/>
              <w:jc w:val="center"/>
            </w:pPr>
            <w:r>
              <w:rPr>
                <w:rFonts w:ascii="Times New Roman" w:cs="Times New Roman" w:eastAsia="Times New Roman" w:hAnsi="Times New Roman"/>
                <w:color w:val="000000"/>
                <w:sz w:val="17"/>
                <w:szCs w:val="17"/>
              </w:rPr>
              <w:t xml:space="preserve">0.10</w:t>
            </w:r>
          </w:p>
        </w:tc>
        <w:tc>
          <w:tcPr>
            <w:tcW w:type="dxa" w:w="3742"/>
            <w:tcBorders>
              <w:top w:val="single" w:color="000000" w:sz="2"/>
              <w:left w:val="single" w:color="000000" w:sz="2"/>
              <w:bottom w:val="single" w:color="000000" w:sz="2"/>
              <w:right w:val="single" w:color="000000" w:sz="2"/>
            </w:tcBorders>
            <w:tcMar>
              <w:top w:type="dxa" w:w="25"/>
              <w:left w:type="dxa" w:w="70"/>
              <w:bottom w:type="dxa" w:w="25"/>
              <w:right w:type="dxa" w:w="70"/>
            </w:tcMar>
          </w:tcPr>
          <w:p>
            <w:pPr>
              <w:spacing w:after="0" w:line="220"/>
              <w:jc w:val="left"/>
            </w:pPr>
            <w:r>
              <w:rPr>
                <w:rFonts w:ascii="Times New Roman" w:cs="Times New Roman" w:eastAsia="Times New Roman" w:hAnsi="Times New Roman"/>
                <w:color w:val="000000"/>
                <w:sz w:val="17"/>
                <w:szCs w:val="17"/>
              </w:rPr>
              <w:t xml:space="preserve">Nagoya, DP World port shutdowns, 2023 (~3 days)</w:t>
            </w:r>
          </w:p>
        </w:tc>
      </w:tr>
      <w:tr>
        <w:trPr>
          <w:cantSplit/>
          <w:tblHeader w:val="false"/>
        </w:trPr>
        <w:tc>
          <w:tcPr>
            <w:tcW w:type="dxa" w:w="1950"/>
            <w:tcBorders>
              <w:top w:val="single" w:color="000000" w:sz="2"/>
              <w:left w:val="single" w:color="000000" w:sz="2"/>
              <w:bottom w:val="single" w:color="000000" w:sz="2"/>
              <w:right w:val="single" w:color="000000" w:sz="2"/>
            </w:tcBorders>
            <w:tcMar>
              <w:top w:type="dxa" w:w="25"/>
              <w:left w:type="dxa" w:w="70"/>
              <w:bottom w:type="dxa" w:w="25"/>
              <w:right w:type="dxa" w:w="70"/>
            </w:tcMar>
          </w:tcPr>
          <w:p>
            <w:pPr>
              <w:spacing w:after="0" w:line="220"/>
              <w:jc w:val="left"/>
            </w:pPr>
            <w:r>
              <w:rPr>
                <w:rFonts w:ascii="Times New Roman" w:cs="Times New Roman" w:eastAsia="Times New Roman" w:hAnsi="Times New Roman"/>
                <w:color w:val="000000"/>
                <w:sz w:val="17"/>
                <w:szCs w:val="17"/>
              </w:rPr>
              <w:t xml:space="preserve">Cyber on an open strait</w:t>
            </w:r>
          </w:p>
        </w:tc>
        <w:tc>
          <w:tcPr>
            <w:tcW w:type="dxa" w:w="3400"/>
            <w:tcBorders>
              <w:top w:val="single" w:color="000000" w:sz="2"/>
              <w:left w:val="single" w:color="000000" w:sz="2"/>
              <w:bottom w:val="single" w:color="000000" w:sz="2"/>
              <w:right w:val="single" w:color="000000" w:sz="2"/>
            </w:tcBorders>
            <w:tcMar>
              <w:top w:type="dxa" w:w="25"/>
              <w:left w:type="dxa" w:w="70"/>
              <w:bottom w:type="dxa" w:w="25"/>
              <w:right w:type="dxa" w:w="70"/>
            </w:tcMar>
          </w:tcPr>
          <w:p>
            <w:pPr>
              <w:spacing w:after="0" w:line="220"/>
              <w:jc w:val="left"/>
            </w:pPr>
            <w:r>
              <w:rPr>
                <w:rFonts w:ascii="Times New Roman" w:cs="Times New Roman" w:eastAsia="Times New Roman" w:hAnsi="Times New Roman"/>
                <w:color w:val="000000"/>
                <w:sz w:val="17"/>
                <w:szCs w:val="17"/>
              </w:rPr>
              <w:t xml:space="preserve">Hormuz, Malacca, Sunda, Lombok, Sulu, Miyako</w:t>
            </w:r>
          </w:p>
        </w:tc>
        <w:tc>
          <w:tcPr>
            <w:tcW w:type="dxa" w:w="520"/>
            <w:tcBorders>
              <w:top w:val="single" w:color="000000" w:sz="2"/>
              <w:left w:val="single" w:color="000000" w:sz="2"/>
              <w:bottom w:val="single" w:color="000000" w:sz="2"/>
              <w:right w:val="single" w:color="000000" w:sz="2"/>
            </w:tcBorders>
            <w:tcMar>
              <w:top w:type="dxa" w:w="25"/>
              <w:left w:type="dxa" w:w="70"/>
              <w:bottom w:type="dxa" w:w="25"/>
              <w:right w:type="dxa" w:w="70"/>
            </w:tcMar>
          </w:tcPr>
          <w:p>
            <w:pPr>
              <w:spacing w:after="0" w:line="220"/>
              <w:jc w:val="center"/>
            </w:pPr>
            <w:r>
              <w:rPr>
                <w:rFonts w:ascii="Times New Roman" w:cs="Times New Roman" w:eastAsia="Times New Roman" w:hAnsi="Times New Roman"/>
                <w:color w:val="000000"/>
                <w:sz w:val="17"/>
                <w:szCs w:val="17"/>
              </w:rPr>
              <w:t xml:space="preserve">1</w:t>
            </w:r>
          </w:p>
        </w:tc>
        <w:tc>
          <w:tcPr>
            <w:tcW w:type="dxa" w:w="900"/>
            <w:tcBorders>
              <w:top w:val="single" w:color="000000" w:sz="2"/>
              <w:left w:val="single" w:color="000000" w:sz="2"/>
              <w:bottom w:val="single" w:color="000000" w:sz="2"/>
              <w:right w:val="single" w:color="000000" w:sz="2"/>
            </w:tcBorders>
            <w:tcMar>
              <w:top w:type="dxa" w:w="25"/>
              <w:left w:type="dxa" w:w="70"/>
              <w:bottom w:type="dxa" w:w="25"/>
              <w:right w:type="dxa" w:w="70"/>
            </w:tcMar>
          </w:tcPr>
          <w:p>
            <w:pPr>
              <w:spacing w:after="0" w:line="220"/>
              <w:jc w:val="center"/>
            </w:pPr>
            <w:r>
              <w:rPr>
                <w:rFonts w:ascii="Times New Roman" w:cs="Times New Roman" w:eastAsia="Times New Roman" w:hAnsi="Times New Roman"/>
                <w:color w:val="000000"/>
                <w:sz w:val="17"/>
                <w:szCs w:val="17"/>
              </w:rPr>
              <w:t xml:space="preserve">0.05</w:t>
            </w:r>
          </w:p>
        </w:tc>
        <w:tc>
          <w:tcPr>
            <w:tcW w:type="dxa" w:w="3742"/>
            <w:tcBorders>
              <w:top w:val="single" w:color="000000" w:sz="2"/>
              <w:left w:val="single" w:color="000000" w:sz="2"/>
              <w:bottom w:val="single" w:color="000000" w:sz="2"/>
              <w:right w:val="single" w:color="000000" w:sz="2"/>
            </w:tcBorders>
            <w:tcMar>
              <w:top w:type="dxa" w:w="25"/>
              <w:left w:type="dxa" w:w="70"/>
              <w:bottom w:type="dxa" w:w="25"/>
              <w:right w:type="dxa" w:w="70"/>
            </w:tcMar>
          </w:tcPr>
          <w:p>
            <w:pPr>
              <w:spacing w:after="0" w:line="220"/>
              <w:jc w:val="left"/>
            </w:pPr>
            <w:r>
              <w:rPr>
                <w:rFonts w:ascii="Times New Roman" w:cs="Times New Roman" w:eastAsia="Times New Roman" w:hAnsi="Times New Roman"/>
                <w:color w:val="000000"/>
                <w:sz w:val="17"/>
                <w:szCs w:val="17"/>
              </w:rPr>
              <w:t xml:space="preserve">GPS jamming in Hormuz, 2025: traffic kept moving</w:t>
            </w:r>
          </w:p>
        </w:tc>
      </w:tr>
      <w:tr>
        <w:trPr>
          <w:cantSplit/>
          <w:tblHeader w:val="false"/>
        </w:trPr>
        <w:tc>
          <w:tcPr>
            <w:tcW w:type="dxa" w:w="1950"/>
            <w:tcBorders>
              <w:top w:val="single" w:color="000000" w:sz="2"/>
              <w:left w:val="single" w:color="000000" w:sz="2"/>
              <w:bottom w:val="single" w:color="000000" w:sz="2"/>
              <w:right w:val="single" w:color="000000" w:sz="2"/>
            </w:tcBorders>
            <w:tcMar>
              <w:top w:type="dxa" w:w="25"/>
              <w:left w:type="dxa" w:w="70"/>
              <w:bottom w:type="dxa" w:w="25"/>
              <w:right w:type="dxa" w:w="70"/>
            </w:tcMar>
          </w:tcPr>
          <w:p>
            <w:pPr>
              <w:spacing w:after="0" w:line="220"/>
              <w:jc w:val="left"/>
            </w:pPr>
            <w:r>
              <w:rPr>
                <w:rFonts w:ascii="Times New Roman" w:cs="Times New Roman" w:eastAsia="Times New Roman" w:hAnsi="Times New Roman"/>
                <w:color w:val="000000"/>
                <w:sz w:val="17"/>
                <w:szCs w:val="17"/>
              </w:rPr>
              <w:t xml:space="preserve">Quarantine / blockade</w:t>
            </w:r>
          </w:p>
        </w:tc>
        <w:tc>
          <w:tcPr>
            <w:tcW w:type="dxa" w:w="3400"/>
            <w:tcBorders>
              <w:top w:val="single" w:color="000000" w:sz="2"/>
              <w:left w:val="single" w:color="000000" w:sz="2"/>
              <w:bottom w:val="single" w:color="000000" w:sz="2"/>
              <w:right w:val="single" w:color="000000" w:sz="2"/>
            </w:tcBorders>
            <w:tcMar>
              <w:top w:type="dxa" w:w="25"/>
              <w:left w:type="dxa" w:w="70"/>
              <w:bottom w:type="dxa" w:w="25"/>
              <w:right w:type="dxa" w:w="70"/>
            </w:tcMar>
          </w:tcPr>
          <w:p>
            <w:pPr>
              <w:spacing w:after="0" w:line="220"/>
              <w:jc w:val="left"/>
            </w:pPr>
            <w:r>
              <w:rPr>
                <w:rFonts w:ascii="Times New Roman" w:cs="Times New Roman" w:eastAsia="Times New Roman" w:hAnsi="Times New Roman"/>
                <w:color w:val="000000"/>
                <w:sz w:val="17"/>
                <w:szCs w:val="17"/>
              </w:rPr>
              <w:t xml:space="preserve">Taiwan approaches (two variants)</w:t>
            </w:r>
          </w:p>
        </w:tc>
        <w:tc>
          <w:tcPr>
            <w:tcW w:type="dxa" w:w="520"/>
            <w:tcBorders>
              <w:top w:val="single" w:color="000000" w:sz="2"/>
              <w:left w:val="single" w:color="000000" w:sz="2"/>
              <w:bottom w:val="single" w:color="000000" w:sz="2"/>
              <w:right w:val="single" w:color="000000" w:sz="2"/>
            </w:tcBorders>
            <w:tcMar>
              <w:top w:type="dxa" w:w="25"/>
              <w:left w:type="dxa" w:w="70"/>
              <w:bottom w:type="dxa" w:w="25"/>
              <w:right w:type="dxa" w:w="70"/>
            </w:tcMar>
          </w:tcPr>
          <w:p>
            <w:pPr>
              <w:spacing w:after="0" w:line="220"/>
              <w:jc w:val="center"/>
            </w:pPr>
            <w:r>
              <w:rPr>
                <w:rFonts w:ascii="Times New Roman" w:cs="Times New Roman" w:eastAsia="Times New Roman" w:hAnsi="Times New Roman"/>
                <w:color w:val="000000"/>
                <w:sz w:val="17"/>
                <w:szCs w:val="17"/>
              </w:rPr>
              <w:t xml:space="preserve">2 / 4</w:t>
            </w:r>
          </w:p>
        </w:tc>
        <w:tc>
          <w:tcPr>
            <w:tcW w:type="dxa" w:w="900"/>
            <w:tcBorders>
              <w:top w:val="single" w:color="000000" w:sz="2"/>
              <w:left w:val="single" w:color="000000" w:sz="2"/>
              <w:bottom w:val="single" w:color="000000" w:sz="2"/>
              <w:right w:val="single" w:color="000000" w:sz="2"/>
            </w:tcBorders>
            <w:tcMar>
              <w:top w:type="dxa" w:w="25"/>
              <w:left w:type="dxa" w:w="70"/>
              <w:bottom w:type="dxa" w:w="25"/>
              <w:right w:type="dxa" w:w="70"/>
            </w:tcMar>
          </w:tcPr>
          <w:p>
            <w:pPr>
              <w:spacing w:after="0" w:line="220"/>
              <w:jc w:val="center"/>
            </w:pPr>
            <w:r>
              <w:rPr>
                <w:rFonts w:ascii="Times New Roman" w:cs="Times New Roman" w:eastAsia="Times New Roman" w:hAnsi="Times New Roman"/>
                <w:color w:val="000000"/>
                <w:sz w:val="17"/>
                <w:szCs w:val="17"/>
              </w:rPr>
              <w:t xml:space="preserve">0.80 / 0.95</w:t>
            </w:r>
          </w:p>
        </w:tc>
        <w:tc>
          <w:tcPr>
            <w:tcW w:type="dxa" w:w="3742"/>
            <w:tcBorders>
              <w:top w:val="single" w:color="000000" w:sz="2"/>
              <w:left w:val="single" w:color="000000" w:sz="2"/>
              <w:bottom w:val="single" w:color="000000" w:sz="2"/>
              <w:right w:val="single" w:color="000000" w:sz="2"/>
            </w:tcBorders>
            <w:tcMar>
              <w:top w:type="dxa" w:w="25"/>
              <w:left w:type="dxa" w:w="70"/>
              <w:bottom w:type="dxa" w:w="25"/>
              <w:right w:type="dxa" w:w="70"/>
            </w:tcMar>
          </w:tcPr>
          <w:p>
            <w:pPr>
              <w:spacing w:after="0" w:line="220"/>
              <w:jc w:val="left"/>
            </w:pPr>
            <w:r>
              <w:rPr>
                <w:rFonts w:ascii="Times New Roman" w:cs="Times New Roman" w:eastAsia="Times New Roman" w:hAnsi="Times New Roman"/>
                <w:color w:val="000000"/>
                <w:sz w:val="17"/>
                <w:szCs w:val="17"/>
              </w:rPr>
              <w:t xml:space="preserve">CSIS quarantine scenarios; Hormuz 2026 (~95% drop)</w:t>
            </w:r>
          </w:p>
        </w:tc>
      </w:tr>
      <w:tr>
        <w:trPr>
          <w:cantSplit/>
          <w:tblHeader w:val="false"/>
        </w:trPr>
        <w:tc>
          <w:tcPr>
            <w:tcW w:type="dxa" w:w="1950"/>
            <w:tcBorders>
              <w:top w:val="single" w:color="000000" w:sz="2"/>
              <w:left w:val="single" w:color="000000" w:sz="2"/>
              <w:bottom w:val="single" w:color="000000" w:sz="2"/>
              <w:right w:val="single" w:color="000000" w:sz="2"/>
            </w:tcBorders>
            <w:tcMar>
              <w:top w:type="dxa" w:w="25"/>
              <w:left w:type="dxa" w:w="70"/>
              <w:bottom w:type="dxa" w:w="25"/>
              <w:right w:type="dxa" w:w="70"/>
            </w:tcMar>
          </w:tcPr>
          <w:p>
            <w:pPr>
              <w:spacing w:after="0" w:line="220"/>
              <w:jc w:val="left"/>
            </w:pPr>
            <w:r>
              <w:rPr>
                <w:rFonts w:ascii="Times New Roman" w:cs="Times New Roman" w:eastAsia="Times New Roman" w:hAnsi="Times New Roman"/>
                <w:color w:val="000000"/>
                <w:sz w:val="17"/>
                <w:szCs w:val="17"/>
              </w:rPr>
              <w:t xml:space="preserve">Proxy disruption</w:t>
            </w:r>
          </w:p>
        </w:tc>
        <w:tc>
          <w:tcPr>
            <w:tcW w:type="dxa" w:w="3400"/>
            <w:tcBorders>
              <w:top w:val="single" w:color="000000" w:sz="2"/>
              <w:left w:val="single" w:color="000000" w:sz="2"/>
              <w:bottom w:val="single" w:color="000000" w:sz="2"/>
              <w:right w:val="single" w:color="000000" w:sz="2"/>
            </w:tcBorders>
            <w:tcMar>
              <w:top w:type="dxa" w:w="25"/>
              <w:left w:type="dxa" w:w="70"/>
              <w:bottom w:type="dxa" w:w="25"/>
              <w:right w:type="dxa" w:w="70"/>
            </w:tcMar>
          </w:tcPr>
          <w:p>
            <w:pPr>
              <w:spacing w:after="0" w:line="220"/>
              <w:jc w:val="left"/>
            </w:pPr>
            <w:r>
              <w:rPr>
                <w:rFonts w:ascii="Times New Roman" w:cs="Times New Roman" w:eastAsia="Times New Roman" w:hAnsi="Times New Roman"/>
                <w:color w:val="000000"/>
                <w:sz w:val="17"/>
                <w:szCs w:val="17"/>
              </w:rPr>
              <w:t xml:space="preserve">Bab el-Mandeb</w:t>
            </w:r>
          </w:p>
        </w:tc>
        <w:tc>
          <w:tcPr>
            <w:tcW w:type="dxa" w:w="520"/>
            <w:tcBorders>
              <w:top w:val="single" w:color="000000" w:sz="2"/>
              <w:left w:val="single" w:color="000000" w:sz="2"/>
              <w:bottom w:val="single" w:color="000000" w:sz="2"/>
              <w:right w:val="single" w:color="000000" w:sz="2"/>
            </w:tcBorders>
            <w:tcMar>
              <w:top w:type="dxa" w:w="25"/>
              <w:left w:type="dxa" w:w="70"/>
              <w:bottom w:type="dxa" w:w="25"/>
              <w:right w:type="dxa" w:w="70"/>
            </w:tcMar>
          </w:tcPr>
          <w:p>
            <w:pPr>
              <w:spacing w:after="0" w:line="220"/>
              <w:jc w:val="center"/>
            </w:pPr>
            <w:r>
              <w:rPr>
                <w:rFonts w:ascii="Times New Roman" w:cs="Times New Roman" w:eastAsia="Times New Roman" w:hAnsi="Times New Roman"/>
                <w:color w:val="000000"/>
                <w:sz w:val="17"/>
                <w:szCs w:val="17"/>
              </w:rPr>
              <w:t xml:space="preserve">2</w:t>
            </w:r>
          </w:p>
        </w:tc>
        <w:tc>
          <w:tcPr>
            <w:tcW w:type="dxa" w:w="900"/>
            <w:tcBorders>
              <w:top w:val="single" w:color="000000" w:sz="2"/>
              <w:left w:val="single" w:color="000000" w:sz="2"/>
              <w:bottom w:val="single" w:color="000000" w:sz="2"/>
              <w:right w:val="single" w:color="000000" w:sz="2"/>
            </w:tcBorders>
            <w:tcMar>
              <w:top w:type="dxa" w:w="25"/>
              <w:left w:type="dxa" w:w="70"/>
              <w:bottom w:type="dxa" w:w="25"/>
              <w:right w:type="dxa" w:w="70"/>
            </w:tcMar>
          </w:tcPr>
          <w:p>
            <w:pPr>
              <w:spacing w:after="0" w:line="220"/>
              <w:jc w:val="center"/>
            </w:pPr>
            <w:r>
              <w:rPr>
                <w:rFonts w:ascii="Times New Roman" w:cs="Times New Roman" w:eastAsia="Times New Roman" w:hAnsi="Times New Roman"/>
                <w:color w:val="000000"/>
                <w:sz w:val="17"/>
                <w:szCs w:val="17"/>
              </w:rPr>
              <w:t xml:space="preserve">0.60</w:t>
            </w:r>
          </w:p>
        </w:tc>
        <w:tc>
          <w:tcPr>
            <w:tcW w:type="dxa" w:w="3742"/>
            <w:tcBorders>
              <w:top w:val="single" w:color="000000" w:sz="2"/>
              <w:left w:val="single" w:color="000000" w:sz="2"/>
              <w:bottom w:val="single" w:color="000000" w:sz="2"/>
              <w:right w:val="single" w:color="000000" w:sz="2"/>
            </w:tcBorders>
            <w:tcMar>
              <w:top w:type="dxa" w:w="25"/>
              <w:left w:type="dxa" w:w="70"/>
              <w:bottom w:type="dxa" w:w="25"/>
              <w:right w:type="dxa" w:w="70"/>
            </w:tcMar>
          </w:tcPr>
          <w:p>
            <w:pPr>
              <w:spacing w:after="0" w:line="220"/>
              <w:jc w:val="left"/>
            </w:pPr>
            <w:r>
              <w:rPr>
                <w:rFonts w:ascii="Times New Roman" w:cs="Times New Roman" w:eastAsia="Times New Roman" w:hAnsi="Times New Roman"/>
                <w:color w:val="000000"/>
                <w:sz w:val="17"/>
                <w:szCs w:val="17"/>
              </w:rPr>
              <w:t xml:space="preserve">Houthi campaign since 2023: traffic down 50–67%</w:t>
            </w:r>
          </w:p>
        </w:tc>
      </w:tr>
      <w:tr>
        <w:trPr>
          <w:cantSplit/>
          <w:tblHeader w:val="false"/>
        </w:trPr>
        <w:tc>
          <w:tcPr>
            <w:tcW w:type="dxa" w:w="1950"/>
            <w:tcBorders>
              <w:top w:val="single" w:color="000000" w:sz="2"/>
              <w:left w:val="single" w:color="000000" w:sz="2"/>
              <w:bottom w:val="single" w:color="000000" w:sz="2"/>
              <w:right w:val="single" w:color="000000" w:sz="2"/>
            </w:tcBorders>
            <w:tcMar>
              <w:top w:type="dxa" w:w="25"/>
              <w:left w:type="dxa" w:w="70"/>
              <w:bottom w:type="dxa" w:w="25"/>
              <w:right w:type="dxa" w:w="70"/>
            </w:tcMar>
          </w:tcPr>
          <w:p>
            <w:pPr>
              <w:spacing w:after="0" w:line="220"/>
              <w:jc w:val="left"/>
            </w:pPr>
            <w:r>
              <w:rPr>
                <w:rFonts w:ascii="Times New Roman" w:cs="Times New Roman" w:eastAsia="Times New Roman" w:hAnsi="Times New Roman"/>
                <w:color w:val="000000"/>
                <w:sz w:val="17"/>
                <w:szCs w:val="17"/>
              </w:rPr>
              <w:t xml:space="preserve">Kinetic (naval)</w:t>
            </w:r>
          </w:p>
        </w:tc>
        <w:tc>
          <w:tcPr>
            <w:tcW w:type="dxa" w:w="3400"/>
            <w:tcBorders>
              <w:top w:val="single" w:color="000000" w:sz="2"/>
              <w:left w:val="single" w:color="000000" w:sz="2"/>
              <w:bottom w:val="single" w:color="000000" w:sz="2"/>
              <w:right w:val="single" w:color="000000" w:sz="2"/>
            </w:tcBorders>
            <w:tcMar>
              <w:top w:type="dxa" w:w="25"/>
              <w:left w:type="dxa" w:w="70"/>
              <w:bottom w:type="dxa" w:w="25"/>
              <w:right w:type="dxa" w:w="70"/>
            </w:tcMar>
          </w:tcPr>
          <w:p>
            <w:pPr>
              <w:spacing w:after="0" w:line="220"/>
              <w:jc w:val="left"/>
            </w:pPr>
            <w:r>
              <w:rPr>
                <w:rFonts w:ascii="Times New Roman" w:cs="Times New Roman" w:eastAsia="Times New Roman" w:hAnsi="Times New Roman"/>
                <w:color w:val="000000"/>
                <w:sz w:val="17"/>
                <w:szCs w:val="17"/>
              </w:rPr>
              <w:t xml:space="preserve">South China Sea only</w:t>
            </w:r>
          </w:p>
        </w:tc>
        <w:tc>
          <w:tcPr>
            <w:tcW w:type="dxa" w:w="520"/>
            <w:tcBorders>
              <w:top w:val="single" w:color="000000" w:sz="2"/>
              <w:left w:val="single" w:color="000000" w:sz="2"/>
              <w:bottom w:val="single" w:color="000000" w:sz="2"/>
              <w:right w:val="single" w:color="000000" w:sz="2"/>
            </w:tcBorders>
            <w:tcMar>
              <w:top w:type="dxa" w:w="25"/>
              <w:left w:type="dxa" w:w="70"/>
              <w:bottom w:type="dxa" w:w="25"/>
              <w:right w:type="dxa" w:w="70"/>
            </w:tcMar>
          </w:tcPr>
          <w:p>
            <w:pPr>
              <w:spacing w:after="0" w:line="220"/>
              <w:jc w:val="center"/>
            </w:pPr>
            <w:r>
              <w:rPr>
                <w:rFonts w:ascii="Times New Roman" w:cs="Times New Roman" w:eastAsia="Times New Roman" w:hAnsi="Times New Roman"/>
                <w:color w:val="000000"/>
                <w:sz w:val="17"/>
                <w:szCs w:val="17"/>
              </w:rPr>
              <w:t xml:space="preserve">3</w:t>
            </w:r>
          </w:p>
        </w:tc>
        <w:tc>
          <w:tcPr>
            <w:tcW w:type="dxa" w:w="900"/>
            <w:tcBorders>
              <w:top w:val="single" w:color="000000" w:sz="2"/>
              <w:left w:val="single" w:color="000000" w:sz="2"/>
              <w:bottom w:val="single" w:color="000000" w:sz="2"/>
              <w:right w:val="single" w:color="000000" w:sz="2"/>
            </w:tcBorders>
            <w:tcMar>
              <w:top w:type="dxa" w:w="25"/>
              <w:left w:type="dxa" w:w="70"/>
              <w:bottom w:type="dxa" w:w="25"/>
              <w:right w:type="dxa" w:w="70"/>
            </w:tcMar>
          </w:tcPr>
          <w:p>
            <w:pPr>
              <w:spacing w:after="0" w:line="220"/>
              <w:jc w:val="center"/>
            </w:pPr>
            <w:r>
              <w:rPr>
                <w:rFonts w:ascii="Times New Roman" w:cs="Times New Roman" w:eastAsia="Times New Roman" w:hAnsi="Times New Roman"/>
                <w:color w:val="000000"/>
                <w:sz w:val="17"/>
                <w:szCs w:val="17"/>
              </w:rPr>
              <w:t xml:space="preserve">0.90</w:t>
            </w:r>
          </w:p>
        </w:tc>
        <w:tc>
          <w:tcPr>
            <w:tcW w:type="dxa" w:w="3742"/>
            <w:tcBorders>
              <w:top w:val="single" w:color="000000" w:sz="2"/>
              <w:left w:val="single" w:color="000000" w:sz="2"/>
              <w:bottom w:val="single" w:color="000000" w:sz="2"/>
              <w:right w:val="single" w:color="000000" w:sz="2"/>
            </w:tcBorders>
            <w:tcMar>
              <w:top w:type="dxa" w:w="25"/>
              <w:left w:type="dxa" w:w="70"/>
              <w:bottom w:type="dxa" w:w="25"/>
              <w:right w:type="dxa" w:w="70"/>
            </w:tcMar>
          </w:tcPr>
          <w:p>
            <w:pPr>
              <w:spacing w:after="0" w:line="220"/>
              <w:jc w:val="left"/>
            </w:pPr>
            <w:r>
              <w:rPr>
                <w:rFonts w:ascii="Times New Roman" w:cs="Times New Roman" w:eastAsia="Times New Roman" w:hAnsi="Times New Roman"/>
                <w:color w:val="000000"/>
                <w:sz w:val="17"/>
                <w:szCs w:val="17"/>
              </w:rPr>
              <w:t xml:space="preserve">CSIS "Lights Out?" blockade wargames (2025)</w:t>
            </w:r>
          </w:p>
        </w:tc>
      </w:tr>
      <w:tr>
        <w:trPr>
          <w:cantSplit/>
          <w:tblHeader w:val="false"/>
        </w:trPr>
        <w:tc>
          <w:tcPr>
            <w:tcW w:type="dxa" w:w="1950"/>
            <w:tcBorders>
              <w:top w:val="single" w:color="000000" w:sz="2"/>
              <w:left w:val="single" w:color="000000" w:sz="2"/>
              <w:bottom w:val="single" w:color="000000" w:sz="2"/>
              <w:right w:val="single" w:color="000000" w:sz="2"/>
            </w:tcBorders>
            <w:tcMar>
              <w:top w:type="dxa" w:w="25"/>
              <w:left w:type="dxa" w:w="70"/>
              <w:bottom w:type="dxa" w:w="25"/>
              <w:right w:type="dxa" w:w="70"/>
            </w:tcMar>
          </w:tcPr>
          <w:p>
            <w:pPr>
              <w:spacing w:after="0" w:line="220"/>
              <w:jc w:val="left"/>
            </w:pPr>
            <w:r>
              <w:rPr>
                <w:rFonts w:ascii="Times New Roman" w:cs="Times New Roman" w:eastAsia="Times New Roman" w:hAnsi="Times New Roman"/>
                <w:color w:val="000000"/>
                <w:sz w:val="17"/>
                <w:szCs w:val="17"/>
              </w:rPr>
              <w:t xml:space="preserve">Economic pressure</w:t>
            </w:r>
          </w:p>
        </w:tc>
        <w:tc>
          <w:tcPr>
            <w:tcW w:type="dxa" w:w="3400"/>
            <w:tcBorders>
              <w:top w:val="single" w:color="000000" w:sz="2"/>
              <w:left w:val="single" w:color="000000" w:sz="2"/>
              <w:bottom w:val="single" w:color="000000" w:sz="2"/>
              <w:right w:val="single" w:color="000000" w:sz="2"/>
            </w:tcBorders>
            <w:tcMar>
              <w:top w:type="dxa" w:w="25"/>
              <w:left w:type="dxa" w:w="70"/>
              <w:bottom w:type="dxa" w:w="25"/>
              <w:right w:type="dxa" w:w="70"/>
            </w:tcMar>
          </w:tcPr>
          <w:p>
            <w:pPr>
              <w:spacing w:after="0" w:line="220"/>
              <w:jc w:val="left"/>
            </w:pPr>
            <w:r>
              <w:rPr>
                <w:rFonts w:ascii="Times New Roman" w:cs="Times New Roman" w:eastAsia="Times New Roman" w:hAnsi="Times New Roman"/>
                <w:color w:val="000000"/>
                <w:sz w:val="17"/>
                <w:szCs w:val="17"/>
              </w:rPr>
              <w:t xml:space="preserve">The four supplier arcs</w:t>
            </w:r>
          </w:p>
        </w:tc>
        <w:tc>
          <w:tcPr>
            <w:tcW w:type="dxa" w:w="520"/>
            <w:tcBorders>
              <w:top w:val="single" w:color="000000" w:sz="2"/>
              <w:left w:val="single" w:color="000000" w:sz="2"/>
              <w:bottom w:val="single" w:color="000000" w:sz="2"/>
              <w:right w:val="single" w:color="000000" w:sz="2"/>
            </w:tcBorders>
            <w:tcMar>
              <w:top w:type="dxa" w:w="25"/>
              <w:left w:type="dxa" w:w="70"/>
              <w:bottom w:type="dxa" w:w="25"/>
              <w:right w:type="dxa" w:w="70"/>
            </w:tcMar>
          </w:tcPr>
          <w:p>
            <w:pPr>
              <w:spacing w:after="0" w:line="220"/>
              <w:jc w:val="center"/>
            </w:pPr>
            <w:r>
              <w:rPr>
                <w:rFonts w:ascii="Times New Roman" w:cs="Times New Roman" w:eastAsia="Times New Roman" w:hAnsi="Times New Roman"/>
                <w:color w:val="000000"/>
                <w:sz w:val="17"/>
                <w:szCs w:val="17"/>
              </w:rPr>
              <w:t xml:space="preserve">3</w:t>
            </w:r>
          </w:p>
        </w:tc>
        <w:tc>
          <w:tcPr>
            <w:tcW w:type="dxa" w:w="900"/>
            <w:tcBorders>
              <w:top w:val="single" w:color="000000" w:sz="2"/>
              <w:left w:val="single" w:color="000000" w:sz="2"/>
              <w:bottom w:val="single" w:color="000000" w:sz="2"/>
              <w:right w:val="single" w:color="000000" w:sz="2"/>
            </w:tcBorders>
            <w:tcMar>
              <w:top w:type="dxa" w:w="25"/>
              <w:left w:type="dxa" w:w="70"/>
              <w:bottom w:type="dxa" w:w="25"/>
              <w:right w:type="dxa" w:w="70"/>
            </w:tcMar>
          </w:tcPr>
          <w:p>
            <w:pPr>
              <w:spacing w:after="0" w:line="220"/>
              <w:jc w:val="center"/>
            </w:pPr>
            <w:r>
              <w:rPr>
                <w:rFonts w:ascii="Times New Roman" w:cs="Times New Roman" w:eastAsia="Times New Roman" w:hAnsi="Times New Roman"/>
                <w:color w:val="000000"/>
                <w:sz w:val="17"/>
                <w:szCs w:val="17"/>
              </w:rPr>
              <w:t xml:space="preserve">0.20</w:t>
            </w:r>
          </w:p>
        </w:tc>
        <w:tc>
          <w:tcPr>
            <w:tcW w:type="dxa" w:w="3742"/>
            <w:tcBorders>
              <w:top w:val="single" w:color="000000" w:sz="2"/>
              <w:left w:val="single" w:color="000000" w:sz="2"/>
              <w:bottom w:val="single" w:color="000000" w:sz="2"/>
              <w:right w:val="single" w:color="000000" w:sz="2"/>
            </w:tcBorders>
            <w:tcMar>
              <w:top w:type="dxa" w:w="25"/>
              <w:left w:type="dxa" w:w="70"/>
              <w:bottom w:type="dxa" w:w="25"/>
              <w:right w:type="dxa" w:w="70"/>
            </w:tcMar>
          </w:tcPr>
          <w:p>
            <w:pPr>
              <w:spacing w:after="0" w:line="220"/>
              <w:jc w:val="left"/>
            </w:pPr>
            <w:r>
              <w:rPr>
                <w:rFonts w:ascii="Times New Roman" w:cs="Times New Roman" w:eastAsia="Times New Roman" w:hAnsi="Times New Roman"/>
                <w:color w:val="000000"/>
                <w:sz w:val="17"/>
                <w:szCs w:val="17"/>
              </w:rPr>
              <w:t xml:space="preserve">Sanctions work in 34% of 116 cases (Hufbauer et al.)</w:t>
            </w:r>
          </w:p>
        </w:tc>
      </w:tr>
      <w:tr>
        <w:trPr>
          <w:cantSplit/>
          <w:tblHeader w:val="false"/>
        </w:trPr>
        <w:tc>
          <w:tcPr>
            <w:tcW w:type="dxa" w:w="1950"/>
            <w:tcBorders>
              <w:top w:val="single" w:color="000000" w:sz="2"/>
              <w:left w:val="single" w:color="000000" w:sz="2"/>
              <w:bottom w:val="single" w:color="000000" w:sz="2"/>
              <w:right w:val="single" w:color="000000" w:sz="2"/>
            </w:tcBorders>
            <w:tcMar>
              <w:top w:type="dxa" w:w="25"/>
              <w:left w:type="dxa" w:w="70"/>
              <w:bottom w:type="dxa" w:w="25"/>
              <w:right w:type="dxa" w:w="70"/>
            </w:tcMar>
          </w:tcPr>
          <w:p>
            <w:pPr>
              <w:spacing w:after="0" w:line="220"/>
              <w:jc w:val="left"/>
            </w:pPr>
            <w:r>
              <w:rPr>
                <w:rFonts w:ascii="Times New Roman" w:cs="Times New Roman" w:eastAsia="Times New Roman" w:hAnsi="Times New Roman"/>
                <w:color w:val="000000"/>
                <w:sz w:val="17"/>
                <w:szCs w:val="17"/>
              </w:rPr>
              <w:t xml:space="preserve">Naval presence (carrier)</w:t>
            </w:r>
          </w:p>
        </w:tc>
        <w:tc>
          <w:tcPr>
            <w:tcW w:type="dxa" w:w="3400"/>
            <w:tcBorders>
              <w:top w:val="single" w:color="000000" w:sz="2"/>
              <w:left w:val="single" w:color="000000" w:sz="2"/>
              <w:bottom w:val="single" w:color="000000" w:sz="2"/>
              <w:right w:val="single" w:color="000000" w:sz="2"/>
            </w:tcBorders>
            <w:tcMar>
              <w:top w:type="dxa" w:w="25"/>
              <w:left w:type="dxa" w:w="70"/>
              <w:bottom w:type="dxa" w:w="25"/>
              <w:right w:type="dxa" w:w="70"/>
            </w:tcMar>
          </w:tcPr>
          <w:p>
            <w:pPr>
              <w:spacing w:after="0" w:line="220"/>
              <w:jc w:val="left"/>
            </w:pPr>
            <w:r>
              <w:rPr>
                <w:rFonts w:ascii="Times New Roman" w:cs="Times New Roman" w:eastAsia="Times New Roman" w:hAnsi="Times New Roman"/>
                <w:color w:val="000000"/>
                <w:sz w:val="17"/>
                <w:szCs w:val="17"/>
              </w:rPr>
              <w:t xml:space="preserve">Indian Ocean, western Pacific</w:t>
            </w:r>
          </w:p>
        </w:tc>
        <w:tc>
          <w:tcPr>
            <w:tcW w:type="dxa" w:w="520"/>
            <w:tcBorders>
              <w:top w:val="single" w:color="000000" w:sz="2"/>
              <w:left w:val="single" w:color="000000" w:sz="2"/>
              <w:bottom w:val="single" w:color="000000" w:sz="2"/>
              <w:right w:val="single" w:color="000000" w:sz="2"/>
            </w:tcBorders>
            <w:tcMar>
              <w:top w:type="dxa" w:w="25"/>
              <w:left w:type="dxa" w:w="70"/>
              <w:bottom w:type="dxa" w:w="25"/>
              <w:right w:type="dxa" w:w="70"/>
            </w:tcMar>
          </w:tcPr>
          <w:p>
            <w:pPr>
              <w:spacing w:after="0" w:line="220"/>
              <w:jc w:val="center"/>
            </w:pPr>
            <w:r>
              <w:rPr>
                <w:rFonts w:ascii="Times New Roman" w:cs="Times New Roman" w:eastAsia="Times New Roman" w:hAnsi="Times New Roman"/>
                <w:color w:val="000000"/>
                <w:sz w:val="17"/>
                <w:szCs w:val="17"/>
              </w:rPr>
              <w:t xml:space="preserve">4</w:t>
            </w:r>
          </w:p>
        </w:tc>
        <w:tc>
          <w:tcPr>
            <w:tcW w:type="dxa" w:w="900"/>
            <w:tcBorders>
              <w:top w:val="single" w:color="000000" w:sz="2"/>
              <w:left w:val="single" w:color="000000" w:sz="2"/>
              <w:bottom w:val="single" w:color="000000" w:sz="2"/>
              <w:right w:val="single" w:color="000000" w:sz="2"/>
            </w:tcBorders>
            <w:tcMar>
              <w:top w:type="dxa" w:w="25"/>
              <w:left w:type="dxa" w:w="70"/>
              <w:bottom w:type="dxa" w:w="25"/>
              <w:right w:type="dxa" w:w="70"/>
            </w:tcMar>
          </w:tcPr>
          <w:p>
            <w:pPr>
              <w:spacing w:after="0" w:line="220"/>
              <w:jc w:val="center"/>
            </w:pPr>
            <w:r>
              <w:rPr>
                <w:rFonts w:ascii="Times New Roman" w:cs="Times New Roman" w:eastAsia="Times New Roman" w:hAnsi="Times New Roman"/>
                <w:color w:val="000000"/>
                <w:sz w:val="17"/>
                <w:szCs w:val="17"/>
              </w:rPr>
              <w:t xml:space="preserve">0.20</w:t>
            </w:r>
          </w:p>
        </w:tc>
        <w:tc>
          <w:tcPr>
            <w:tcW w:type="dxa" w:w="3742"/>
            <w:tcBorders>
              <w:top w:val="single" w:color="000000" w:sz="2"/>
              <w:left w:val="single" w:color="000000" w:sz="2"/>
              <w:bottom w:val="single" w:color="000000" w:sz="2"/>
              <w:right w:val="single" w:color="000000" w:sz="2"/>
            </w:tcBorders>
            <w:tcMar>
              <w:top w:type="dxa" w:w="25"/>
              <w:left w:type="dxa" w:w="70"/>
              <w:bottom w:type="dxa" w:w="25"/>
              <w:right w:type="dxa" w:w="70"/>
            </w:tcMar>
          </w:tcPr>
          <w:p>
            <w:pPr>
              <w:spacing w:after="0" w:line="220"/>
              <w:jc w:val="left"/>
            </w:pPr>
            <w:r>
              <w:rPr>
                <w:rFonts w:ascii="Times New Roman" w:cs="Times New Roman" w:eastAsia="Times New Roman" w:hAnsi="Times New Roman"/>
                <w:color w:val="000000"/>
                <w:sz w:val="17"/>
                <w:szCs w:val="17"/>
              </w:rPr>
              <w:t xml:space="preserve">Assumed; between Tanker War 2% and Houthis 60%</w:t>
            </w:r>
          </w:p>
        </w:tc>
      </w:tr>
    </w:tbl>
    <w:p>
      <w:pPr>
        <w:spacing w:after="20" w:before="40" w:line="234"/>
      </w:pPr>
      <w:r>
        <w:rPr>
          <w:rFonts w:ascii="Times New Roman" w:cs="Times New Roman" w:eastAsia="Times New Roman" w:hAnsi="Times New Roman"/>
          <w:color w:val="000000"/>
          <w:sz w:val="17"/>
          <w:szCs w:val="17"/>
        </w:rPr>
        <w:t xml:space="preserve">The other 19 edges (e.g. the Atlantic, Indonesian archipelagic waters) cannot be interdicted, each with a stated reason.</w:t>
      </w:r>
    </w:p>
    <w:p>
      <w:pPr>
        <w:keepNext/>
        <w:pBdr>
          <w:bottom w:val="single" w:color="000000" w:sz="4" w:space="1"/>
        </w:pBdr>
        <w:spacing w:after="25" w:before="70"/>
      </w:pPr>
      <w:r>
        <w:rPr>
          <w:rFonts w:ascii="Times New Roman" w:cs="Times New Roman" w:eastAsia="Times New Roman" w:hAnsi="Times New Roman"/>
          <w:b/>
          <w:bCs/>
          <w:color w:val="000000"/>
          <w:sz w:val="19"/>
          <w:szCs w:val="19"/>
        </w:rPr>
        <w:t xml:space="preserve">METHOD AND DELIVERABLES</w:t>
      </w:r>
    </w:p>
    <w:p>
      <w:pPr>
        <w:pStyle w:val="ListParagraph"/>
        <w:numPr>
          <w:ilvl w:val="0"/>
          <w:numId w:val="3"/>
        </w:numPr>
        <w:spacing w:after="25" w:before="0" w:line="234"/>
      </w:pPr>
      <w:r>
        <w:rPr>
          <w:rFonts w:ascii="Times New Roman" w:cs="Times New Roman" w:eastAsia="Times New Roman" w:hAnsi="Times New Roman"/>
          <w:b/>
          <w:bCs/>
          <w:color w:val="000000"/>
          <w:sz w:val="20"/>
          <w:szCs w:val="20"/>
        </w:rPr>
        <w:t xml:space="preserve">Baselines </w:t>
      </w:r>
      <w:r>
        <w:rPr>
          <w:rFonts w:ascii="Times New Roman" w:cs="Times New Roman" w:eastAsia="Times New Roman" w:hAnsi="Times New Roman"/>
          <w:color w:val="000000"/>
          <w:sz w:val="20"/>
          <w:szCs w:val="20"/>
        </w:rPr>
        <w:t xml:space="preserve">(exact min-cut, greedy). First result: counting p, the cheapest full cut is a five-lane cordon on Taiwan’s west coast (effort 12.5), where all three crude ports sit; ignoring p would pick three port cyber attacks instead.</w:t>
      </w:r>
    </w:p>
    <w:p>
      <w:pPr>
        <w:pStyle w:val="ListParagraph"/>
        <w:numPr>
          <w:ilvl w:val="0"/>
          <w:numId w:val="3"/>
        </w:numPr>
        <w:spacing w:after="25" w:before="0" w:line="234"/>
      </w:pPr>
      <w:r>
        <w:rPr>
          <w:rFonts w:ascii="Times New Roman" w:cs="Times New Roman" w:eastAsia="Times New Roman" w:hAnsi="Times New Roman"/>
          <w:b/>
          <w:bCs/>
          <w:color w:val="000000"/>
          <w:sz w:val="20"/>
          <w:szCs w:val="20"/>
        </w:rPr>
        <w:t xml:space="preserve">Agent evaluation on MIT SuperCloud </w:t>
      </w:r>
      <w:r>
        <w:rPr>
          <w:rFonts w:ascii="Times New Roman" w:cs="Times New Roman" w:eastAsia="Times New Roman" w:hAnsi="Times New Roman"/>
          <w:color w:val="000000"/>
          <w:sz w:val="20"/>
          <w:szCs w:val="20"/>
        </w:rPr>
        <w:t xml:space="preserve">(LTC Webb): zero-sum and canalize; quarantine and blockade variants.</w:t>
      </w:r>
    </w:p>
    <w:p>
      <w:pPr>
        <w:pStyle w:val="ListParagraph"/>
        <w:numPr>
          <w:ilvl w:val="0"/>
          <w:numId w:val="3"/>
        </w:numPr>
        <w:spacing w:after="25" w:before="0" w:line="234"/>
      </w:pPr>
      <w:r>
        <w:rPr>
          <w:rFonts w:ascii="Times New Roman" w:cs="Times New Roman" w:eastAsia="Times New Roman" w:hAnsi="Times New Roman"/>
          <w:b/>
          <w:bCs/>
          <w:color w:val="000000"/>
          <w:sz w:val="20"/>
          <w:szCs w:val="20"/>
        </w:rPr>
        <w:t xml:space="preserve">Transfer test: </w:t>
      </w:r>
      <w:r>
        <w:rPr>
          <w:rFonts w:ascii="Times New Roman" w:cs="Times New Roman" w:eastAsia="Times New Roman" w:hAnsi="Times New Roman"/>
          <w:color w:val="000000"/>
          <w:sz w:val="20"/>
          <w:szCs w:val="20"/>
        </w:rPr>
        <w:t xml:space="preserve">the rail-trained agent on this network, no retraining. If it transfers, it learned interdiction rather than a map; if not, that is a result.</w:t>
      </w:r>
    </w:p>
    <w:p>
      <w:pPr>
        <w:spacing w:after="40" w:before="15" w:line="234"/>
      </w:pPr>
      <w:r>
        <w:rPr>
          <w:rFonts w:ascii="Times New Roman" w:cs="Times New Roman" w:eastAsia="Times New Roman" w:hAnsi="Times New Roman"/>
          <w:b/>
          <w:bCs/>
          <w:color w:val="000000"/>
          <w:sz w:val="20"/>
          <w:szCs w:val="20"/>
        </w:rPr>
        <w:t xml:space="preserve">Products: </w:t>
      </w:r>
      <w:r>
        <w:rPr>
          <w:rFonts w:ascii="Times New Roman" w:cs="Times New Roman" w:eastAsia="Times New Roman" w:hAnsi="Times New Roman"/>
          <w:color w:val="000000"/>
          <w:sz w:val="20"/>
          <w:szCs w:val="20"/>
        </w:rPr>
        <w:t xml:space="preserve">effort–flow frontier (budget vs. crude delivered, for min-cut, greedy and the agent); map of where the agent acts by budget; transfer result; poster.</w:t>
      </w:r>
    </w:p>
    <w:p>
      <w:pPr>
        <w:keepNext/>
        <w:pBdr>
          <w:bottom w:val="single" w:color="000000" w:sz="4" w:space="1"/>
        </w:pBdr>
        <w:spacing w:after="25" w:before="70"/>
      </w:pPr>
      <w:r>
        <w:rPr>
          <w:rFonts w:ascii="Times New Roman" w:cs="Times New Roman" w:eastAsia="Times New Roman" w:hAnsi="Times New Roman"/>
          <w:b/>
          <w:bCs/>
          <w:color w:val="000000"/>
          <w:sz w:val="19"/>
          <w:szCs w:val="19"/>
        </w:rPr>
        <w:t xml:space="preserve">ASSUMPTIONS AND LIMITS</w:t>
      </w:r>
    </w:p>
    <w:p>
      <w:pPr>
        <w:spacing w:after="40" w:before="0" w:line="234"/>
      </w:pPr>
      <w:r>
        <w:rPr>
          <w:rFonts w:ascii="Times New Roman" w:cs="Times New Roman" w:eastAsia="Times New Roman" w:hAnsi="Times New Roman"/>
          <w:color w:val="000000"/>
          <w:sz w:val="20"/>
          <w:szCs w:val="20"/>
        </w:rPr>
        <w:t xml:space="preserve">Keeps LTC Webb's framework: two players (Stackelberg), full information, zero-sum, one round. Adds: supplier upper bounds (highest share found); one month, one commodity, no stock drawdown; no escorts; ordinal costs and an assumed carrier p, both swept for sensitivity; transit time does not reduce monthly flow; strait and canal capacities set to Taiwan's share of Northeast Asian imports (Lombok and Sulu fleet-limited). Unclassified sources only; a proof of concept, not a targeting model.</w:t>
      </w:r>
    </w:p>
    <w:p>
      <w:pPr>
        <w:keepNext/>
        <w:pBdr>
          <w:bottom w:val="single" w:color="000000" w:sz="4" w:space="1"/>
        </w:pBdr>
        <w:spacing w:after="25" w:before="70"/>
      </w:pPr>
      <w:r>
        <w:rPr>
          <w:rFonts w:ascii="Times New Roman" w:cs="Times New Roman" w:eastAsia="Times New Roman" w:hAnsi="Times New Roman"/>
          <w:b/>
          <w:bCs/>
          <w:color w:val="000000"/>
          <w:sz w:val="19"/>
          <w:szCs w:val="19"/>
        </w:rPr>
        <w:t xml:space="preserve">DECISIONS REQUESTED</w:t>
      </w:r>
    </w:p>
    <w:p>
      <w:pPr>
        <w:pStyle w:val="ListParagraph"/>
        <w:numPr>
          <w:ilvl w:val="0"/>
          <w:numId w:val="4"/>
        </w:numPr>
        <w:spacing w:after="25" w:before="0" w:line="234"/>
      </w:pPr>
      <w:r>
        <w:rPr>
          <w:rFonts w:ascii="Times New Roman" w:cs="Times New Roman" w:eastAsia="Times New Roman" w:hAnsi="Times New Roman"/>
          <w:b/>
          <w:bCs/>
          <w:color w:val="000000"/>
          <w:sz w:val="20"/>
          <w:szCs w:val="20"/>
        </w:rPr>
        <w:t xml:space="preserve">Stochastic outcomes? </w:t>
      </w:r>
      <w:r>
        <w:rPr>
          <w:rFonts w:ascii="Times New Roman" w:cs="Times New Roman" w:eastAsia="Times New Roman" w:hAnsi="Times New Roman"/>
          <w:color w:val="000000"/>
          <w:sz w:val="20"/>
          <w:szCs w:val="20"/>
        </w:rPr>
        <w:t xml:space="preserve">The training code runs stochastic; the meeting notes say deterministic. The effort budget needs p below 1.</w:t>
      </w:r>
    </w:p>
    <w:p>
      <w:pPr>
        <w:pStyle w:val="ListParagraph"/>
        <w:numPr>
          <w:ilvl w:val="0"/>
          <w:numId w:val="4"/>
        </w:numPr>
        <w:spacing w:after="25" w:before="0" w:line="234"/>
      </w:pPr>
      <w:r>
        <w:rPr>
          <w:rFonts w:ascii="Times New Roman" w:cs="Times New Roman" w:eastAsia="Times New Roman" w:hAnsi="Times New Roman"/>
          <w:b/>
          <w:bCs/>
          <w:color w:val="000000"/>
          <w:sz w:val="20"/>
          <w:szCs w:val="20"/>
        </w:rPr>
        <w:t xml:space="preserve">Evaluation inputs? </w:t>
      </w:r>
      <w:r>
        <w:rPr>
          <w:rFonts w:ascii="Times New Roman" w:cs="Times New Roman" w:eastAsia="Times New Roman" w:hAnsi="Times New Roman"/>
          <w:color w:val="000000"/>
          <w:sz w:val="20"/>
          <w:szCs w:val="20"/>
        </w:rPr>
        <w:t xml:space="preserve">Use the sourced capacities, costs and p when testing on this network (_update_capacity_constraints_from_dict).</w:t>
      </w:r>
    </w:p>
    <w:p>
      <w:pPr>
        <w:pStyle w:val="ListParagraph"/>
        <w:numPr>
          <w:ilvl w:val="0"/>
          <w:numId w:val="4"/>
        </w:numPr>
        <w:spacing w:after="25" w:before="0" w:line="234"/>
      </w:pPr>
      <w:r>
        <w:rPr>
          <w:rFonts w:ascii="Times New Roman" w:cs="Times New Roman" w:eastAsia="Times New Roman" w:hAnsi="Times New Roman"/>
          <w:b/>
          <w:bCs/>
          <w:color w:val="000000"/>
          <w:sz w:val="20"/>
          <w:szCs w:val="20"/>
        </w:rPr>
        <w:t xml:space="preserve">Supplier arcs? </w:t>
      </w:r>
      <w:r>
        <w:rPr>
          <w:rFonts w:ascii="Times New Roman" w:cs="Times New Roman" w:eastAsia="Times New Roman" w:hAnsi="Times New Roman"/>
          <w:color w:val="000000"/>
          <w:sz w:val="20"/>
          <w:szCs w:val="20"/>
        </w:rPr>
        <w:t xml:space="preserve">May economic pressure make the super-source arcs interdictable? The Ukraine network does not.</w:t>
      </w:r>
    </w:p>
    <w:p>
      <w:pPr>
        <w:spacing w:after="0" w:before="40" w:line="210"/>
      </w:pPr>
      <w:r>
        <w:rPr>
          <w:rFonts w:ascii="Times New Roman" w:cs="Times New Roman" w:eastAsia="Times New Roman" w:hAnsi="Times New Roman"/>
          <w:b/>
          <w:bCs/>
          <w:color w:val="000000"/>
          <w:sz w:val="15"/>
          <w:szCs w:val="15"/>
        </w:rPr>
        <w:t xml:space="preserve">Key sources: </w:t>
      </w:r>
      <w:r>
        <w:rPr>
          <w:rFonts w:ascii="Times New Roman" w:cs="Times New Roman" w:eastAsia="Times New Roman" w:hAnsi="Times New Roman"/>
          <w:color w:val="000000"/>
          <w:sz w:val="15"/>
          <w:szCs w:val="15"/>
        </w:rPr>
        <w:t xml:space="preserve">EIA, Taiwan Country Analysis Brief (April 2026); IMF PortWatch; Natural Earth; scgraph / searoute-py; CSIS quarantine and blockade studies; UNGA Res. 3314 (1974); Hufbauer, Schott and Elliott (1990); Wood (1993); Cormican, Morton and Wood (1998); Webb and Caplice (2025). Full list, data and code in the project repository.</w:t>
      </w:r>
    </w:p>
    <w:p>
      <w:pPr>
        <w:keepNext/>
        <w:pageBreakBefore/>
        <w:spacing w:after="40" w:before="60"/>
        <w:jc w:val="center"/>
      </w:pPr>
      <w:r>
        <w:drawing>
          <wp:inline distT="0" distB="0" distL="0" distR="0">
            <wp:extent cx="6667500" cy="3705225"/>
            <wp:effectExtent t="0" r="0" b="0" l="0"/>
            <wp:docPr id="1" name="fig10_oil_schematic.png" descr="Figure 1. The network as the model sees it: 55 nodes and 78 edges, numbered with the IDs env_TA.py reads. Left to right follows the voyage; the Taiwan approaches are on the right, with the super-sink (demand, 11.9 VLCC loads a month) inside the ring. Edge shade is the effort cost of the action available there; grey dashed edges cannot be interdicted."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667500" cy="3705225"/>
                    </a:xfrm>
                    <a:prstGeom prst="rect">
                      <a:avLst/>
                    </a:prstGeom>
                  </pic:spPr>
                </pic:pic>
              </a:graphicData>
            </a:graphic>
          </wp:inline>
        </w:drawing>
      </w:r>
    </w:p>
    <w:p>
      <w:pPr>
        <w:spacing w:after="140" w:before="0" w:line="230"/>
      </w:pPr>
      <w:r>
        <w:rPr>
          <w:rFonts w:ascii="Times New Roman" w:cs="Times New Roman" w:eastAsia="Times New Roman" w:hAnsi="Times New Roman"/>
          <w:color w:val="000000"/>
          <w:sz w:val="17"/>
          <w:szCs w:val="17"/>
        </w:rPr>
        <w:t xml:space="preserve">Figure 1. The network as the model sees it: 55 nodes and 78 edges, numbered with the IDs env_TA.py reads. Left to right follows the voyage; the Taiwan approaches are on the right, with the super-sink (demand, 11.9 VLCC loads a month) inside the ring. Edge shade is the effort cost of the action available there; grey dashed edges cannot be interdicted.</w:t>
      </w:r>
    </w:p>
    <w:p>
      <w:pPr>
        <w:keepNext/>
        <w:spacing w:after="40" w:before="60"/>
        <w:jc w:val="center"/>
      </w:pPr>
      <w:r>
        <w:drawing>
          <wp:inline distT="0" distB="0" distL="0" distR="0">
            <wp:extent cx="4476750" cy="3686175"/>
            <wp:effectExtent t="0" r="0" b="0" l="0"/>
            <wp:docPr id="1" name="fig9_oil_network.png" descr="Figure 2. The same network on the map. Every lane follows its routed sea lane; Taiwan-local lanes run on waypoints 12 nm offshore. All three crude ports are on the west coast, which is why the cheapest full cut is a cordon ther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3686175"/>
                    </a:xfrm>
                    <a:prstGeom prst="rect">
                      <a:avLst/>
                    </a:prstGeom>
                  </pic:spPr>
                </pic:pic>
              </a:graphicData>
            </a:graphic>
          </wp:inline>
        </w:drawing>
      </w:r>
    </w:p>
    <w:p>
      <w:pPr>
        <w:spacing w:after="140" w:before="0" w:line="230"/>
      </w:pPr>
      <w:r>
        <w:rPr>
          <w:rFonts w:ascii="Times New Roman" w:cs="Times New Roman" w:eastAsia="Times New Roman" w:hAnsi="Times New Roman"/>
          <w:color w:val="000000"/>
          <w:sz w:val="17"/>
          <w:szCs w:val="17"/>
        </w:rPr>
        <w:t xml:space="preserve">Figure 2. The same network on the map. Every lane follows its routed sea lane; Taiwan-local lanes run on waypoints 12 nm offshore. All three crude ports are on the west coast, which is why the cheapest full cut is a cordon there.</w:t>
      </w:r>
    </w:p>
    <w:sectPr>
      <w:pgSz w:w="12240" w:h="15840" w:orient="portrait"/>
      <w:pgMar w:top="720" w:right="792" w:bottom="720" w:left="79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abstractNum w:abstractNumId="3" w15:restartNumberingAfterBreak="0">
    <w:multiLevelType w:val="hybridMultilevel"/>
    <w:lvl w:ilvl="0" w15:tentative="1">
      <w:start w:val="1"/>
      <w:numFmt w:val="decimal"/>
      <w:lvlText w:val="%1."/>
      <w:lvlJc w:val="left"/>
      <w:pPr>
        <w:ind w:left="300" w:hanging="240"/>
      </w:pPr>
    </w:lvl>
  </w:abstractNum>
  <w:abstractNum w:abstractNumId="4" w15:restartNumberingAfterBreak="0">
    <w:multiLevelType w:val="hybridMultilevel"/>
    <w:lvl w:ilvl="0" w15:tentative="1">
      <w:start w:val="1"/>
      <w:numFmt w:val="decimal"/>
      <w:lvlText w:val="%1."/>
      <w:lvlJc w:val="left"/>
      <w:pPr>
        <w:ind w:left="30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caf8ee0928d4a4cebb0cfd573f1e8535b528613.png"/><Relationship Id="rId8" Type="http://schemas.openxmlformats.org/officeDocument/2006/relationships/image" Target="media/f68a3d7b6cc6f13104a151bc38912fe92f7fffc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Threat-Adaptive Interdiction of Taiwan's Crude Oil Supply</dc:title>
  <dc:creator>Cadet Dennis Pezan</dc:creator>
  <cp:lastModifiedBy>Un-named</cp:lastModifiedBy>
  <cp:revision>1</cp:revision>
  <dcterms:created xsi:type="dcterms:W3CDTF">2026-10-07T00:30:15.704Z</dcterms:created>
  <dcterms:modified xsi:type="dcterms:W3CDTF">2026-10-07T00:30:15.704Z</dcterms:modified>
</cp:coreProperties>
</file>

<file path=docProps/custom.xml><?xml version="1.0" encoding="utf-8"?>
<Properties xmlns="http://schemas.openxmlformats.org/officeDocument/2006/custom-properties" xmlns:vt="http://schemas.openxmlformats.org/officeDocument/2006/docPropsVTypes"/>
</file>