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C4E80"/>
          <w:sz w:val="30"/>
          <w:szCs w:val="30"/>
        </w:rPr>
        <w:t xml:space="preserve">Threat-Adaptive Interdiction of Taiwan's Crude Oil Supply</w:t>
      </w:r>
    </w:p>
    <w:p>
      <w:pPr>
        <w:spacing w:after="60" w:before="0" w:line="230"/>
      </w:pPr>
      <w:r>
        <w:rPr>
          <w:rFonts w:ascii="Calibri" w:cs="Calibri" w:eastAsia="Calibri" w:hAnsi="Calibri"/>
          <w:color w:val="5A5A5A"/>
          <w:sz w:val="17"/>
          <w:szCs w:val="17"/>
        </w:rPr>
        <w:t xml:space="preserve">Research proposal  |  MA289-27-1 Independent Study  |  Cadet Dennis Pezan  |  Advisor: LTC Matthew Webb  |  27 September 2026</w:t>
      </w:r>
    </w:p>
    <w:p>
      <w:pPr>
        <w:keepNext/>
        <w:pBdr>
          <w:bottom w:val="single" w:color="B8C4D2" w:sz="4" w:space="1"/>
        </w:pBdr>
        <w:spacing w:after="25" w:before="70"/>
      </w:pPr>
      <w:r>
        <w:rPr>
          <w:rFonts w:ascii="Calibri" w:cs="Calibri" w:eastAsia="Calibri" w:hAnsi="Calibri"/>
          <w:b/>
          <w:bCs/>
          <w:color w:val="1C4E80"/>
          <w:sz w:val="19"/>
          <w:szCs w:val="19"/>
        </w:rPr>
        <w:t xml:space="preserve">PURPOSE</w:t>
      </w:r>
    </w:p>
    <w:p>
      <w:pPr>
        <w:spacing w:after="40" w:before="0" w:line="238"/>
      </w:pPr>
      <w:r>
        <w:rPr>
          <w:rFonts w:ascii="Calibri" w:cs="Calibri" w:eastAsia="Calibri" w:hAnsi="Calibri"/>
          <w:color w:val="1A1A1A"/>
          <w:sz w:val="19"/>
          <w:szCs w:val="19"/>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Calibri" w:cs="Calibri" w:eastAsia="Calibri" w:hAnsi="Calibri"/>
          <w:b/>
          <w:bCs/>
          <w:color w:val="1A1A1A"/>
          <w:sz w:val="19"/>
          <w:szCs w:val="19"/>
        </w:rPr>
        <w:t xml:space="preserve">Research question: </w:t>
      </w:r>
      <w:r>
        <w:rPr>
          <w:rFonts w:ascii="Calibri" w:cs="Calibri" w:eastAsia="Calibri" w:hAnsi="Calibri"/>
          <w:color w:val="1A1A1A"/>
          <w:sz w:val="19"/>
          <w:szCs w:val="19"/>
        </w:rPr>
        <w:t xml:space="preserve">given one effort budget spread across different kinds of action, which sea lanes does an attacker act on to minimize crude reaching Taiwan, and are they distant chokepoints or Taiwan’s own approaches?</w:t>
      </w:r>
    </w:p>
    <w:p>
      <w:pPr>
        <w:keepNext/>
        <w:pBdr>
          <w:bottom w:val="single" w:color="B8C4D2" w:sz="4" w:space="1"/>
        </w:pBdr>
        <w:spacing w:after="25" w:before="70"/>
      </w:pPr>
      <w:r>
        <w:rPr>
          <w:rFonts w:ascii="Calibri" w:cs="Calibri" w:eastAsia="Calibri" w:hAnsi="Calibri"/>
          <w:b/>
          <w:bCs/>
          <w:color w:val="1C4E80"/>
          <w:sz w:val="19"/>
          <w:szCs w:val="19"/>
        </w:rPr>
        <w:t xml:space="preserve">WHY THIS NETWORK</w:t>
      </w:r>
    </w:p>
    <w:p>
      <w:pPr>
        <w:spacing w:after="40" w:before="0" w:line="238"/>
      </w:pPr>
      <w:r>
        <w:rPr>
          <w:rFonts w:ascii="Calibri" w:cs="Calibri" w:eastAsia="Calibri" w:hAnsi="Calibri"/>
          <w:color w:val="1A1A1A"/>
          <w:sz w:val="19"/>
          <w:szCs w:val="19"/>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since February 2026, and Taiwan reportedly rerouted through the Saudi Red Sea port of Yanbu, a route this network contains.</w:t>
      </w:r>
    </w:p>
    <w:p>
      <w:pPr>
        <w:keepNext/>
        <w:pBdr>
          <w:bottom w:val="single" w:color="B8C4D2" w:sz="4" w:space="1"/>
        </w:pBdr>
        <w:spacing w:after="25" w:before="70"/>
      </w:pPr>
      <w:r>
        <w:rPr>
          <w:rFonts w:ascii="Calibri" w:cs="Calibri" w:eastAsia="Calibri" w:hAnsi="Calibri"/>
          <w:b/>
          <w:bCs/>
          <w:color w:val="1C4E80"/>
          <w:sz w:val="19"/>
          <w:szCs w:val="19"/>
        </w:rPr>
        <w:t xml:space="preserve">THE NETWORK</w:t>
      </w:r>
    </w:p>
    <w:p>
      <w:pPr>
        <w:pStyle w:val="ListParagraph"/>
        <w:numPr>
          <w:ilvl w:val="0"/>
          <w:numId w:val="2"/>
        </w:numPr>
        <w:spacing w:after="25" w:before="0" w:line="238"/>
      </w:pPr>
      <w:r>
        <w:rPr>
          <w:rFonts w:ascii="Calibri" w:cs="Calibri" w:eastAsia="Calibri" w:hAnsi="Calibri"/>
          <w:b/>
          <w:bCs/>
          <w:color w:val="1A1A1A"/>
          <w:sz w:val="19"/>
          <w:szCs w:val="19"/>
        </w:rPr>
        <w:t xml:space="preserve">Size: </w:t>
      </w:r>
      <w:r>
        <w:rPr>
          <w:rFonts w:ascii="Calibri" w:cs="Calibri" w:eastAsia="Calibri" w:hAnsi="Calibri"/>
          <w:color w:val="1A1A1A"/>
          <w:sz w:val="19"/>
          <w:szCs w:val="19"/>
        </w:rPr>
        <w:t xml:space="preserve">55 nodes, 78 edges (59 interdictable), vs. 70 and 125 for Ukraine; loads into env_TA.py unchanged (Figure 1).</w:t>
      </w:r>
    </w:p>
    <w:p>
      <w:pPr>
        <w:pStyle w:val="ListParagraph"/>
        <w:numPr>
          <w:ilvl w:val="0"/>
          <w:numId w:val="2"/>
        </w:numPr>
        <w:spacing w:after="25" w:before="0" w:line="238"/>
      </w:pPr>
      <w:r>
        <w:rPr>
          <w:rFonts w:ascii="Calibri" w:cs="Calibri" w:eastAsia="Calibri" w:hAnsi="Calibri"/>
          <w:b/>
          <w:bCs/>
          <w:color w:val="1A1A1A"/>
          <w:sz w:val="19"/>
          <w:szCs w:val="19"/>
        </w:rPr>
        <w:t xml:space="preserve">Sources and sinks: </w:t>
      </w:r>
      <w:r>
        <w:rPr>
          <w:rFonts w:ascii="Calibri" w:cs="Calibri" w:eastAsia="Calibri" w:hAnsi="Calibri"/>
          <w:color w:val="1A1A1A"/>
          <w:sz w:val="19"/>
          <w:szCs w:val="19"/>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8"/>
      </w:pPr>
      <w:r>
        <w:rPr>
          <w:rFonts w:ascii="Calibri" w:cs="Calibri" w:eastAsia="Calibri" w:hAnsi="Calibri"/>
          <w:b/>
          <w:bCs/>
          <w:color w:val="1A1A1A"/>
          <w:sz w:val="19"/>
          <w:szCs w:val="19"/>
        </w:rPr>
        <w:t xml:space="preserve">Structure: </w:t>
      </w:r>
      <w:r>
        <w:rPr>
          <w:rFonts w:ascii="Calibri" w:cs="Calibri" w:eastAsia="Calibri" w:hAnsi="Calibri"/>
          <w:color w:val="1A1A1A"/>
          <w:sz w:val="19"/>
          <w:szCs w:val="19"/>
        </w:rPr>
        <w:t xml:space="preserve">each strait or canal is an edge from entrance to exit; a node at every junction; every interdictable lane has a checked alternative (for Hormuz, the two bypass pipelines).</w:t>
      </w:r>
    </w:p>
    <w:p>
      <w:pPr>
        <w:pStyle w:val="ListParagraph"/>
        <w:numPr>
          <w:ilvl w:val="0"/>
          <w:numId w:val="2"/>
        </w:numPr>
        <w:spacing w:after="25" w:before="0" w:line="238"/>
      </w:pPr>
      <w:r>
        <w:rPr>
          <w:rFonts w:ascii="Calibri" w:cs="Calibri" w:eastAsia="Calibri" w:hAnsi="Calibri"/>
          <w:b/>
          <w:bCs/>
          <w:color w:val="1A1A1A"/>
          <w:sz w:val="19"/>
          <w:szCs w:val="19"/>
        </w:rPr>
        <w:t xml:space="preserve">Geometry: </w:t>
      </w:r>
      <w:r>
        <w:rPr>
          <w:rFonts w:ascii="Calibri" w:cs="Calibri" w:eastAsia="Calibri" w:hAnsi="Calibri"/>
          <w:color w:val="1A1A1A"/>
          <w:sz w:val="19"/>
          <w:szCs w:val="19"/>
        </w:rPr>
        <w:t xml:space="preserve">real sea lanes (scgraph marnet); 12 nm offshore near Taiwan, the territorial-sea limit; no lane crosses land (Figure 2).</w:t>
      </w:r>
    </w:p>
    <w:p>
      <w:pPr>
        <w:keepNext/>
        <w:pBdr>
          <w:bottom w:val="single" w:color="B8C4D2" w:sz="4" w:space="1"/>
        </w:pBdr>
        <w:spacing w:after="25" w:before="70"/>
      </w:pPr>
      <w:r>
        <w:rPr>
          <w:rFonts w:ascii="Calibri" w:cs="Calibri" w:eastAsia="Calibri" w:hAnsi="Calibri"/>
          <w:b/>
          <w:bCs/>
          <w:color w:val="1C4E80"/>
          <w:sz w:val="19"/>
          <w:szCs w:val="19"/>
        </w:rPr>
        <w:t xml:space="preserve">HOW INTERDICTION WORKS</w:t>
      </w:r>
    </w:p>
    <w:p>
      <w:pPr>
        <w:spacing w:after="60" w:before="0" w:line="238"/>
      </w:pPr>
      <w:r>
        <w:rPr>
          <w:rFonts w:ascii="Calibri" w:cs="Calibri" w:eastAsia="Calibri" w:hAnsi="Calibri"/>
          <w:color w:val="1A1A1A"/>
          <w:sz w:val="19"/>
          <w:szCs w:val="19"/>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ordinal, by legal threshold and distance from PRC bases.</w:t>
      </w:r>
    </w:p>
    <w:tbl>
      <w:tblPr>
        <w:tblW w:type="dxa" w:w="105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D0D6DE" w:sz="2"/>
              <w:left w:val="single" w:color="D0D6DE" w:sz="2"/>
              <w:bottom w:val="single" w:color="D0D6DE" w:sz="2"/>
              <w:right w:val="single" w:color="D0D6DE" w:sz="2"/>
            </w:tcBorders>
            <w:shd w:fill="E6ECF3" w:color="auto" w:val="clear"/>
            <w:tcMar>
              <w:top w:type="dxa" w:w="25"/>
              <w:left w:type="dxa" w:w="70"/>
              <w:bottom w:type="dxa" w:w="25"/>
              <w:right w:type="dxa" w:w="70"/>
            </w:tcMar>
          </w:tcPr>
          <w:p>
            <w:pPr>
              <w:spacing w:after="0" w:line="220"/>
              <w:jc w:val="left"/>
            </w:pPr>
            <w:r>
              <w:rPr>
                <w:rFonts w:ascii="Calibri" w:cs="Calibri" w:eastAsia="Calibri" w:hAnsi="Calibri"/>
                <w:b/>
                <w:bCs/>
                <w:color w:val="1C4E80"/>
                <w:sz w:val="17"/>
                <w:szCs w:val="17"/>
              </w:rPr>
              <w:t xml:space="preserve">Action</w:t>
            </w:r>
          </w:p>
        </w:tc>
        <w:tc>
          <w:tcPr>
            <w:tcW w:type="dxa" w:w="3400"/>
            <w:tcBorders>
              <w:top w:val="single" w:color="D0D6DE" w:sz="2"/>
              <w:left w:val="single" w:color="D0D6DE" w:sz="2"/>
              <w:bottom w:val="single" w:color="D0D6DE" w:sz="2"/>
              <w:right w:val="single" w:color="D0D6DE" w:sz="2"/>
            </w:tcBorders>
            <w:shd w:fill="E6ECF3" w:color="auto" w:val="clear"/>
            <w:tcMar>
              <w:top w:type="dxa" w:w="25"/>
              <w:left w:type="dxa" w:w="70"/>
              <w:bottom w:type="dxa" w:w="25"/>
              <w:right w:type="dxa" w:w="70"/>
            </w:tcMar>
          </w:tcPr>
          <w:p>
            <w:pPr>
              <w:spacing w:after="0" w:line="220"/>
              <w:jc w:val="left"/>
            </w:pPr>
            <w:r>
              <w:rPr>
                <w:rFonts w:ascii="Calibri" w:cs="Calibri" w:eastAsia="Calibri" w:hAnsi="Calibri"/>
                <w:b/>
                <w:bCs/>
                <w:color w:val="1C4E80"/>
                <w:sz w:val="17"/>
                <w:szCs w:val="17"/>
              </w:rPr>
              <w:t xml:space="preserve">Where it is allowed</w:t>
            </w:r>
          </w:p>
        </w:tc>
        <w:tc>
          <w:tcPr>
            <w:tcW w:type="dxa" w:w="520"/>
            <w:tcBorders>
              <w:top w:val="single" w:color="D0D6DE" w:sz="2"/>
              <w:left w:val="single" w:color="D0D6DE" w:sz="2"/>
              <w:bottom w:val="single" w:color="D0D6DE" w:sz="2"/>
              <w:right w:val="single" w:color="D0D6DE" w:sz="2"/>
            </w:tcBorders>
            <w:shd w:fill="E6ECF3" w:color="auto" w:val="clear"/>
            <w:tcMar>
              <w:top w:type="dxa" w:w="25"/>
              <w:left w:type="dxa" w:w="70"/>
              <w:bottom w:type="dxa" w:w="25"/>
              <w:right w:type="dxa" w:w="70"/>
            </w:tcMar>
          </w:tcPr>
          <w:p>
            <w:pPr>
              <w:spacing w:after="0" w:line="220"/>
              <w:jc w:val="center"/>
            </w:pPr>
            <w:r>
              <w:rPr>
                <w:rFonts w:ascii="Calibri" w:cs="Calibri" w:eastAsia="Calibri" w:hAnsi="Calibri"/>
                <w:b/>
                <w:bCs/>
                <w:color w:val="1C4E80"/>
                <w:sz w:val="17"/>
                <w:szCs w:val="17"/>
              </w:rPr>
              <w:t xml:space="preserve">Cost</w:t>
            </w:r>
          </w:p>
        </w:tc>
        <w:tc>
          <w:tcPr>
            <w:tcW w:type="dxa" w:w="900"/>
            <w:tcBorders>
              <w:top w:val="single" w:color="D0D6DE" w:sz="2"/>
              <w:left w:val="single" w:color="D0D6DE" w:sz="2"/>
              <w:bottom w:val="single" w:color="D0D6DE" w:sz="2"/>
              <w:right w:val="single" w:color="D0D6DE" w:sz="2"/>
            </w:tcBorders>
            <w:shd w:fill="E6ECF3" w:color="auto" w:val="clear"/>
            <w:tcMar>
              <w:top w:type="dxa" w:w="25"/>
              <w:left w:type="dxa" w:w="70"/>
              <w:bottom w:type="dxa" w:w="25"/>
              <w:right w:type="dxa" w:w="70"/>
            </w:tcMar>
          </w:tcPr>
          <w:p>
            <w:pPr>
              <w:spacing w:after="0" w:line="220"/>
              <w:jc w:val="center"/>
            </w:pPr>
            <w:r>
              <w:rPr>
                <w:rFonts w:ascii="Calibri" w:cs="Calibri" w:eastAsia="Calibri" w:hAnsi="Calibri"/>
                <w:b/>
                <w:bCs/>
                <w:color w:val="1C4E80"/>
                <w:sz w:val="17"/>
                <w:szCs w:val="17"/>
              </w:rPr>
              <w:t xml:space="preserve">p</w:t>
            </w:r>
          </w:p>
        </w:tc>
        <w:tc>
          <w:tcPr>
            <w:tcW w:type="dxa" w:w="3742"/>
            <w:tcBorders>
              <w:top w:val="single" w:color="D0D6DE" w:sz="2"/>
              <w:left w:val="single" w:color="D0D6DE" w:sz="2"/>
              <w:bottom w:val="single" w:color="D0D6DE" w:sz="2"/>
              <w:right w:val="single" w:color="D0D6DE" w:sz="2"/>
            </w:tcBorders>
            <w:shd w:fill="E6ECF3" w:color="auto" w:val="clear"/>
            <w:tcMar>
              <w:top w:type="dxa" w:w="25"/>
              <w:left w:type="dxa" w:w="70"/>
              <w:bottom w:type="dxa" w:w="25"/>
              <w:right w:type="dxa" w:w="70"/>
            </w:tcMar>
          </w:tcPr>
          <w:p>
            <w:pPr>
              <w:spacing w:after="0" w:line="220"/>
              <w:jc w:val="left"/>
            </w:pPr>
            <w:r>
              <w:rPr>
                <w:rFonts w:ascii="Calibri" w:cs="Calibri" w:eastAsia="Calibri" w:hAnsi="Calibri"/>
                <w:b/>
                <w:bCs/>
                <w:color w:val="1C4E80"/>
                <w:sz w:val="17"/>
                <w:szCs w:val="17"/>
              </w:rPr>
              <w:t xml:space="preserve">What p is anchored on</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Cyber on a canal or port</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Panama, Suez route, the 3 port entries</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1</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0.10</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Nagoya, DP World port shutdowns, 2023 (~3 days)</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Cyber on an open strait</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Hormuz, Malacca, Sunda, Lombok, Sulu, Miyako</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1</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0.05</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GPS jamming in Hormuz, 2025: traffic kept moving</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Quarantine / blockade</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Taiwan approaches (two variants)</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2 / 4</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0.80 / 0.95</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CSIS quarantine scenarios; Hormuz 2026 (~95% drop)</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Proxy disruption</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Bab el-Mandeb</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2</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0.60</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Houthi campaign since 2023: traffic down 50–67%</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Kinetic (naval)</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South China Sea only</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3</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0.90</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CSIS "Lights Out?" blockade wargames (2025)</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Economic pressure</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The four supplier arcs</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3</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0.20</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Sanctions work in 34% of 116 cases (Hufbauer et al.)</w:t>
            </w:r>
          </w:p>
        </w:tc>
      </w:tr>
      <w:tr>
        <w:trPr>
          <w:cantSplit/>
          <w:tblHeader w:val="false"/>
        </w:trPr>
        <w:tc>
          <w:tcPr>
            <w:tcW w:type="dxa" w:w="195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Naval presence (carrier)</w:t>
            </w:r>
          </w:p>
        </w:tc>
        <w:tc>
          <w:tcPr>
            <w:tcW w:type="dxa" w:w="34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Indian Ocean, western Pacific</w:t>
            </w:r>
          </w:p>
        </w:tc>
        <w:tc>
          <w:tcPr>
            <w:tcW w:type="dxa" w:w="52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4</w:t>
            </w:r>
          </w:p>
        </w:tc>
        <w:tc>
          <w:tcPr>
            <w:tcW w:type="dxa" w:w="900"/>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center"/>
            </w:pPr>
            <w:r>
              <w:rPr>
                <w:rFonts w:ascii="Calibri" w:cs="Calibri" w:eastAsia="Calibri" w:hAnsi="Calibri"/>
                <w:color w:val="1A1A1A"/>
                <w:sz w:val="17"/>
                <w:szCs w:val="17"/>
              </w:rPr>
              <w:t xml:space="preserve">0.20</w:t>
            </w:r>
          </w:p>
        </w:tc>
        <w:tc>
          <w:tcPr>
            <w:tcW w:type="dxa" w:w="3742"/>
            <w:tcBorders>
              <w:top w:val="single" w:color="D0D6DE" w:sz="2"/>
              <w:left w:val="single" w:color="D0D6DE" w:sz="2"/>
              <w:bottom w:val="single" w:color="D0D6DE" w:sz="2"/>
              <w:right w:val="single" w:color="D0D6DE" w:sz="2"/>
            </w:tcBorders>
            <w:tcMar>
              <w:top w:type="dxa" w:w="25"/>
              <w:left w:type="dxa" w:w="70"/>
              <w:bottom w:type="dxa" w:w="25"/>
              <w:right w:type="dxa" w:w="70"/>
            </w:tcMar>
          </w:tcPr>
          <w:p>
            <w:pPr>
              <w:spacing w:after="0" w:line="220"/>
              <w:jc w:val="left"/>
            </w:pPr>
            <w:r>
              <w:rPr>
                <w:rFonts w:ascii="Calibri" w:cs="Calibri" w:eastAsia="Calibri" w:hAnsi="Calibri"/>
                <w:color w:val="1A1A1A"/>
                <w:sz w:val="17"/>
                <w:szCs w:val="17"/>
              </w:rPr>
              <w:t xml:space="preserve">Assumed; between Tanker War 2% and Houthis 60%</w:t>
            </w:r>
          </w:p>
        </w:tc>
      </w:tr>
    </w:tbl>
    <w:p>
      <w:pPr>
        <w:spacing w:after="20" w:before="40" w:line="238"/>
      </w:pPr>
      <w:r>
        <w:rPr>
          <w:rFonts w:ascii="Calibri" w:cs="Calibri" w:eastAsia="Calibri" w:hAnsi="Calibri"/>
          <w:color w:val="5A5A5A"/>
          <w:sz w:val="17"/>
          <w:szCs w:val="17"/>
        </w:rPr>
        <w:t xml:space="preserve">The other 19 edges (e.g. the Atlantic, Indonesian archipelagic waters) cannot be interdicted, each with a stated reason.</w:t>
      </w:r>
    </w:p>
    <w:p>
      <w:pPr>
        <w:keepNext/>
        <w:pBdr>
          <w:bottom w:val="single" w:color="B8C4D2" w:sz="4" w:space="1"/>
        </w:pBdr>
        <w:spacing w:after="25" w:before="70"/>
      </w:pPr>
      <w:r>
        <w:rPr>
          <w:rFonts w:ascii="Calibri" w:cs="Calibri" w:eastAsia="Calibri" w:hAnsi="Calibri"/>
          <w:b/>
          <w:bCs/>
          <w:color w:val="1C4E80"/>
          <w:sz w:val="19"/>
          <w:szCs w:val="19"/>
        </w:rPr>
        <w:t xml:space="preserve">METHOD AND DELIVERABLES</w:t>
      </w:r>
    </w:p>
    <w:p>
      <w:pPr>
        <w:pStyle w:val="ListParagraph"/>
        <w:numPr>
          <w:ilvl w:val="0"/>
          <w:numId w:val="3"/>
        </w:numPr>
        <w:spacing w:after="25" w:before="0" w:line="238"/>
      </w:pPr>
      <w:r>
        <w:rPr>
          <w:rFonts w:ascii="Calibri" w:cs="Calibri" w:eastAsia="Calibri" w:hAnsi="Calibri"/>
          <w:b/>
          <w:bCs/>
          <w:color w:val="1A1A1A"/>
          <w:sz w:val="19"/>
          <w:szCs w:val="19"/>
        </w:rPr>
        <w:t xml:space="preserve">Baselines </w:t>
      </w:r>
      <w:r>
        <w:rPr>
          <w:rFonts w:ascii="Calibri" w:cs="Calibri" w:eastAsia="Calibri" w:hAnsi="Calibri"/>
          <w:color w:val="1A1A1A"/>
          <w:sz w:val="19"/>
          <w:szCs w:val="19"/>
        </w:rPr>
        <w:t xml:space="preserve">(exact min-cut, greedy). First result: counting p, the cheapest full cut is a five-lane cordon on Taiwan’s west coast (effort 12.5), where all three crude ports sit; ignoring p would pick three port cyber attacks instead.</w:t>
      </w:r>
    </w:p>
    <w:p>
      <w:pPr>
        <w:pStyle w:val="ListParagraph"/>
        <w:numPr>
          <w:ilvl w:val="0"/>
          <w:numId w:val="3"/>
        </w:numPr>
        <w:spacing w:after="25" w:before="0" w:line="238"/>
      </w:pPr>
      <w:r>
        <w:rPr>
          <w:rFonts w:ascii="Calibri" w:cs="Calibri" w:eastAsia="Calibri" w:hAnsi="Calibri"/>
          <w:b/>
          <w:bCs/>
          <w:color w:val="1A1A1A"/>
          <w:sz w:val="19"/>
          <w:szCs w:val="19"/>
        </w:rPr>
        <w:t xml:space="preserve">Agent evaluation on MIT SuperCloud </w:t>
      </w:r>
      <w:r>
        <w:rPr>
          <w:rFonts w:ascii="Calibri" w:cs="Calibri" w:eastAsia="Calibri" w:hAnsi="Calibri"/>
          <w:color w:val="1A1A1A"/>
          <w:sz w:val="19"/>
          <w:szCs w:val="19"/>
        </w:rPr>
        <w:t xml:space="preserve">(LTC Webb): zero-sum and canalize; quarantine and blockade variants.</w:t>
      </w:r>
    </w:p>
    <w:p>
      <w:pPr>
        <w:pStyle w:val="ListParagraph"/>
        <w:numPr>
          <w:ilvl w:val="0"/>
          <w:numId w:val="3"/>
        </w:numPr>
        <w:spacing w:after="25" w:before="0" w:line="238"/>
      </w:pPr>
      <w:r>
        <w:rPr>
          <w:rFonts w:ascii="Calibri" w:cs="Calibri" w:eastAsia="Calibri" w:hAnsi="Calibri"/>
          <w:b/>
          <w:bCs/>
          <w:color w:val="1A1A1A"/>
          <w:sz w:val="19"/>
          <w:szCs w:val="19"/>
        </w:rPr>
        <w:t xml:space="preserve">Transfer test: </w:t>
      </w:r>
      <w:r>
        <w:rPr>
          <w:rFonts w:ascii="Calibri" w:cs="Calibri" w:eastAsia="Calibri" w:hAnsi="Calibri"/>
          <w:color w:val="1A1A1A"/>
          <w:sz w:val="19"/>
          <w:szCs w:val="19"/>
        </w:rPr>
        <w:t xml:space="preserve">the rail-trained agent on this network, no retraining. If it transfers, it learned interdiction rather than a map; if not, that is a result.</w:t>
      </w:r>
    </w:p>
    <w:p>
      <w:pPr>
        <w:spacing w:after="40" w:before="15" w:line="238"/>
      </w:pPr>
      <w:r>
        <w:rPr>
          <w:rFonts w:ascii="Calibri" w:cs="Calibri" w:eastAsia="Calibri" w:hAnsi="Calibri"/>
          <w:b/>
          <w:bCs/>
          <w:color w:val="1A1A1A"/>
          <w:sz w:val="19"/>
          <w:szCs w:val="19"/>
        </w:rPr>
        <w:t xml:space="preserve">Products: </w:t>
      </w:r>
      <w:r>
        <w:rPr>
          <w:rFonts w:ascii="Calibri" w:cs="Calibri" w:eastAsia="Calibri" w:hAnsi="Calibri"/>
          <w:color w:val="1A1A1A"/>
          <w:sz w:val="19"/>
          <w:szCs w:val="19"/>
        </w:rPr>
        <w:t xml:space="preserve">effort–flow frontier (budget vs. crude delivered, for min-cut, greedy and the agent); map of where the agent acts by budget; transfer result; poster.</w:t>
      </w:r>
    </w:p>
    <w:p>
      <w:pPr>
        <w:keepNext/>
        <w:pBdr>
          <w:bottom w:val="single" w:color="B8C4D2" w:sz="4" w:space="1"/>
        </w:pBdr>
        <w:spacing w:after="25" w:before="70"/>
      </w:pPr>
      <w:r>
        <w:rPr>
          <w:rFonts w:ascii="Calibri" w:cs="Calibri" w:eastAsia="Calibri" w:hAnsi="Calibri"/>
          <w:b/>
          <w:bCs/>
          <w:color w:val="1C4E80"/>
          <w:sz w:val="19"/>
          <w:szCs w:val="19"/>
        </w:rPr>
        <w:t xml:space="preserve">ASSUMPTIONS AND LIMITS</w:t>
      </w:r>
    </w:p>
    <w:p>
      <w:pPr>
        <w:spacing w:after="40" w:before="0" w:line="238"/>
      </w:pPr>
      <w:r>
        <w:rPr>
          <w:rFonts w:ascii="Calibri" w:cs="Calibri" w:eastAsia="Calibri" w:hAnsi="Calibri"/>
          <w:color w:val="1A1A1A"/>
          <w:sz w:val="19"/>
          <w:szCs w:val="19"/>
        </w:rPr>
        <w:t xml:space="preserve">Keeps LTC Webb's framework: two players (Stackelberg), full information, zero-sum, one round. Adds: 2025 supplier mix fixed; one month, one commodity, no stock drawdown; no escorts; ordinal costs and an assumed carrier p, both swept for sensitivity; nine strait and canal capacities pending the EIA chokepoint report. Unclassified sources only; a proof of concept, not a targeting model.</w:t>
      </w:r>
    </w:p>
    <w:p>
      <w:pPr>
        <w:keepNext/>
        <w:pBdr>
          <w:bottom w:val="single" w:color="B8C4D2" w:sz="4" w:space="1"/>
        </w:pBdr>
        <w:spacing w:after="25" w:before="70"/>
      </w:pPr>
      <w:r>
        <w:rPr>
          <w:rFonts w:ascii="Calibri" w:cs="Calibri" w:eastAsia="Calibri" w:hAnsi="Calibri"/>
          <w:b/>
          <w:bCs/>
          <w:color w:val="1C4E80"/>
          <w:sz w:val="19"/>
          <w:szCs w:val="19"/>
        </w:rPr>
        <w:t xml:space="preserve">DECISIONS REQUESTED</w:t>
      </w:r>
    </w:p>
    <w:p>
      <w:pPr>
        <w:pStyle w:val="ListParagraph"/>
        <w:numPr>
          <w:ilvl w:val="0"/>
          <w:numId w:val="4"/>
        </w:numPr>
        <w:spacing w:after="25" w:before="0" w:line="238"/>
      </w:pPr>
      <w:r>
        <w:rPr>
          <w:rFonts w:ascii="Calibri" w:cs="Calibri" w:eastAsia="Calibri" w:hAnsi="Calibri"/>
          <w:b/>
          <w:bCs/>
          <w:color w:val="1A1A1A"/>
          <w:sz w:val="19"/>
          <w:szCs w:val="19"/>
        </w:rPr>
        <w:t xml:space="preserve">Stochastic outcomes? </w:t>
      </w:r>
      <w:r>
        <w:rPr>
          <w:rFonts w:ascii="Calibri" w:cs="Calibri" w:eastAsia="Calibri" w:hAnsi="Calibri"/>
          <w:color w:val="1A1A1A"/>
          <w:sz w:val="19"/>
          <w:szCs w:val="19"/>
        </w:rPr>
        <w:t xml:space="preserve">The training code runs stochastic; the meeting notes say deterministic. The effort budget needs p below 1.</w:t>
      </w:r>
    </w:p>
    <w:p>
      <w:pPr>
        <w:pStyle w:val="ListParagraph"/>
        <w:numPr>
          <w:ilvl w:val="0"/>
          <w:numId w:val="4"/>
        </w:numPr>
        <w:spacing w:after="25" w:before="0" w:line="238"/>
      </w:pPr>
      <w:r>
        <w:rPr>
          <w:rFonts w:ascii="Calibri" w:cs="Calibri" w:eastAsia="Calibri" w:hAnsi="Calibri"/>
          <w:b/>
          <w:bCs/>
          <w:color w:val="1A1A1A"/>
          <w:sz w:val="19"/>
          <w:szCs w:val="19"/>
        </w:rPr>
        <w:t xml:space="preserve">Evaluation inputs? </w:t>
      </w:r>
      <w:r>
        <w:rPr>
          <w:rFonts w:ascii="Calibri" w:cs="Calibri" w:eastAsia="Calibri" w:hAnsi="Calibri"/>
          <w:color w:val="1A1A1A"/>
          <w:sz w:val="19"/>
          <w:szCs w:val="19"/>
        </w:rPr>
        <w:t xml:space="preserve">Use the sourced capacities, costs and p when testing on this network (_update_capacity_constraints_from_dict).</w:t>
      </w:r>
    </w:p>
    <w:p>
      <w:pPr>
        <w:pStyle w:val="ListParagraph"/>
        <w:numPr>
          <w:ilvl w:val="0"/>
          <w:numId w:val="4"/>
        </w:numPr>
        <w:spacing w:after="25" w:before="0" w:line="238"/>
      </w:pPr>
      <w:r>
        <w:rPr>
          <w:rFonts w:ascii="Calibri" w:cs="Calibri" w:eastAsia="Calibri" w:hAnsi="Calibri"/>
          <w:b/>
          <w:bCs/>
          <w:color w:val="1A1A1A"/>
          <w:sz w:val="19"/>
          <w:szCs w:val="19"/>
        </w:rPr>
        <w:t xml:space="preserve">Supplier arcs? </w:t>
      </w:r>
      <w:r>
        <w:rPr>
          <w:rFonts w:ascii="Calibri" w:cs="Calibri" w:eastAsia="Calibri" w:hAnsi="Calibri"/>
          <w:color w:val="1A1A1A"/>
          <w:sz w:val="19"/>
          <w:szCs w:val="19"/>
        </w:rPr>
        <w:t xml:space="preserve">May economic pressure make the super-source arcs interdictable? The Ukraine network does not.</w:t>
      </w:r>
    </w:p>
    <w:p>
      <w:pPr>
        <w:spacing w:after="0" w:before="40" w:line="210"/>
      </w:pPr>
      <w:r>
        <w:rPr>
          <w:rFonts w:ascii="Calibri" w:cs="Calibri" w:eastAsia="Calibri" w:hAnsi="Calibri"/>
          <w:b/>
          <w:bCs/>
          <w:color w:val="5A5A5A"/>
          <w:sz w:val="15"/>
          <w:szCs w:val="15"/>
        </w:rPr>
        <w:t xml:space="preserve">Key sources: </w:t>
      </w:r>
      <w:r>
        <w:rPr>
          <w:rFonts w:ascii="Calibri" w:cs="Calibri" w:eastAsia="Calibri" w:hAnsi="Calibri"/>
          <w:color w:val="5A5A5A"/>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Calibri" w:cs="Calibri" w:eastAsia="Calibri" w:hAnsi="Calibri"/>
          <w:color w:val="5A5A5A"/>
          <w:sz w:val="17"/>
          <w:szCs w:val="17"/>
        </w:rPr>
        <w:t xml:space="preserve">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Calibri" w:cs="Calibri" w:eastAsia="Calibri" w:hAnsi="Calibri"/>
          <w:color w:val="5A5A5A"/>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af8ee0928d4a4cebb0cfd573f1e8535b528613.png"/><Relationship Id="rId8" Type="http://schemas.openxmlformats.org/officeDocument/2006/relationships/image" Target="media/f68a3d7b6cc6f13104a151bc38912fe92f7fff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2026-09-27T01:03:10.928Z</dcterms:created>
  <dcterms:modified xsi:type="dcterms:W3CDTF">2026-09-27T01:03:10.928Z</dcterms:modified>
</cp:coreProperties>
</file>

<file path=docProps/custom.xml><?xml version="1.0" encoding="utf-8"?>
<Properties xmlns="http://schemas.openxmlformats.org/officeDocument/2006/custom-properties" xmlns:vt="http://schemas.openxmlformats.org/officeDocument/2006/docPropsVTypes"/>
</file>