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highlight w:val="yellow"/>
        </w:rPr>
        <w:t xml:space="preserve">[DD]</w:t>
      </w:r>
      <w:r>
        <w:rPr>
          <w:sz w:val="24"/>
          <w:szCs w:val="24"/>
        </w:rPr>
        <w:t xml:space="preserve"> October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As an Operations Research major with a minor in artificial intelligence and a finance specialization, I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 few days later, at the 4th Infantry Division, we saw how a formation actually employs those systems and feeds lessons back to the developers. At Stanford’s Gordian Knot Center, Col. (Ret.) Joseph Felter and Jack Faherty described how student startups get new technology into the hands of Army units, and why that is so hard. Then, at my second AIAD with the Army’s Transformation Decision Analysis Center (TDAC), I built the other half: a reinforcement-learning model for contested resupply. This semester I am modeling how an adversary would cut a supply network. Models like these only matter once a platform puts them in front of a commander. I am pursuing the DXDT “Velocity” Scholarship for two reasons. First, its funding would let me take my interdiction research to the MIT Center for Transportation &amp; Logistics, where the methods I am building on were developed. Second, as a Velocity Scholar I would seek a Palantir AIAD with the Maven team, where I can learn how a fielded platform turns models like mine into decisions and bring that practice back to my research and my future formation.</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This semester I am working on network interdiction with my advisor, LTC Matthew Webb, whose doctoral research with the MIT Center for Transportation &amp; Logistics developed a reinforcement-learning approach to maximum-flow network interdiction (Webb and Caplice, submitted to Networks). My project asks where an adversary with a fixed effort budget should act to cut Taiwan’s crude oil supply, and whether LTC Webb’s reinforcement-learning attacker, trained on Ukraine’s rail network, still finds strong strategies on sea lanes. I have built a 57-node, 79-edge model of Taiwan’s crude import routes from open sources, with sourced capacities and seven costed adversary actions, connected it to his code, and verified it against an independent max-flow calculation. Early checks show that no single action hurts Taiwan, because supply reroutes, while combined actions do. Over the coming year I will (1) compare optimization baselines against the trained agent, (2) test how the adversary’s best plan changes as blockade and cyber costs vary, and (3) report whether a rail-trained attacker transfers to a maritime network. I will present the results at Projects Day.</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In January 2027, I will spend $224 on a new copy of Ahuja, Magnanti, and Orlin’s Network Flows (Pearson), the standard reference on the maximum-flow and minimum-cut models that network interdiction is built on. I will use it this spring to build the optimization baselines that LTC Webb’s trained attacker is compared against in paragraph 3. From </w:t>
      </w:r>
      <w:r>
        <w:rPr>
          <w:sz w:val="24"/>
          <w:szCs w:val="24"/>
          <w:highlight w:val="yellow"/>
        </w:rPr>
        <w:t xml:space="preserve">[7–27 June 2027]</w:t>
      </w:r>
      <w:r>
        <w:rPr>
          <w:sz w:val="24"/>
          <w:szCs w:val="24"/>
        </w:rPr>
        <w:t xml:space="preserve">, I will spend $6,700 on a three-week research AIAD at the MIT Center for Transportation &amp; Logistics in Cambridge, MA, where LTC Webb developed the reinforcement-learning interdiction method with Dr. Chris Caplice. Of that, $200 is round-trip train travel, $1,932 is meals and incidentals at the federal per diem rate for Boston/Cambridge ($92 per day for 21 days), and $4,568 is lodging for 20 nights (about $228 per night, below the $305 federal lodging rate). While there, I will extend the Taiwan model, test the trained attacker against at least one additional network, and brief the results to the group and LTC Webb before I leave. Those results will go into my Projects Day presentation. The placement will be coordinated through LTC Webb and the department; if it cannot be arranged, I will do the same research AIAD with Stanford’s Gordian Knot Center at the same cost.</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Travel supports the summer research AIAD, completed well before graduation.</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c>
          <w:tcPr>
            <w:tcW w:w="2137" w:type="dxa"/>
            <w:vAlign w:val="center"/>
          </w:tcPr>
          <w:p w:rsidR="004116A1" w:rsidP="0083294B" w:rsidRDefault="004116A1" w14:paraId="2A076578" w14:textId="4D42B96B">
            <w:pPr>
              <w:jc w:val="center"/>
              <w:rPr>
                <w:sz w:val="22"/>
                <w:szCs w:val="22"/>
              </w:rPr>
            </w:pPr>
            <w:r>
              <w:rPr>
                <w:sz w:val="22"/>
                <w:szCs w:val="22"/>
              </w:rPr>
              <w:t xml:space="preserve">AIAD</w:t>
            </w:r>
          </w:p>
        </w:tc>
        <w:tc>
          <w:tcPr>
            <w:tcW w:w="1980" w:type="dxa"/>
            <w:vAlign w:val="center"/>
          </w:tcPr>
          <w:p w:rsidR="004116A1" w:rsidP="0083294B" w:rsidRDefault="004116A1" w14:paraId="78CC7D82" w14:textId="4AC6677E">
            <w:pPr>
              <w:jc w:val="center"/>
              <w:rPr>
                <w:sz w:val="22"/>
                <w:szCs w:val="22"/>
              </w:rPr>
            </w:pPr>
            <w:r>
              <w:rPr>
                <w:sz w:val="22"/>
                <w:szCs w:val="22"/>
              </w:rPr>
              <w:t xml:space="preserve">MIT Center for Transportation &amp; Logistics (alt: Stanford Gordian Knot Center)</w:t>
            </w:r>
          </w:p>
        </w:tc>
        <w:tc>
          <w:tcPr>
            <w:tcW w:w="1890" w:type="dxa"/>
            <w:vAlign w:val="center"/>
          </w:tcPr>
          <w:p w:rsidR="004116A1" w:rsidP="0083294B" w:rsidRDefault="004116A1" w14:paraId="57F7D7E1" w14:textId="68D15404">
            <w:pPr>
              <w:jc w:val="center"/>
              <w:rPr>
                <w:sz w:val="22"/>
                <w:szCs w:val="22"/>
              </w:rPr>
            </w:pPr>
            <w:r>
              <w:rPr>
                <w:sz w:val="22"/>
                <w:szCs w:val="22"/>
              </w:rPr>
              <w:t xml:space="preserve">Cambridge, MA (alt: Stanford, CA)</w:t>
            </w:r>
          </w:p>
        </w:tc>
        <w:tc>
          <w:tcPr>
            <w:tcW w:w="1530" w:type="dxa"/>
            <w:vAlign w:val="center"/>
          </w:tcPr>
          <w:p w:rsidR="004116A1" w:rsidP="0083294B" w:rsidRDefault="004116A1" w14:paraId="5A21A755" w14:textId="7473E6FF">
            <w:pPr>
              <w:jc w:val="center"/>
              <w:rPr>
                <w:sz w:val="22"/>
                <w:szCs w:val="22"/>
              </w:rPr>
            </w:pPr>
            <w:r>
              <w:rPr>
                <w:sz w:val="22"/>
                <w:szCs w:val="22"/>
              </w:rPr>
              <w:t xml:space="preserve">21 ([7–27 Jun 2027])</w:t>
            </w:r>
          </w:p>
        </w:tc>
        <w:tc>
          <w:tcPr>
            <w:tcW w:w="1710" w:type="dxa"/>
            <w:vAlign w:val="center"/>
          </w:tcPr>
          <w:p w:rsidR="004116A1" w:rsidP="0083294B" w:rsidRDefault="004116A1" w14:paraId="581D447D" w14:textId="3EC5C520">
            <w:pPr>
              <w:jc w:val="center"/>
              <w:rPr>
                <w:sz w:val="22"/>
                <w:szCs w:val="22"/>
              </w:rPr>
            </w:pPr>
            <w:r>
              <w:rPr>
                <w:sz w:val="22"/>
                <w:szCs w:val="22"/>
              </w:rPr>
              <w:t xml:space="preserve">$6,700</w:t>
            </w:r>
          </w:p>
        </w:tc>
      </w:tr>
    </w:tbl>
    <w:p>
      <w:pPr>
        <w:tabs>
          <w:tab w:val="left" w:pos="4680"/>
        </w:tabs>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Equipment, Materials, or Supplies. </w:t>
      </w:r>
      <w:r>
        <w:rPr>
          <w:sz w:val="24"/>
          <w:szCs w:val="24"/>
        </w:rPr>
        <w:t xml:space="preserve">Reference text for the network-flow models the project is built on.</w:t>
      </w: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AC6898" w:rsidTr="006D24B7" w14:paraId="31FBBE03" w14:textId="77777777">
        <w:trPr>
          <w:trHeight w:val="620"/>
        </w:trPr>
        <w:tc>
          <w:tcPr>
            <w:tcW w:w="2137" w:type="dxa"/>
          </w:tcPr>
          <w:p w:rsidRPr="0083294B" w:rsidR="00AC6898" w:rsidP="00AC6898" w:rsidRDefault="00AC6898" w14:paraId="34BD2E51" w14:textId="03E61EDB">
            <w:pPr>
              <w:jc w:val="center"/>
              <w:rPr>
                <w:rFonts w:eastAsia="Batang"/>
                <w:b/>
                <w:bCs/>
                <w:sz w:val="22"/>
                <w:szCs w:val="22"/>
              </w:rPr>
            </w:pPr>
            <w:r>
              <w:rPr>
                <w:b/>
                <w:bCs/>
                <w:sz w:val="22"/>
                <w:szCs w:val="22"/>
              </w:rPr>
              <w:t>Item</w:t>
            </w:r>
          </w:p>
        </w:tc>
        <w:tc>
          <w:tcPr>
            <w:tcW w:w="1980" w:type="dxa"/>
          </w:tcPr>
          <w:p w:rsidRPr="00AC6898" w:rsidR="00AC6898" w:rsidP="0051206B" w:rsidRDefault="00AC6898" w14:paraId="58A6AF38" w14:textId="14D53D57">
            <w:pPr>
              <w:jc w:val="center"/>
              <w:rPr>
                <w:rFonts w:eastAsia="Batang"/>
                <w:sz w:val="22"/>
                <w:szCs w:val="22"/>
              </w:rPr>
            </w:pPr>
            <w:r>
              <w:rPr>
                <w:b/>
                <w:bCs/>
                <w:sz w:val="22"/>
                <w:szCs w:val="22"/>
              </w:rPr>
              <w:t>Vendor</w:t>
            </w:r>
            <w:r>
              <w:rPr>
                <w:sz w:val="22"/>
                <w:szCs w:val="22"/>
              </w:rPr>
              <w:t xml:space="preserve"> (provide link to your item, if possible)</w:t>
            </w:r>
          </w:p>
        </w:tc>
        <w:tc>
          <w:tcPr>
            <w:tcW w:w="1890" w:type="dxa"/>
          </w:tcPr>
          <w:p w:rsidRPr="0083294B" w:rsidR="00AC6898" w:rsidP="00AC6898" w:rsidRDefault="00AC6898" w14:paraId="0D9CD05D" w14:textId="5A39BF94">
            <w:pPr>
              <w:jc w:val="center"/>
              <w:rPr>
                <w:rFonts w:eastAsia="Batang"/>
                <w:b/>
                <w:bCs/>
                <w:sz w:val="22"/>
                <w:szCs w:val="22"/>
              </w:rPr>
            </w:pPr>
            <w:r>
              <w:rPr>
                <w:b/>
                <w:bCs/>
                <w:sz w:val="22"/>
                <w:szCs w:val="22"/>
              </w:rPr>
              <w:t>Quantity</w:t>
            </w:r>
          </w:p>
        </w:tc>
        <w:tc>
          <w:tcPr>
            <w:tcW w:w="1530" w:type="dxa"/>
          </w:tcPr>
          <w:p w:rsidRPr="0083294B" w:rsidR="00AC6898" w:rsidP="00AC6898" w:rsidRDefault="00AC6898" w14:paraId="53F22B2B" w14:textId="280482A8">
            <w:pPr>
              <w:jc w:val="center"/>
              <w:rPr>
                <w:rFonts w:eastAsia="Batang"/>
                <w:b/>
                <w:bCs/>
                <w:sz w:val="22"/>
                <w:szCs w:val="22"/>
              </w:rPr>
            </w:pPr>
            <w:r>
              <w:rPr>
                <w:b/>
                <w:bCs/>
                <w:sz w:val="22"/>
                <w:szCs w:val="22"/>
              </w:rPr>
              <w:t>Unit Cost</w:t>
            </w:r>
          </w:p>
        </w:tc>
        <w:tc>
          <w:tcPr>
            <w:tcW w:w="1710" w:type="dxa"/>
          </w:tcPr>
          <w:p w:rsidRPr="0083294B" w:rsidR="00AC6898" w:rsidP="00AC6898" w:rsidRDefault="00AC6898" w14:paraId="171F974A" w14:textId="5A6C3C6C">
            <w:pPr>
              <w:jc w:val="center"/>
              <w:rPr>
                <w:rFonts w:eastAsia="Batang"/>
                <w:b/>
                <w:bCs/>
                <w:sz w:val="22"/>
                <w:szCs w:val="22"/>
              </w:rPr>
            </w:pPr>
            <w:r>
              <w:rPr>
                <w:b/>
                <w:bCs/>
                <w:sz w:val="22"/>
                <w:szCs w:val="22"/>
              </w:rPr>
              <w:t>Total Cost</w:t>
            </w:r>
          </w:p>
        </w:tc>
      </w:tr>
      <w:tr w:rsidRPr="000413B5" w:rsidR="007D11E0" w:rsidTr="006D24B7" w14:paraId="6A37E10B" w14:textId="77777777">
        <w:trPr>
          <w:cantSplit/>
        </w:trPr>
        <w:tc>
          <w:tcPr>
            <w:tcW w:w="2137" w:type="dxa"/>
            <w:vAlign w:val="center"/>
          </w:tcPr>
          <w:p w:rsidR="007D11E0" w:rsidP="006D24B7" w:rsidRDefault="007D11E0" w14:paraId="21B5418C" w14:textId="1DC52FF4">
            <w:pPr>
              <w:jc w:val="center"/>
              <w:rPr>
                <w:sz w:val="22"/>
                <w:szCs w:val="22"/>
              </w:rPr>
            </w:pPr>
            <w:r>
              <w:rPr>
                <w:sz w:val="22"/>
                <w:szCs w:val="22"/>
              </w:rPr>
              <w:t xml:space="preserve">Textbook: Ahuja, Magnanti &amp; Orlin, Network Flows (ISBN 9780136175490)</w:t>
            </w:r>
          </w:p>
        </w:tc>
        <w:tc>
          <w:tcPr>
            <w:tcW w:w="1980" w:type="dxa"/>
            <w:vAlign w:val="center"/>
          </w:tcPr>
          <w:p w:rsidR="007D11E0" w:rsidP="006D24B7" w:rsidRDefault="007D11E0" w14:paraId="41A06423" w14:textId="304337EC">
            <w:pPr>
              <w:jc w:val="center"/>
              <w:rPr>
                <w:sz w:val="22"/>
                <w:szCs w:val="22"/>
              </w:rPr>
            </w:pPr>
            <w:r>
              <w:rPr>
                <w:sz w:val="22"/>
                <w:szCs w:val="22"/>
              </w:rPr>
              <w:t xml:space="preserve">Pearson (pearson.com)</w:t>
            </w:r>
          </w:p>
        </w:tc>
        <w:tc>
          <w:tcPr>
            <w:tcW w:w="1890" w:type="dxa"/>
            <w:vAlign w:val="center"/>
          </w:tcPr>
          <w:p w:rsidR="007D11E0" w:rsidP="006D24B7" w:rsidRDefault="007D11E0" w14:paraId="412E691B" w14:textId="65D4D02D">
            <w:pPr>
              <w:jc w:val="center"/>
              <w:rPr>
                <w:sz w:val="22"/>
                <w:szCs w:val="22"/>
              </w:rPr>
            </w:pPr>
            <w:r>
              <w:rPr>
                <w:sz w:val="22"/>
                <w:szCs w:val="22"/>
              </w:rPr>
              <w:t xml:space="preserve">1</w:t>
            </w:r>
          </w:p>
        </w:tc>
        <w:tc>
          <w:tcPr>
            <w:tcW w:w="1530" w:type="dxa"/>
            <w:vAlign w:val="center"/>
          </w:tcPr>
          <w:p w:rsidR="007D11E0" w:rsidP="006D24B7" w:rsidRDefault="007D11E0" w14:paraId="2C831B35" w14:textId="65E03818">
            <w:pPr>
              <w:jc w:val="center"/>
              <w:rPr>
                <w:sz w:val="22"/>
                <w:szCs w:val="22"/>
              </w:rPr>
            </w:pPr>
            <w:r>
              <w:rPr>
                <w:sz w:val="22"/>
                <w:szCs w:val="22"/>
              </w:rPr>
              <w:t xml:space="preserve">$224</w:t>
            </w:r>
          </w:p>
        </w:tc>
        <w:tc>
          <w:tcPr>
            <w:tcW w:w="1710" w:type="dxa"/>
            <w:vAlign w:val="center"/>
          </w:tcPr>
          <w:p w:rsidR="007D11E0" w:rsidP="006D24B7" w:rsidRDefault="007D11E0" w14:paraId="3CB79765" w14:textId="44ED7CF9">
            <w:pPr>
              <w:jc w:val="center"/>
              <w:rPr>
                <w:sz w:val="22"/>
                <w:szCs w:val="22"/>
              </w:rPr>
            </w:pPr>
            <w:r>
              <w:rPr>
                <w:sz w:val="22"/>
                <w:szCs w:val="22"/>
              </w:rPr>
              <w:t xml:space="preserve">$224</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$6,924 ($6,700 travel + $224 reference text), within the $10,000 limit.</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e. Timeline for Expenditures. </w:t>
      </w:r>
      <w:r>
        <w:rPr>
          <w:sz w:val="24"/>
          <w:szCs w:val="24"/>
        </w:rPr>
        <w:t xml:space="preserve">Nov–Dec 2026: coordinate the MIT research placement with LTC Webb and the department. Jan 2027: purchase the reference text. </w:t>
      </w:r>
      <w:r>
        <w:rPr>
          <w:sz w:val="24"/>
          <w:szCs w:val="24"/>
          <w:highlight w:val="yellow"/>
        </w:rPr>
        <w:t xml:space="preserve">[7–27 June 2027]</w:t>
      </w:r>
      <w:r>
        <w:rPr>
          <w:sz w:val="24"/>
          <w:szCs w:val="24"/>
        </w:rPr>
        <w:t xml:space="preserve">: complete the AIAD. All funds will be spent by 30 June 2027, well before my graduation in May 2029.</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C-2,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