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F89E2" w14:textId="77777777" w:rsidR="004E200E" w:rsidRDefault="004E200E" w:rsidP="004E200E">
      <w:pPr>
        <w:pStyle w:val="Titelberschrift"/>
        <w:rPr>
          <w:rFonts w:asciiTheme="minorHAnsi" w:hAnsiTheme="minorHAnsi" w:cstheme="minorHAnsi"/>
        </w:rPr>
      </w:pPr>
      <w:r w:rsidRPr="00687919">
        <w:rPr>
          <w:rFonts w:asciiTheme="minorHAnsi" w:hAnsiTheme="minorHAnsi" w:cstheme="minorHAnsi"/>
        </w:rPr>
        <w:t xml:space="preserve">Dokumentation der Methodik zur Auswertung der Bestandsdaten an </w:t>
      </w:r>
      <w:proofErr w:type="spellStart"/>
      <w:r w:rsidRPr="00687919">
        <w:rPr>
          <w:rFonts w:asciiTheme="minorHAnsi" w:hAnsiTheme="minorHAnsi" w:cstheme="minorHAnsi"/>
        </w:rPr>
        <w:t>MoMoK</w:t>
      </w:r>
      <w:proofErr w:type="spellEnd"/>
      <w:r w:rsidRPr="00687919">
        <w:rPr>
          <w:rFonts w:asciiTheme="minorHAnsi" w:hAnsiTheme="minorHAnsi" w:cstheme="minorHAnsi"/>
        </w:rPr>
        <w:t xml:space="preserve"> Standorten</w:t>
      </w:r>
    </w:p>
    <w:p w14:paraId="17999991" w14:textId="77777777" w:rsidR="004E200E" w:rsidRDefault="004E200E" w:rsidP="004E200E"/>
    <w:sdt>
      <w:sdtPr>
        <w:rPr>
          <w:b w:val="0"/>
          <w:bCs w:val="0"/>
          <w:color w:val="auto"/>
          <w:sz w:val="21"/>
          <w:szCs w:val="20"/>
        </w:rPr>
        <w:id w:val="1916125771"/>
        <w:docPartObj>
          <w:docPartGallery w:val="Table of Contents"/>
          <w:docPartUnique/>
        </w:docPartObj>
      </w:sdtPr>
      <w:sdtEndPr/>
      <w:sdtContent>
        <w:p w14:paraId="7AA509D1" w14:textId="77777777" w:rsidR="004E200E" w:rsidRDefault="004E200E" w:rsidP="004E200E">
          <w:pPr>
            <w:pStyle w:val="Inhaltsverzeichnisberschrift"/>
          </w:pPr>
          <w:r w:rsidRPr="00D43A69">
            <w:t>Inhalt</w:t>
          </w:r>
          <w:r>
            <w:t>sverzeichnis</w:t>
          </w:r>
        </w:p>
        <w:p w14:paraId="28769555" w14:textId="77777777" w:rsidR="004E200E" w:rsidRDefault="004E200E" w:rsidP="004E200E">
          <w:pPr>
            <w:pStyle w:val="Verzeichnis1"/>
            <w:rPr>
              <w:rFonts w:asciiTheme="minorHAnsi" w:eastAsiaTheme="minorEastAsia" w:hAnsiTheme="minorHAnsi" w:cstheme="minorBidi"/>
              <w:b w:val="0"/>
              <w:noProof/>
              <w:color w:val="auto"/>
              <w:sz w:val="22"/>
              <w:szCs w:val="22"/>
            </w:rPr>
          </w:pPr>
          <w:r>
            <w:fldChar w:fldCharType="begin"/>
          </w:r>
          <w:r>
            <w:instrText xml:space="preserve"> TOC \o "1-3" \h \z \u </w:instrText>
          </w:r>
          <w:r>
            <w:fldChar w:fldCharType="separate"/>
          </w:r>
          <w:hyperlink w:anchor="_Toc137711747" w:history="1">
            <w:r w:rsidRPr="00907218">
              <w:rPr>
                <w:rStyle w:val="Hyperlink"/>
                <w:rFonts w:cstheme="minorHAnsi"/>
                <w:noProof/>
              </w:rPr>
              <w:t>1</w:t>
            </w:r>
            <w:r>
              <w:rPr>
                <w:rFonts w:asciiTheme="minorHAnsi" w:eastAsiaTheme="minorEastAsia" w:hAnsiTheme="minorHAnsi" w:cstheme="minorBidi"/>
                <w:b w:val="0"/>
                <w:noProof/>
                <w:color w:val="auto"/>
                <w:sz w:val="22"/>
                <w:szCs w:val="22"/>
              </w:rPr>
              <w:tab/>
            </w:r>
            <w:r w:rsidRPr="00907218">
              <w:rPr>
                <w:rStyle w:val="Hyperlink"/>
                <w:rFonts w:cstheme="minorHAnsi"/>
                <w:noProof/>
              </w:rPr>
              <w:t>Zielsetzung/ Zielergebnisse</w:t>
            </w:r>
            <w:r>
              <w:rPr>
                <w:noProof/>
                <w:webHidden/>
              </w:rPr>
              <w:tab/>
            </w:r>
            <w:r>
              <w:rPr>
                <w:noProof/>
                <w:webHidden/>
              </w:rPr>
              <w:fldChar w:fldCharType="begin"/>
            </w:r>
            <w:r>
              <w:rPr>
                <w:noProof/>
                <w:webHidden/>
              </w:rPr>
              <w:instrText xml:space="preserve"> PAGEREF _Toc137711747 \h </w:instrText>
            </w:r>
            <w:r>
              <w:rPr>
                <w:noProof/>
                <w:webHidden/>
              </w:rPr>
            </w:r>
            <w:r>
              <w:rPr>
                <w:noProof/>
                <w:webHidden/>
              </w:rPr>
              <w:fldChar w:fldCharType="separate"/>
            </w:r>
            <w:r>
              <w:rPr>
                <w:noProof/>
                <w:webHidden/>
              </w:rPr>
              <w:t>1</w:t>
            </w:r>
            <w:r>
              <w:rPr>
                <w:noProof/>
                <w:webHidden/>
              </w:rPr>
              <w:fldChar w:fldCharType="end"/>
            </w:r>
          </w:hyperlink>
        </w:p>
        <w:p w14:paraId="684BA1D6" w14:textId="77777777" w:rsidR="004E200E" w:rsidRDefault="007833DD" w:rsidP="004E200E">
          <w:pPr>
            <w:pStyle w:val="Verzeichnis1"/>
            <w:rPr>
              <w:rFonts w:asciiTheme="minorHAnsi" w:eastAsiaTheme="minorEastAsia" w:hAnsiTheme="minorHAnsi" w:cstheme="minorBidi"/>
              <w:b w:val="0"/>
              <w:noProof/>
              <w:color w:val="auto"/>
              <w:sz w:val="22"/>
              <w:szCs w:val="22"/>
            </w:rPr>
          </w:pPr>
          <w:hyperlink w:anchor="_Toc137711748" w:history="1">
            <w:r w:rsidR="004E200E" w:rsidRPr="00907218">
              <w:rPr>
                <w:rStyle w:val="Hyperlink"/>
                <w:rFonts w:cstheme="minorHAnsi"/>
                <w:noProof/>
              </w:rPr>
              <w:t>2</w:t>
            </w:r>
            <w:r w:rsidR="004E200E">
              <w:rPr>
                <w:rFonts w:asciiTheme="minorHAnsi" w:eastAsiaTheme="minorEastAsia" w:hAnsiTheme="minorHAnsi" w:cstheme="minorBidi"/>
                <w:b w:val="0"/>
                <w:noProof/>
                <w:color w:val="auto"/>
                <w:sz w:val="22"/>
                <w:szCs w:val="22"/>
              </w:rPr>
              <w:tab/>
            </w:r>
            <w:r w:rsidR="004E200E" w:rsidRPr="00907218">
              <w:rPr>
                <w:rStyle w:val="Hyperlink"/>
                <w:rFonts w:cstheme="minorHAnsi"/>
                <w:noProof/>
              </w:rPr>
              <w:t>Methodik</w:t>
            </w:r>
            <w:r w:rsidR="004E200E">
              <w:rPr>
                <w:noProof/>
                <w:webHidden/>
              </w:rPr>
              <w:tab/>
            </w:r>
            <w:r w:rsidR="004E200E">
              <w:rPr>
                <w:noProof/>
                <w:webHidden/>
              </w:rPr>
              <w:fldChar w:fldCharType="begin"/>
            </w:r>
            <w:r w:rsidR="004E200E">
              <w:rPr>
                <w:noProof/>
                <w:webHidden/>
              </w:rPr>
              <w:instrText xml:space="preserve"> PAGEREF _Toc137711748 \h </w:instrText>
            </w:r>
            <w:r w:rsidR="004E200E">
              <w:rPr>
                <w:noProof/>
                <w:webHidden/>
              </w:rPr>
            </w:r>
            <w:r w:rsidR="004E200E">
              <w:rPr>
                <w:noProof/>
                <w:webHidden/>
              </w:rPr>
              <w:fldChar w:fldCharType="separate"/>
            </w:r>
            <w:r w:rsidR="004E200E">
              <w:rPr>
                <w:noProof/>
                <w:webHidden/>
              </w:rPr>
              <w:t>2</w:t>
            </w:r>
            <w:r w:rsidR="004E200E">
              <w:rPr>
                <w:noProof/>
                <w:webHidden/>
              </w:rPr>
              <w:fldChar w:fldCharType="end"/>
            </w:r>
          </w:hyperlink>
        </w:p>
        <w:p w14:paraId="388C8548" w14:textId="77777777" w:rsidR="004E200E" w:rsidRDefault="007833DD" w:rsidP="004E200E">
          <w:pPr>
            <w:pStyle w:val="Verzeichnis2"/>
            <w:rPr>
              <w:rFonts w:asciiTheme="minorHAnsi" w:eastAsiaTheme="minorEastAsia" w:hAnsiTheme="minorHAnsi" w:cstheme="minorBidi"/>
              <w:noProof/>
              <w:color w:val="auto"/>
              <w:sz w:val="22"/>
              <w:szCs w:val="22"/>
            </w:rPr>
          </w:pPr>
          <w:hyperlink w:anchor="_Toc137711749" w:history="1">
            <w:r w:rsidR="004E200E" w:rsidRPr="00907218">
              <w:rPr>
                <w:rStyle w:val="Hyperlink"/>
                <w:rFonts w:cstheme="minorHAnsi"/>
                <w:noProof/>
              </w:rPr>
              <w:t>2.1</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rPr>
              <w:t>Baumbestand</w:t>
            </w:r>
            <w:r w:rsidR="004E200E">
              <w:rPr>
                <w:noProof/>
                <w:webHidden/>
              </w:rPr>
              <w:tab/>
            </w:r>
            <w:r w:rsidR="004E200E">
              <w:rPr>
                <w:noProof/>
                <w:webHidden/>
              </w:rPr>
              <w:fldChar w:fldCharType="begin"/>
            </w:r>
            <w:r w:rsidR="004E200E">
              <w:rPr>
                <w:noProof/>
                <w:webHidden/>
              </w:rPr>
              <w:instrText xml:space="preserve"> PAGEREF _Toc137711749 \h </w:instrText>
            </w:r>
            <w:r w:rsidR="004E200E">
              <w:rPr>
                <w:noProof/>
                <w:webHidden/>
              </w:rPr>
            </w:r>
            <w:r w:rsidR="004E200E">
              <w:rPr>
                <w:noProof/>
                <w:webHidden/>
              </w:rPr>
              <w:fldChar w:fldCharType="separate"/>
            </w:r>
            <w:r w:rsidR="004E200E">
              <w:rPr>
                <w:noProof/>
                <w:webHidden/>
              </w:rPr>
              <w:t>2</w:t>
            </w:r>
            <w:r w:rsidR="004E200E">
              <w:rPr>
                <w:noProof/>
                <w:webHidden/>
              </w:rPr>
              <w:fldChar w:fldCharType="end"/>
            </w:r>
          </w:hyperlink>
        </w:p>
        <w:p w14:paraId="01E1DC46" w14:textId="77777777" w:rsidR="004E200E" w:rsidRDefault="007833DD" w:rsidP="004E200E">
          <w:pPr>
            <w:pStyle w:val="Verzeichnis3"/>
            <w:rPr>
              <w:rFonts w:asciiTheme="minorHAnsi" w:eastAsiaTheme="minorEastAsia" w:hAnsiTheme="minorHAnsi" w:cstheme="minorBidi"/>
              <w:noProof/>
              <w:color w:val="auto"/>
              <w:sz w:val="22"/>
              <w:szCs w:val="22"/>
            </w:rPr>
          </w:pPr>
          <w:hyperlink w:anchor="_Toc137711750" w:history="1">
            <w:r w:rsidR="004E200E" w:rsidRPr="00907218">
              <w:rPr>
                <w:rStyle w:val="Hyperlink"/>
                <w:rFonts w:cstheme="minorHAnsi"/>
                <w:noProof/>
              </w:rPr>
              <w:t>2.1.1</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rPr>
              <w:t>Schätzen fehlender Höhen</w:t>
            </w:r>
            <w:r w:rsidR="004E200E">
              <w:rPr>
                <w:noProof/>
                <w:webHidden/>
              </w:rPr>
              <w:tab/>
            </w:r>
            <w:r w:rsidR="004E200E">
              <w:rPr>
                <w:noProof/>
                <w:webHidden/>
              </w:rPr>
              <w:fldChar w:fldCharType="begin"/>
            </w:r>
            <w:r w:rsidR="004E200E">
              <w:rPr>
                <w:noProof/>
                <w:webHidden/>
              </w:rPr>
              <w:instrText xml:space="preserve"> PAGEREF _Toc137711750 \h </w:instrText>
            </w:r>
            <w:r w:rsidR="004E200E">
              <w:rPr>
                <w:noProof/>
                <w:webHidden/>
              </w:rPr>
            </w:r>
            <w:r w:rsidR="004E200E">
              <w:rPr>
                <w:noProof/>
                <w:webHidden/>
              </w:rPr>
              <w:fldChar w:fldCharType="separate"/>
            </w:r>
            <w:r w:rsidR="004E200E">
              <w:rPr>
                <w:noProof/>
                <w:webHidden/>
              </w:rPr>
              <w:t>3</w:t>
            </w:r>
            <w:r w:rsidR="004E200E">
              <w:rPr>
                <w:noProof/>
                <w:webHidden/>
              </w:rPr>
              <w:fldChar w:fldCharType="end"/>
            </w:r>
          </w:hyperlink>
        </w:p>
        <w:p w14:paraId="50CC16FC" w14:textId="77777777" w:rsidR="004E200E" w:rsidRDefault="007833DD" w:rsidP="004E200E">
          <w:pPr>
            <w:pStyle w:val="Verzeichnis3"/>
            <w:rPr>
              <w:rFonts w:asciiTheme="minorHAnsi" w:eastAsiaTheme="minorEastAsia" w:hAnsiTheme="minorHAnsi" w:cstheme="minorBidi"/>
              <w:noProof/>
              <w:color w:val="auto"/>
              <w:sz w:val="22"/>
              <w:szCs w:val="22"/>
            </w:rPr>
          </w:pPr>
          <w:hyperlink w:anchor="_Toc137711751" w:history="1">
            <w:r w:rsidR="004E200E" w:rsidRPr="00907218">
              <w:rPr>
                <w:rStyle w:val="Hyperlink"/>
                <w:rFonts w:cstheme="minorHAnsi"/>
                <w:noProof/>
              </w:rPr>
              <w:t>2.1.2</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rPr>
              <w:t>Schätzung der fehlenden Durchmesser</w:t>
            </w:r>
            <w:r w:rsidR="004E200E">
              <w:rPr>
                <w:noProof/>
                <w:webHidden/>
              </w:rPr>
              <w:tab/>
            </w:r>
            <w:r w:rsidR="004E200E">
              <w:rPr>
                <w:noProof/>
                <w:webHidden/>
              </w:rPr>
              <w:fldChar w:fldCharType="begin"/>
            </w:r>
            <w:r w:rsidR="004E200E">
              <w:rPr>
                <w:noProof/>
                <w:webHidden/>
              </w:rPr>
              <w:instrText xml:space="preserve"> PAGEREF _Toc137711751 \h </w:instrText>
            </w:r>
            <w:r w:rsidR="004E200E">
              <w:rPr>
                <w:noProof/>
                <w:webHidden/>
              </w:rPr>
            </w:r>
            <w:r w:rsidR="004E200E">
              <w:rPr>
                <w:noProof/>
                <w:webHidden/>
              </w:rPr>
              <w:fldChar w:fldCharType="separate"/>
            </w:r>
            <w:r w:rsidR="004E200E">
              <w:rPr>
                <w:noProof/>
                <w:webHidden/>
              </w:rPr>
              <w:t>7</w:t>
            </w:r>
            <w:r w:rsidR="004E200E">
              <w:rPr>
                <w:noProof/>
                <w:webHidden/>
              </w:rPr>
              <w:fldChar w:fldCharType="end"/>
            </w:r>
          </w:hyperlink>
        </w:p>
        <w:p w14:paraId="409AAC2C" w14:textId="77777777" w:rsidR="004E200E" w:rsidRDefault="007833DD" w:rsidP="004E200E">
          <w:pPr>
            <w:pStyle w:val="Verzeichnis3"/>
            <w:rPr>
              <w:rFonts w:asciiTheme="minorHAnsi" w:eastAsiaTheme="minorEastAsia" w:hAnsiTheme="minorHAnsi" w:cstheme="minorBidi"/>
              <w:noProof/>
              <w:color w:val="auto"/>
              <w:sz w:val="22"/>
              <w:szCs w:val="22"/>
            </w:rPr>
          </w:pPr>
          <w:hyperlink w:anchor="_Toc137711752" w:history="1">
            <w:r w:rsidR="004E200E" w:rsidRPr="00907218">
              <w:rPr>
                <w:rStyle w:val="Hyperlink"/>
                <w:rFonts w:cstheme="minorHAnsi"/>
                <w:noProof/>
              </w:rPr>
              <w:t>2.1.3</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rPr>
              <w:t>Einteilung in die Baumartengruppen der Biomassefunktionen</w:t>
            </w:r>
            <w:r w:rsidR="004E200E">
              <w:rPr>
                <w:noProof/>
                <w:webHidden/>
              </w:rPr>
              <w:tab/>
            </w:r>
            <w:r w:rsidR="004E200E">
              <w:rPr>
                <w:noProof/>
                <w:webHidden/>
              </w:rPr>
              <w:fldChar w:fldCharType="begin"/>
            </w:r>
            <w:r w:rsidR="004E200E">
              <w:rPr>
                <w:noProof/>
                <w:webHidden/>
              </w:rPr>
              <w:instrText xml:space="preserve"> PAGEREF _Toc137711752 \h </w:instrText>
            </w:r>
            <w:r w:rsidR="004E200E">
              <w:rPr>
                <w:noProof/>
                <w:webHidden/>
              </w:rPr>
            </w:r>
            <w:r w:rsidR="004E200E">
              <w:rPr>
                <w:noProof/>
                <w:webHidden/>
              </w:rPr>
              <w:fldChar w:fldCharType="separate"/>
            </w:r>
            <w:r w:rsidR="004E200E">
              <w:rPr>
                <w:noProof/>
                <w:webHidden/>
              </w:rPr>
              <w:t>9</w:t>
            </w:r>
            <w:r w:rsidR="004E200E">
              <w:rPr>
                <w:noProof/>
                <w:webHidden/>
              </w:rPr>
              <w:fldChar w:fldCharType="end"/>
            </w:r>
          </w:hyperlink>
        </w:p>
        <w:p w14:paraId="08CBF0AD" w14:textId="77777777" w:rsidR="004E200E" w:rsidRDefault="007833DD" w:rsidP="004E200E">
          <w:pPr>
            <w:pStyle w:val="Verzeichnis3"/>
            <w:rPr>
              <w:rFonts w:asciiTheme="minorHAnsi" w:eastAsiaTheme="minorEastAsia" w:hAnsiTheme="minorHAnsi" w:cstheme="minorBidi"/>
              <w:noProof/>
              <w:color w:val="auto"/>
              <w:sz w:val="22"/>
              <w:szCs w:val="22"/>
            </w:rPr>
          </w:pPr>
          <w:hyperlink w:anchor="_Toc137711753" w:history="1">
            <w:r w:rsidR="004E200E" w:rsidRPr="00907218">
              <w:rPr>
                <w:rStyle w:val="Hyperlink"/>
                <w:rFonts w:cstheme="minorHAnsi"/>
                <w:noProof/>
              </w:rPr>
              <w:t>2.1.4</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shd w:val="clear" w:color="auto" w:fill="FFFFFF"/>
              </w:rPr>
              <w:t>Umgang mit fehlender Kompartimentierung in den Biomassefunktionen von Röhling et al</w:t>
            </w:r>
            <w:r w:rsidR="004E200E">
              <w:rPr>
                <w:noProof/>
                <w:webHidden/>
              </w:rPr>
              <w:tab/>
            </w:r>
            <w:r w:rsidR="004E200E">
              <w:rPr>
                <w:noProof/>
                <w:webHidden/>
              </w:rPr>
              <w:fldChar w:fldCharType="begin"/>
            </w:r>
            <w:r w:rsidR="004E200E">
              <w:rPr>
                <w:noProof/>
                <w:webHidden/>
              </w:rPr>
              <w:instrText xml:space="preserve"> PAGEREF _Toc137711753 \h </w:instrText>
            </w:r>
            <w:r w:rsidR="004E200E">
              <w:rPr>
                <w:noProof/>
                <w:webHidden/>
              </w:rPr>
            </w:r>
            <w:r w:rsidR="004E200E">
              <w:rPr>
                <w:noProof/>
                <w:webHidden/>
              </w:rPr>
              <w:fldChar w:fldCharType="separate"/>
            </w:r>
            <w:r w:rsidR="004E200E">
              <w:rPr>
                <w:noProof/>
                <w:webHidden/>
              </w:rPr>
              <w:t>9</w:t>
            </w:r>
            <w:r w:rsidR="004E200E">
              <w:rPr>
                <w:noProof/>
                <w:webHidden/>
              </w:rPr>
              <w:fldChar w:fldCharType="end"/>
            </w:r>
          </w:hyperlink>
        </w:p>
        <w:p w14:paraId="12DCC46A" w14:textId="77777777" w:rsidR="004E200E" w:rsidRDefault="007833DD" w:rsidP="004E200E">
          <w:pPr>
            <w:pStyle w:val="Verzeichnis3"/>
            <w:rPr>
              <w:rFonts w:asciiTheme="minorHAnsi" w:eastAsiaTheme="minorEastAsia" w:hAnsiTheme="minorHAnsi" w:cstheme="minorBidi"/>
              <w:noProof/>
              <w:color w:val="auto"/>
              <w:sz w:val="22"/>
              <w:szCs w:val="22"/>
            </w:rPr>
          </w:pPr>
          <w:hyperlink w:anchor="_Toc137711754" w:history="1">
            <w:r w:rsidR="004E200E" w:rsidRPr="00907218">
              <w:rPr>
                <w:rStyle w:val="Hyperlink"/>
                <w:rFonts w:cstheme="minorHAnsi"/>
                <w:noProof/>
              </w:rPr>
              <w:t>2.1.5</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shd w:val="clear" w:color="auto" w:fill="FFFFFF"/>
              </w:rPr>
              <w:t>Berechnung unterirdische Biomasse</w:t>
            </w:r>
            <w:r w:rsidR="004E200E">
              <w:rPr>
                <w:noProof/>
                <w:webHidden/>
              </w:rPr>
              <w:tab/>
            </w:r>
            <w:r w:rsidR="004E200E">
              <w:rPr>
                <w:noProof/>
                <w:webHidden/>
              </w:rPr>
              <w:fldChar w:fldCharType="begin"/>
            </w:r>
            <w:r w:rsidR="004E200E">
              <w:rPr>
                <w:noProof/>
                <w:webHidden/>
              </w:rPr>
              <w:instrText xml:space="preserve"> PAGEREF _Toc137711754 \h </w:instrText>
            </w:r>
            <w:r w:rsidR="004E200E">
              <w:rPr>
                <w:noProof/>
                <w:webHidden/>
              </w:rPr>
            </w:r>
            <w:r w:rsidR="004E200E">
              <w:rPr>
                <w:noProof/>
                <w:webHidden/>
              </w:rPr>
              <w:fldChar w:fldCharType="separate"/>
            </w:r>
            <w:r w:rsidR="004E200E">
              <w:rPr>
                <w:noProof/>
                <w:webHidden/>
              </w:rPr>
              <w:t>15</w:t>
            </w:r>
            <w:r w:rsidR="004E200E">
              <w:rPr>
                <w:noProof/>
                <w:webHidden/>
              </w:rPr>
              <w:fldChar w:fldCharType="end"/>
            </w:r>
          </w:hyperlink>
        </w:p>
        <w:p w14:paraId="3A67C663" w14:textId="77777777" w:rsidR="004E200E" w:rsidRDefault="007833DD" w:rsidP="004E200E">
          <w:pPr>
            <w:pStyle w:val="Verzeichnis3"/>
            <w:rPr>
              <w:rFonts w:asciiTheme="minorHAnsi" w:eastAsiaTheme="minorEastAsia" w:hAnsiTheme="minorHAnsi" w:cstheme="minorBidi"/>
              <w:noProof/>
              <w:color w:val="auto"/>
              <w:sz w:val="22"/>
              <w:szCs w:val="22"/>
            </w:rPr>
          </w:pPr>
          <w:hyperlink w:anchor="_Toc137711755" w:history="1">
            <w:r w:rsidR="004E200E" w:rsidRPr="00907218">
              <w:rPr>
                <w:rStyle w:val="Hyperlink"/>
                <w:rFonts w:cstheme="minorHAnsi"/>
                <w:noProof/>
              </w:rPr>
              <w:t>2.1.6</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rPr>
              <w:t>Berechnung Kohlenstoff</w:t>
            </w:r>
            <w:r w:rsidR="004E200E">
              <w:rPr>
                <w:noProof/>
                <w:webHidden/>
              </w:rPr>
              <w:tab/>
            </w:r>
            <w:r w:rsidR="004E200E">
              <w:rPr>
                <w:noProof/>
                <w:webHidden/>
              </w:rPr>
              <w:fldChar w:fldCharType="begin"/>
            </w:r>
            <w:r w:rsidR="004E200E">
              <w:rPr>
                <w:noProof/>
                <w:webHidden/>
              </w:rPr>
              <w:instrText xml:space="preserve"> PAGEREF _Toc137711755 \h </w:instrText>
            </w:r>
            <w:r w:rsidR="004E200E">
              <w:rPr>
                <w:noProof/>
                <w:webHidden/>
              </w:rPr>
            </w:r>
            <w:r w:rsidR="004E200E">
              <w:rPr>
                <w:noProof/>
                <w:webHidden/>
              </w:rPr>
              <w:fldChar w:fldCharType="separate"/>
            </w:r>
            <w:r w:rsidR="004E200E">
              <w:rPr>
                <w:noProof/>
                <w:webHidden/>
              </w:rPr>
              <w:t>16</w:t>
            </w:r>
            <w:r w:rsidR="004E200E">
              <w:rPr>
                <w:noProof/>
                <w:webHidden/>
              </w:rPr>
              <w:fldChar w:fldCharType="end"/>
            </w:r>
          </w:hyperlink>
        </w:p>
        <w:p w14:paraId="3A32A06D" w14:textId="77777777" w:rsidR="004E200E" w:rsidRDefault="007833DD" w:rsidP="004E200E">
          <w:pPr>
            <w:pStyle w:val="Verzeichnis3"/>
            <w:rPr>
              <w:rFonts w:asciiTheme="minorHAnsi" w:eastAsiaTheme="minorEastAsia" w:hAnsiTheme="minorHAnsi" w:cstheme="minorBidi"/>
              <w:noProof/>
              <w:color w:val="auto"/>
              <w:sz w:val="22"/>
              <w:szCs w:val="22"/>
            </w:rPr>
          </w:pPr>
          <w:hyperlink w:anchor="_Toc137711756" w:history="1">
            <w:r w:rsidR="004E200E" w:rsidRPr="00907218">
              <w:rPr>
                <w:rStyle w:val="Hyperlink"/>
                <w:rFonts w:cstheme="minorHAnsi"/>
                <w:noProof/>
              </w:rPr>
              <w:t>2.1.7</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shd w:val="clear" w:color="auto" w:fill="FFFD59"/>
              </w:rPr>
              <w:t>Berechnung Stickstoffvorrat / andere Elemente</w:t>
            </w:r>
            <w:r w:rsidR="004E200E">
              <w:rPr>
                <w:noProof/>
                <w:webHidden/>
              </w:rPr>
              <w:tab/>
            </w:r>
            <w:r w:rsidR="004E200E">
              <w:rPr>
                <w:noProof/>
                <w:webHidden/>
              </w:rPr>
              <w:fldChar w:fldCharType="begin"/>
            </w:r>
            <w:r w:rsidR="004E200E">
              <w:rPr>
                <w:noProof/>
                <w:webHidden/>
              </w:rPr>
              <w:instrText xml:space="preserve"> PAGEREF _Toc137711756 \h </w:instrText>
            </w:r>
            <w:r w:rsidR="004E200E">
              <w:rPr>
                <w:noProof/>
                <w:webHidden/>
              </w:rPr>
            </w:r>
            <w:r w:rsidR="004E200E">
              <w:rPr>
                <w:noProof/>
                <w:webHidden/>
              </w:rPr>
              <w:fldChar w:fldCharType="separate"/>
            </w:r>
            <w:r w:rsidR="004E200E">
              <w:rPr>
                <w:noProof/>
                <w:webHidden/>
              </w:rPr>
              <w:t>16</w:t>
            </w:r>
            <w:r w:rsidR="004E200E">
              <w:rPr>
                <w:noProof/>
                <w:webHidden/>
              </w:rPr>
              <w:fldChar w:fldCharType="end"/>
            </w:r>
          </w:hyperlink>
        </w:p>
        <w:p w14:paraId="434154FB" w14:textId="77777777" w:rsidR="004E200E" w:rsidRDefault="007833DD" w:rsidP="004E200E">
          <w:pPr>
            <w:pStyle w:val="Verzeichnis2"/>
            <w:rPr>
              <w:rFonts w:asciiTheme="minorHAnsi" w:eastAsiaTheme="minorEastAsia" w:hAnsiTheme="minorHAnsi" w:cstheme="minorBidi"/>
              <w:noProof/>
              <w:color w:val="auto"/>
              <w:sz w:val="22"/>
              <w:szCs w:val="22"/>
            </w:rPr>
          </w:pPr>
          <w:hyperlink w:anchor="_Toc137711757" w:history="1">
            <w:r w:rsidR="004E200E" w:rsidRPr="00907218">
              <w:rPr>
                <w:rStyle w:val="Hyperlink"/>
                <w:rFonts w:cstheme="minorHAnsi"/>
                <w:noProof/>
              </w:rPr>
              <w:t>2.2</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shd w:val="clear" w:color="auto" w:fill="FFFFFF"/>
              </w:rPr>
              <w:t>Totholz</w:t>
            </w:r>
            <w:r w:rsidR="004E200E">
              <w:rPr>
                <w:noProof/>
                <w:webHidden/>
              </w:rPr>
              <w:tab/>
            </w:r>
            <w:r w:rsidR="004E200E">
              <w:rPr>
                <w:noProof/>
                <w:webHidden/>
              </w:rPr>
              <w:fldChar w:fldCharType="begin"/>
            </w:r>
            <w:r w:rsidR="004E200E">
              <w:rPr>
                <w:noProof/>
                <w:webHidden/>
              </w:rPr>
              <w:instrText xml:space="preserve"> PAGEREF _Toc137711757 \h </w:instrText>
            </w:r>
            <w:r w:rsidR="004E200E">
              <w:rPr>
                <w:noProof/>
                <w:webHidden/>
              </w:rPr>
            </w:r>
            <w:r w:rsidR="004E200E">
              <w:rPr>
                <w:noProof/>
                <w:webHidden/>
              </w:rPr>
              <w:fldChar w:fldCharType="separate"/>
            </w:r>
            <w:r w:rsidR="004E200E">
              <w:rPr>
                <w:noProof/>
                <w:webHidden/>
              </w:rPr>
              <w:t>20</w:t>
            </w:r>
            <w:r w:rsidR="004E200E">
              <w:rPr>
                <w:noProof/>
                <w:webHidden/>
              </w:rPr>
              <w:fldChar w:fldCharType="end"/>
            </w:r>
          </w:hyperlink>
        </w:p>
        <w:p w14:paraId="3C6603CA" w14:textId="77777777" w:rsidR="004E200E" w:rsidRDefault="007833DD" w:rsidP="004E200E">
          <w:pPr>
            <w:pStyle w:val="Verzeichnis3"/>
            <w:rPr>
              <w:rFonts w:asciiTheme="minorHAnsi" w:eastAsiaTheme="minorEastAsia" w:hAnsiTheme="minorHAnsi" w:cstheme="minorBidi"/>
              <w:noProof/>
              <w:color w:val="auto"/>
              <w:sz w:val="22"/>
              <w:szCs w:val="22"/>
            </w:rPr>
          </w:pPr>
          <w:hyperlink w:anchor="_Toc137711758" w:history="1">
            <w:r w:rsidR="004E200E" w:rsidRPr="00907218">
              <w:rPr>
                <w:rStyle w:val="Hyperlink"/>
                <w:rFonts w:cstheme="minorHAnsi"/>
                <w:noProof/>
              </w:rPr>
              <w:t>2.2.1</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rPr>
              <w:t>Volumen</w:t>
            </w:r>
            <w:r w:rsidR="004E200E">
              <w:rPr>
                <w:noProof/>
                <w:webHidden/>
              </w:rPr>
              <w:tab/>
            </w:r>
            <w:r w:rsidR="004E200E">
              <w:rPr>
                <w:noProof/>
                <w:webHidden/>
              </w:rPr>
              <w:fldChar w:fldCharType="begin"/>
            </w:r>
            <w:r w:rsidR="004E200E">
              <w:rPr>
                <w:noProof/>
                <w:webHidden/>
              </w:rPr>
              <w:instrText xml:space="preserve"> PAGEREF _Toc137711758 \h </w:instrText>
            </w:r>
            <w:r w:rsidR="004E200E">
              <w:rPr>
                <w:noProof/>
                <w:webHidden/>
              </w:rPr>
            </w:r>
            <w:r w:rsidR="004E200E">
              <w:rPr>
                <w:noProof/>
                <w:webHidden/>
              </w:rPr>
              <w:fldChar w:fldCharType="separate"/>
            </w:r>
            <w:r w:rsidR="004E200E">
              <w:rPr>
                <w:noProof/>
                <w:webHidden/>
              </w:rPr>
              <w:t>20</w:t>
            </w:r>
            <w:r w:rsidR="004E200E">
              <w:rPr>
                <w:noProof/>
                <w:webHidden/>
              </w:rPr>
              <w:fldChar w:fldCharType="end"/>
            </w:r>
          </w:hyperlink>
        </w:p>
        <w:p w14:paraId="30AC37B9" w14:textId="77777777" w:rsidR="004E200E" w:rsidRDefault="007833DD" w:rsidP="004E200E">
          <w:pPr>
            <w:pStyle w:val="Verzeichnis3"/>
            <w:rPr>
              <w:rFonts w:asciiTheme="minorHAnsi" w:eastAsiaTheme="minorEastAsia" w:hAnsiTheme="minorHAnsi" w:cstheme="minorBidi"/>
              <w:noProof/>
              <w:color w:val="auto"/>
              <w:sz w:val="22"/>
              <w:szCs w:val="22"/>
            </w:rPr>
          </w:pPr>
          <w:hyperlink w:anchor="_Toc137711759" w:history="1">
            <w:r w:rsidR="004E200E" w:rsidRPr="00907218">
              <w:rPr>
                <w:rStyle w:val="Hyperlink"/>
                <w:rFonts w:cstheme="minorHAnsi"/>
                <w:noProof/>
              </w:rPr>
              <w:t>2.2.2</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rPr>
              <w:t>Artengruppen</w:t>
            </w:r>
            <w:r w:rsidR="004E200E">
              <w:rPr>
                <w:noProof/>
                <w:webHidden/>
              </w:rPr>
              <w:tab/>
            </w:r>
            <w:r w:rsidR="004E200E">
              <w:rPr>
                <w:noProof/>
                <w:webHidden/>
              </w:rPr>
              <w:fldChar w:fldCharType="begin"/>
            </w:r>
            <w:r w:rsidR="004E200E">
              <w:rPr>
                <w:noProof/>
                <w:webHidden/>
              </w:rPr>
              <w:instrText xml:space="preserve"> PAGEREF _Toc137711759 \h </w:instrText>
            </w:r>
            <w:r w:rsidR="004E200E">
              <w:rPr>
                <w:noProof/>
                <w:webHidden/>
              </w:rPr>
            </w:r>
            <w:r w:rsidR="004E200E">
              <w:rPr>
                <w:noProof/>
                <w:webHidden/>
              </w:rPr>
              <w:fldChar w:fldCharType="separate"/>
            </w:r>
            <w:r w:rsidR="004E200E">
              <w:rPr>
                <w:noProof/>
                <w:webHidden/>
              </w:rPr>
              <w:t>22</w:t>
            </w:r>
            <w:r w:rsidR="004E200E">
              <w:rPr>
                <w:noProof/>
                <w:webHidden/>
              </w:rPr>
              <w:fldChar w:fldCharType="end"/>
            </w:r>
          </w:hyperlink>
        </w:p>
        <w:p w14:paraId="59E277CB" w14:textId="77777777" w:rsidR="004E200E" w:rsidRDefault="007833DD" w:rsidP="004E200E">
          <w:pPr>
            <w:pStyle w:val="Verzeichnis3"/>
            <w:rPr>
              <w:rFonts w:asciiTheme="minorHAnsi" w:eastAsiaTheme="minorEastAsia" w:hAnsiTheme="minorHAnsi" w:cstheme="minorBidi"/>
              <w:noProof/>
              <w:color w:val="auto"/>
              <w:sz w:val="22"/>
              <w:szCs w:val="22"/>
            </w:rPr>
          </w:pPr>
          <w:hyperlink w:anchor="_Toc137711760" w:history="1">
            <w:r w:rsidR="004E200E" w:rsidRPr="00907218">
              <w:rPr>
                <w:rStyle w:val="Hyperlink"/>
                <w:rFonts w:cstheme="minorHAnsi"/>
                <w:noProof/>
              </w:rPr>
              <w:t>2.2.3</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rPr>
              <w:t>Zersetzungsgrad</w:t>
            </w:r>
            <w:r w:rsidR="004E200E">
              <w:rPr>
                <w:noProof/>
                <w:webHidden/>
              </w:rPr>
              <w:tab/>
            </w:r>
            <w:r w:rsidR="004E200E">
              <w:rPr>
                <w:noProof/>
                <w:webHidden/>
              </w:rPr>
              <w:fldChar w:fldCharType="begin"/>
            </w:r>
            <w:r w:rsidR="004E200E">
              <w:rPr>
                <w:noProof/>
                <w:webHidden/>
              </w:rPr>
              <w:instrText xml:space="preserve"> PAGEREF _Toc137711760 \h </w:instrText>
            </w:r>
            <w:r w:rsidR="004E200E">
              <w:rPr>
                <w:noProof/>
                <w:webHidden/>
              </w:rPr>
            </w:r>
            <w:r w:rsidR="004E200E">
              <w:rPr>
                <w:noProof/>
                <w:webHidden/>
              </w:rPr>
              <w:fldChar w:fldCharType="separate"/>
            </w:r>
            <w:r w:rsidR="004E200E">
              <w:rPr>
                <w:noProof/>
                <w:webHidden/>
              </w:rPr>
              <w:t>22</w:t>
            </w:r>
            <w:r w:rsidR="004E200E">
              <w:rPr>
                <w:noProof/>
                <w:webHidden/>
              </w:rPr>
              <w:fldChar w:fldCharType="end"/>
            </w:r>
          </w:hyperlink>
        </w:p>
        <w:p w14:paraId="601A7A70" w14:textId="77777777" w:rsidR="004E200E" w:rsidRDefault="007833DD" w:rsidP="004E200E">
          <w:pPr>
            <w:pStyle w:val="Verzeichnis3"/>
            <w:rPr>
              <w:rFonts w:asciiTheme="minorHAnsi" w:eastAsiaTheme="minorEastAsia" w:hAnsiTheme="minorHAnsi" w:cstheme="minorBidi"/>
              <w:noProof/>
              <w:color w:val="auto"/>
              <w:sz w:val="22"/>
              <w:szCs w:val="22"/>
            </w:rPr>
          </w:pPr>
          <w:hyperlink w:anchor="_Toc137711761" w:history="1">
            <w:r w:rsidR="004E200E" w:rsidRPr="00907218">
              <w:rPr>
                <w:rStyle w:val="Hyperlink"/>
                <w:noProof/>
              </w:rPr>
              <w:t>2.2.4</w:t>
            </w:r>
            <w:r w:rsidR="004E200E">
              <w:rPr>
                <w:rFonts w:asciiTheme="minorHAnsi" w:eastAsiaTheme="minorEastAsia" w:hAnsiTheme="minorHAnsi" w:cstheme="minorBidi"/>
                <w:noProof/>
                <w:color w:val="auto"/>
                <w:sz w:val="22"/>
                <w:szCs w:val="22"/>
              </w:rPr>
              <w:tab/>
            </w:r>
            <w:r w:rsidR="004E200E" w:rsidRPr="00907218">
              <w:rPr>
                <w:rStyle w:val="Hyperlink"/>
                <w:noProof/>
              </w:rPr>
              <w:t>Totholzdichte</w:t>
            </w:r>
            <w:r w:rsidR="004E200E">
              <w:rPr>
                <w:noProof/>
                <w:webHidden/>
              </w:rPr>
              <w:tab/>
            </w:r>
            <w:r w:rsidR="004E200E">
              <w:rPr>
                <w:noProof/>
                <w:webHidden/>
              </w:rPr>
              <w:fldChar w:fldCharType="begin"/>
            </w:r>
            <w:r w:rsidR="004E200E">
              <w:rPr>
                <w:noProof/>
                <w:webHidden/>
              </w:rPr>
              <w:instrText xml:space="preserve"> PAGEREF _Toc137711761 \h </w:instrText>
            </w:r>
            <w:r w:rsidR="004E200E">
              <w:rPr>
                <w:noProof/>
                <w:webHidden/>
              </w:rPr>
            </w:r>
            <w:r w:rsidR="004E200E">
              <w:rPr>
                <w:noProof/>
                <w:webHidden/>
              </w:rPr>
              <w:fldChar w:fldCharType="separate"/>
            </w:r>
            <w:r w:rsidR="004E200E">
              <w:rPr>
                <w:noProof/>
                <w:webHidden/>
              </w:rPr>
              <w:t>23</w:t>
            </w:r>
            <w:r w:rsidR="004E200E">
              <w:rPr>
                <w:noProof/>
                <w:webHidden/>
              </w:rPr>
              <w:fldChar w:fldCharType="end"/>
            </w:r>
          </w:hyperlink>
        </w:p>
        <w:p w14:paraId="72D816C4" w14:textId="77777777" w:rsidR="004E200E" w:rsidRDefault="007833DD" w:rsidP="004E200E">
          <w:pPr>
            <w:pStyle w:val="Verzeichnis3"/>
            <w:rPr>
              <w:rFonts w:asciiTheme="minorHAnsi" w:eastAsiaTheme="minorEastAsia" w:hAnsiTheme="minorHAnsi" w:cstheme="minorBidi"/>
              <w:noProof/>
              <w:color w:val="auto"/>
              <w:sz w:val="22"/>
              <w:szCs w:val="22"/>
            </w:rPr>
          </w:pPr>
          <w:hyperlink w:anchor="_Toc137711762" w:history="1">
            <w:r w:rsidR="004E200E" w:rsidRPr="00907218">
              <w:rPr>
                <w:rStyle w:val="Hyperlink"/>
                <w:rFonts w:cstheme="minorHAnsi"/>
                <w:noProof/>
              </w:rPr>
              <w:t>2.2.5</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rPr>
              <w:t>Relative Totholzdichte für TapeS Biomasse in Kompartimenten</w:t>
            </w:r>
            <w:r w:rsidR="004E200E">
              <w:rPr>
                <w:noProof/>
                <w:webHidden/>
              </w:rPr>
              <w:tab/>
            </w:r>
            <w:r w:rsidR="004E200E">
              <w:rPr>
                <w:noProof/>
                <w:webHidden/>
              </w:rPr>
              <w:fldChar w:fldCharType="begin"/>
            </w:r>
            <w:r w:rsidR="004E200E">
              <w:rPr>
                <w:noProof/>
                <w:webHidden/>
              </w:rPr>
              <w:instrText xml:space="preserve"> PAGEREF _Toc137711762 \h </w:instrText>
            </w:r>
            <w:r w:rsidR="004E200E">
              <w:rPr>
                <w:noProof/>
                <w:webHidden/>
              </w:rPr>
            </w:r>
            <w:r w:rsidR="004E200E">
              <w:rPr>
                <w:noProof/>
                <w:webHidden/>
              </w:rPr>
              <w:fldChar w:fldCharType="separate"/>
            </w:r>
            <w:r w:rsidR="004E200E">
              <w:rPr>
                <w:noProof/>
                <w:webHidden/>
              </w:rPr>
              <w:t>24</w:t>
            </w:r>
            <w:r w:rsidR="004E200E">
              <w:rPr>
                <w:noProof/>
                <w:webHidden/>
              </w:rPr>
              <w:fldChar w:fldCharType="end"/>
            </w:r>
          </w:hyperlink>
        </w:p>
        <w:p w14:paraId="66EE559C" w14:textId="77777777" w:rsidR="004E200E" w:rsidRDefault="007833DD" w:rsidP="004E200E">
          <w:pPr>
            <w:pStyle w:val="Verzeichnis3"/>
            <w:rPr>
              <w:rFonts w:asciiTheme="minorHAnsi" w:eastAsiaTheme="minorEastAsia" w:hAnsiTheme="minorHAnsi" w:cstheme="minorBidi"/>
              <w:noProof/>
              <w:color w:val="auto"/>
              <w:sz w:val="22"/>
              <w:szCs w:val="22"/>
            </w:rPr>
          </w:pPr>
          <w:hyperlink w:anchor="_Toc137711763" w:history="1">
            <w:r w:rsidR="004E200E" w:rsidRPr="00907218">
              <w:rPr>
                <w:rStyle w:val="Hyperlink"/>
                <w:rFonts w:cstheme="minorHAnsi"/>
                <w:noProof/>
              </w:rPr>
              <w:t>2.2.6</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rPr>
              <w:t>Kohlenstoffgehalt Totholz</w:t>
            </w:r>
            <w:r w:rsidR="004E200E">
              <w:rPr>
                <w:noProof/>
                <w:webHidden/>
              </w:rPr>
              <w:tab/>
            </w:r>
            <w:r w:rsidR="004E200E">
              <w:rPr>
                <w:noProof/>
                <w:webHidden/>
              </w:rPr>
              <w:fldChar w:fldCharType="begin"/>
            </w:r>
            <w:r w:rsidR="004E200E">
              <w:rPr>
                <w:noProof/>
                <w:webHidden/>
              </w:rPr>
              <w:instrText xml:space="preserve"> PAGEREF _Toc137711763 \h </w:instrText>
            </w:r>
            <w:r w:rsidR="004E200E">
              <w:rPr>
                <w:noProof/>
                <w:webHidden/>
              </w:rPr>
            </w:r>
            <w:r w:rsidR="004E200E">
              <w:rPr>
                <w:noProof/>
                <w:webHidden/>
              </w:rPr>
              <w:fldChar w:fldCharType="separate"/>
            </w:r>
            <w:r w:rsidR="004E200E">
              <w:rPr>
                <w:noProof/>
                <w:webHidden/>
              </w:rPr>
              <w:t>24</w:t>
            </w:r>
            <w:r w:rsidR="004E200E">
              <w:rPr>
                <w:noProof/>
                <w:webHidden/>
              </w:rPr>
              <w:fldChar w:fldCharType="end"/>
            </w:r>
          </w:hyperlink>
        </w:p>
        <w:p w14:paraId="60573DFA" w14:textId="77777777" w:rsidR="004E200E" w:rsidRDefault="007833DD" w:rsidP="004E200E">
          <w:pPr>
            <w:pStyle w:val="Verzeichnis3"/>
            <w:rPr>
              <w:rFonts w:asciiTheme="minorHAnsi" w:eastAsiaTheme="minorEastAsia" w:hAnsiTheme="minorHAnsi" w:cstheme="minorBidi"/>
              <w:noProof/>
              <w:color w:val="auto"/>
              <w:sz w:val="22"/>
              <w:szCs w:val="22"/>
            </w:rPr>
          </w:pPr>
          <w:hyperlink w:anchor="_Toc137711764" w:history="1">
            <w:r w:rsidR="004E200E" w:rsidRPr="00907218">
              <w:rPr>
                <w:rStyle w:val="Hyperlink"/>
                <w:rFonts w:cstheme="minorHAnsi"/>
                <w:noProof/>
              </w:rPr>
              <w:t>2.2.7</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rPr>
              <w:t>Nährelementgehalte Totholz</w:t>
            </w:r>
            <w:r w:rsidR="004E200E">
              <w:rPr>
                <w:noProof/>
                <w:webHidden/>
              </w:rPr>
              <w:tab/>
            </w:r>
            <w:r w:rsidR="004E200E">
              <w:rPr>
                <w:noProof/>
                <w:webHidden/>
              </w:rPr>
              <w:fldChar w:fldCharType="begin"/>
            </w:r>
            <w:r w:rsidR="004E200E">
              <w:rPr>
                <w:noProof/>
                <w:webHidden/>
              </w:rPr>
              <w:instrText xml:space="preserve"> PAGEREF _Toc137711764 \h </w:instrText>
            </w:r>
            <w:r w:rsidR="004E200E">
              <w:rPr>
                <w:noProof/>
                <w:webHidden/>
              </w:rPr>
            </w:r>
            <w:r w:rsidR="004E200E">
              <w:rPr>
                <w:noProof/>
                <w:webHidden/>
              </w:rPr>
              <w:fldChar w:fldCharType="separate"/>
            </w:r>
            <w:r w:rsidR="004E200E">
              <w:rPr>
                <w:noProof/>
                <w:webHidden/>
              </w:rPr>
              <w:t>24</w:t>
            </w:r>
            <w:r w:rsidR="004E200E">
              <w:rPr>
                <w:noProof/>
                <w:webHidden/>
              </w:rPr>
              <w:fldChar w:fldCharType="end"/>
            </w:r>
          </w:hyperlink>
        </w:p>
        <w:p w14:paraId="0DF186C6" w14:textId="77777777" w:rsidR="004E200E" w:rsidRDefault="007833DD" w:rsidP="004E200E">
          <w:pPr>
            <w:pStyle w:val="Verzeichnis2"/>
            <w:rPr>
              <w:rFonts w:asciiTheme="minorHAnsi" w:eastAsiaTheme="minorEastAsia" w:hAnsiTheme="minorHAnsi" w:cstheme="minorBidi"/>
              <w:noProof/>
              <w:color w:val="auto"/>
              <w:sz w:val="22"/>
              <w:szCs w:val="22"/>
            </w:rPr>
          </w:pPr>
          <w:hyperlink w:anchor="_Toc137711765" w:history="1">
            <w:r w:rsidR="004E200E" w:rsidRPr="00907218">
              <w:rPr>
                <w:rStyle w:val="Hyperlink"/>
                <w:rFonts w:cstheme="minorHAnsi"/>
                <w:noProof/>
              </w:rPr>
              <w:t>2.3</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shd w:val="clear" w:color="auto" w:fill="FFFFFF"/>
              </w:rPr>
              <w:t>Verjüngung</w:t>
            </w:r>
            <w:r w:rsidR="004E200E">
              <w:rPr>
                <w:noProof/>
                <w:webHidden/>
              </w:rPr>
              <w:tab/>
            </w:r>
            <w:r w:rsidR="004E200E">
              <w:rPr>
                <w:noProof/>
                <w:webHidden/>
              </w:rPr>
              <w:fldChar w:fldCharType="begin"/>
            </w:r>
            <w:r w:rsidR="004E200E">
              <w:rPr>
                <w:noProof/>
                <w:webHidden/>
              </w:rPr>
              <w:instrText xml:space="preserve"> PAGEREF _Toc137711765 \h </w:instrText>
            </w:r>
            <w:r w:rsidR="004E200E">
              <w:rPr>
                <w:noProof/>
                <w:webHidden/>
              </w:rPr>
            </w:r>
            <w:r w:rsidR="004E200E">
              <w:rPr>
                <w:noProof/>
                <w:webHidden/>
              </w:rPr>
              <w:fldChar w:fldCharType="separate"/>
            </w:r>
            <w:r w:rsidR="004E200E">
              <w:rPr>
                <w:noProof/>
                <w:webHidden/>
              </w:rPr>
              <w:t>28</w:t>
            </w:r>
            <w:r w:rsidR="004E200E">
              <w:rPr>
                <w:noProof/>
                <w:webHidden/>
              </w:rPr>
              <w:fldChar w:fldCharType="end"/>
            </w:r>
          </w:hyperlink>
        </w:p>
        <w:p w14:paraId="05CC2370" w14:textId="77777777" w:rsidR="004E200E" w:rsidRDefault="007833DD" w:rsidP="004E200E">
          <w:pPr>
            <w:pStyle w:val="Verzeichnis3"/>
            <w:rPr>
              <w:rFonts w:asciiTheme="minorHAnsi" w:eastAsiaTheme="minorEastAsia" w:hAnsiTheme="minorHAnsi" w:cstheme="minorBidi"/>
              <w:noProof/>
              <w:color w:val="auto"/>
              <w:sz w:val="22"/>
              <w:szCs w:val="22"/>
            </w:rPr>
          </w:pPr>
          <w:hyperlink w:anchor="_Toc137711766" w:history="1">
            <w:r w:rsidR="004E200E" w:rsidRPr="00907218">
              <w:rPr>
                <w:rStyle w:val="Hyperlink"/>
                <w:rFonts w:cstheme="minorHAnsi"/>
                <w:noProof/>
              </w:rPr>
              <w:t>2.3.1</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rPr>
              <w:t>Verjüngung Biomasse</w:t>
            </w:r>
            <w:r w:rsidR="004E200E">
              <w:rPr>
                <w:noProof/>
                <w:webHidden/>
              </w:rPr>
              <w:tab/>
            </w:r>
            <w:r w:rsidR="004E200E">
              <w:rPr>
                <w:noProof/>
                <w:webHidden/>
              </w:rPr>
              <w:fldChar w:fldCharType="begin"/>
            </w:r>
            <w:r w:rsidR="004E200E">
              <w:rPr>
                <w:noProof/>
                <w:webHidden/>
              </w:rPr>
              <w:instrText xml:space="preserve"> PAGEREF _Toc137711766 \h </w:instrText>
            </w:r>
            <w:r w:rsidR="004E200E">
              <w:rPr>
                <w:noProof/>
                <w:webHidden/>
              </w:rPr>
            </w:r>
            <w:r w:rsidR="004E200E">
              <w:rPr>
                <w:noProof/>
                <w:webHidden/>
              </w:rPr>
              <w:fldChar w:fldCharType="separate"/>
            </w:r>
            <w:r w:rsidR="004E200E">
              <w:rPr>
                <w:noProof/>
                <w:webHidden/>
              </w:rPr>
              <w:t>28</w:t>
            </w:r>
            <w:r w:rsidR="004E200E">
              <w:rPr>
                <w:noProof/>
                <w:webHidden/>
              </w:rPr>
              <w:fldChar w:fldCharType="end"/>
            </w:r>
          </w:hyperlink>
        </w:p>
        <w:p w14:paraId="03783A6F" w14:textId="77777777" w:rsidR="004E200E" w:rsidRDefault="007833DD" w:rsidP="004E200E">
          <w:pPr>
            <w:pStyle w:val="Verzeichnis3"/>
            <w:rPr>
              <w:rFonts w:asciiTheme="minorHAnsi" w:eastAsiaTheme="minorEastAsia" w:hAnsiTheme="minorHAnsi" w:cstheme="minorBidi"/>
              <w:noProof/>
              <w:color w:val="auto"/>
              <w:sz w:val="22"/>
              <w:szCs w:val="22"/>
            </w:rPr>
          </w:pPr>
          <w:hyperlink w:anchor="_Toc137711767" w:history="1">
            <w:r w:rsidR="004E200E" w:rsidRPr="00907218">
              <w:rPr>
                <w:rStyle w:val="Hyperlink"/>
                <w:rFonts w:cstheme="minorHAnsi"/>
                <w:noProof/>
              </w:rPr>
              <w:t>2.3.2</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rPr>
              <w:t>Kompartimentierung Biomasse Verjüngung</w:t>
            </w:r>
            <w:r w:rsidR="004E200E">
              <w:rPr>
                <w:noProof/>
                <w:webHidden/>
              </w:rPr>
              <w:tab/>
            </w:r>
            <w:r w:rsidR="004E200E">
              <w:rPr>
                <w:noProof/>
                <w:webHidden/>
              </w:rPr>
              <w:fldChar w:fldCharType="begin"/>
            </w:r>
            <w:r w:rsidR="004E200E">
              <w:rPr>
                <w:noProof/>
                <w:webHidden/>
              </w:rPr>
              <w:instrText xml:space="preserve"> PAGEREF _Toc137711767 \h </w:instrText>
            </w:r>
            <w:r w:rsidR="004E200E">
              <w:rPr>
                <w:noProof/>
                <w:webHidden/>
              </w:rPr>
            </w:r>
            <w:r w:rsidR="004E200E">
              <w:rPr>
                <w:noProof/>
                <w:webHidden/>
              </w:rPr>
              <w:fldChar w:fldCharType="separate"/>
            </w:r>
            <w:r w:rsidR="004E200E">
              <w:rPr>
                <w:noProof/>
                <w:webHidden/>
              </w:rPr>
              <w:t>28</w:t>
            </w:r>
            <w:r w:rsidR="004E200E">
              <w:rPr>
                <w:noProof/>
                <w:webHidden/>
              </w:rPr>
              <w:fldChar w:fldCharType="end"/>
            </w:r>
          </w:hyperlink>
        </w:p>
        <w:p w14:paraId="36667763" w14:textId="77777777" w:rsidR="004E200E" w:rsidRDefault="007833DD" w:rsidP="004E200E">
          <w:pPr>
            <w:pStyle w:val="Verzeichnis3"/>
            <w:rPr>
              <w:rFonts w:asciiTheme="minorHAnsi" w:eastAsiaTheme="minorEastAsia" w:hAnsiTheme="minorHAnsi" w:cstheme="minorBidi"/>
              <w:noProof/>
              <w:color w:val="auto"/>
              <w:sz w:val="22"/>
              <w:szCs w:val="22"/>
            </w:rPr>
          </w:pPr>
          <w:hyperlink w:anchor="_Toc137711768" w:history="1">
            <w:r w:rsidR="004E200E" w:rsidRPr="00907218">
              <w:rPr>
                <w:rStyle w:val="Hyperlink"/>
                <w:rFonts w:cstheme="minorHAnsi"/>
                <w:noProof/>
              </w:rPr>
              <w:t>2.3.3</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rPr>
              <w:t>Artengruppen Verjüngung</w:t>
            </w:r>
            <w:r w:rsidR="004E200E">
              <w:rPr>
                <w:noProof/>
                <w:webHidden/>
              </w:rPr>
              <w:tab/>
            </w:r>
            <w:r w:rsidR="004E200E">
              <w:rPr>
                <w:noProof/>
                <w:webHidden/>
              </w:rPr>
              <w:fldChar w:fldCharType="begin"/>
            </w:r>
            <w:r w:rsidR="004E200E">
              <w:rPr>
                <w:noProof/>
                <w:webHidden/>
              </w:rPr>
              <w:instrText xml:space="preserve"> PAGEREF _Toc137711768 \h </w:instrText>
            </w:r>
            <w:r w:rsidR="004E200E">
              <w:rPr>
                <w:noProof/>
                <w:webHidden/>
              </w:rPr>
            </w:r>
            <w:r w:rsidR="004E200E">
              <w:rPr>
                <w:noProof/>
                <w:webHidden/>
              </w:rPr>
              <w:fldChar w:fldCharType="separate"/>
            </w:r>
            <w:r w:rsidR="004E200E">
              <w:rPr>
                <w:noProof/>
                <w:webHidden/>
              </w:rPr>
              <w:t>29</w:t>
            </w:r>
            <w:r w:rsidR="004E200E">
              <w:rPr>
                <w:noProof/>
                <w:webHidden/>
              </w:rPr>
              <w:fldChar w:fldCharType="end"/>
            </w:r>
          </w:hyperlink>
        </w:p>
        <w:p w14:paraId="13FEDA3F" w14:textId="77777777" w:rsidR="004E200E" w:rsidRDefault="007833DD" w:rsidP="004E200E">
          <w:pPr>
            <w:pStyle w:val="Verzeichnis3"/>
            <w:rPr>
              <w:rFonts w:asciiTheme="minorHAnsi" w:eastAsiaTheme="minorEastAsia" w:hAnsiTheme="minorHAnsi" w:cstheme="minorBidi"/>
              <w:noProof/>
              <w:color w:val="auto"/>
              <w:sz w:val="22"/>
              <w:szCs w:val="22"/>
            </w:rPr>
          </w:pPr>
          <w:hyperlink w:anchor="_Toc137711769" w:history="1">
            <w:r w:rsidR="004E200E" w:rsidRPr="00907218">
              <w:rPr>
                <w:rStyle w:val="Hyperlink"/>
                <w:rFonts w:cstheme="minorHAnsi"/>
                <w:noProof/>
              </w:rPr>
              <w:t>2.3.4</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rPr>
              <w:t>Verjüngung Stickstoff</w:t>
            </w:r>
            <w:r w:rsidR="004E200E">
              <w:rPr>
                <w:noProof/>
                <w:webHidden/>
              </w:rPr>
              <w:tab/>
            </w:r>
            <w:r w:rsidR="004E200E">
              <w:rPr>
                <w:noProof/>
                <w:webHidden/>
              </w:rPr>
              <w:fldChar w:fldCharType="begin"/>
            </w:r>
            <w:r w:rsidR="004E200E">
              <w:rPr>
                <w:noProof/>
                <w:webHidden/>
              </w:rPr>
              <w:instrText xml:space="preserve"> PAGEREF _Toc137711769 \h </w:instrText>
            </w:r>
            <w:r w:rsidR="004E200E">
              <w:rPr>
                <w:noProof/>
                <w:webHidden/>
              </w:rPr>
            </w:r>
            <w:r w:rsidR="004E200E">
              <w:rPr>
                <w:noProof/>
                <w:webHidden/>
              </w:rPr>
              <w:fldChar w:fldCharType="separate"/>
            </w:r>
            <w:r w:rsidR="004E200E">
              <w:rPr>
                <w:noProof/>
                <w:webHidden/>
              </w:rPr>
              <w:t>30</w:t>
            </w:r>
            <w:r w:rsidR="004E200E">
              <w:rPr>
                <w:noProof/>
                <w:webHidden/>
              </w:rPr>
              <w:fldChar w:fldCharType="end"/>
            </w:r>
          </w:hyperlink>
        </w:p>
        <w:p w14:paraId="33076F17" w14:textId="77777777" w:rsidR="004E200E" w:rsidRDefault="007833DD" w:rsidP="004E200E">
          <w:pPr>
            <w:pStyle w:val="Verzeichnis2"/>
            <w:rPr>
              <w:rFonts w:asciiTheme="minorHAnsi" w:eastAsiaTheme="minorEastAsia" w:hAnsiTheme="minorHAnsi" w:cstheme="minorBidi"/>
              <w:noProof/>
              <w:color w:val="auto"/>
              <w:sz w:val="22"/>
              <w:szCs w:val="22"/>
            </w:rPr>
          </w:pPr>
          <w:hyperlink w:anchor="_Toc137711775" w:history="1">
            <w:r w:rsidR="004E200E" w:rsidRPr="00907218">
              <w:rPr>
                <w:rStyle w:val="Hyperlink"/>
                <w:rFonts w:cstheme="minorHAnsi"/>
                <w:noProof/>
              </w:rPr>
              <w:t>2.4</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shd w:val="clear" w:color="auto" w:fill="FFFFFF"/>
              </w:rPr>
              <w:t>Biodiversität</w:t>
            </w:r>
            <w:r w:rsidR="004E200E">
              <w:rPr>
                <w:noProof/>
                <w:webHidden/>
              </w:rPr>
              <w:tab/>
            </w:r>
            <w:r w:rsidR="004E200E">
              <w:rPr>
                <w:noProof/>
                <w:webHidden/>
              </w:rPr>
              <w:fldChar w:fldCharType="begin"/>
            </w:r>
            <w:r w:rsidR="004E200E">
              <w:rPr>
                <w:noProof/>
                <w:webHidden/>
              </w:rPr>
              <w:instrText xml:space="preserve"> PAGEREF _Toc137711775 \h </w:instrText>
            </w:r>
            <w:r w:rsidR="004E200E">
              <w:rPr>
                <w:noProof/>
                <w:webHidden/>
              </w:rPr>
            </w:r>
            <w:r w:rsidR="004E200E">
              <w:rPr>
                <w:noProof/>
                <w:webHidden/>
              </w:rPr>
              <w:fldChar w:fldCharType="separate"/>
            </w:r>
            <w:r w:rsidR="004E200E">
              <w:rPr>
                <w:noProof/>
                <w:webHidden/>
              </w:rPr>
              <w:t>32</w:t>
            </w:r>
            <w:r w:rsidR="004E200E">
              <w:rPr>
                <w:noProof/>
                <w:webHidden/>
              </w:rPr>
              <w:fldChar w:fldCharType="end"/>
            </w:r>
          </w:hyperlink>
        </w:p>
        <w:p w14:paraId="3F3D94C8" w14:textId="77777777" w:rsidR="004E200E" w:rsidRDefault="007833DD" w:rsidP="004E200E">
          <w:pPr>
            <w:pStyle w:val="Verzeichnis2"/>
            <w:rPr>
              <w:rFonts w:asciiTheme="minorHAnsi" w:eastAsiaTheme="minorEastAsia" w:hAnsiTheme="minorHAnsi" w:cstheme="minorBidi"/>
              <w:noProof/>
              <w:color w:val="auto"/>
              <w:sz w:val="22"/>
              <w:szCs w:val="22"/>
            </w:rPr>
          </w:pPr>
          <w:hyperlink w:anchor="_Toc137711776" w:history="1">
            <w:r w:rsidR="004E200E" w:rsidRPr="00907218">
              <w:rPr>
                <w:rStyle w:val="Hyperlink"/>
                <w:rFonts w:cstheme="minorHAnsi"/>
                <w:noProof/>
              </w:rPr>
              <w:t>2.5</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shd w:val="clear" w:color="auto" w:fill="FFFFFF"/>
              </w:rPr>
              <w:t>Bestandesbeschreibung</w:t>
            </w:r>
            <w:r w:rsidR="004E200E">
              <w:rPr>
                <w:noProof/>
                <w:webHidden/>
              </w:rPr>
              <w:tab/>
            </w:r>
            <w:r w:rsidR="004E200E">
              <w:rPr>
                <w:noProof/>
                <w:webHidden/>
              </w:rPr>
              <w:fldChar w:fldCharType="begin"/>
            </w:r>
            <w:r w:rsidR="004E200E">
              <w:rPr>
                <w:noProof/>
                <w:webHidden/>
              </w:rPr>
              <w:instrText xml:space="preserve"> PAGEREF _Toc137711776 \h </w:instrText>
            </w:r>
            <w:r w:rsidR="004E200E">
              <w:rPr>
                <w:noProof/>
                <w:webHidden/>
              </w:rPr>
            </w:r>
            <w:r w:rsidR="004E200E">
              <w:rPr>
                <w:noProof/>
                <w:webHidden/>
              </w:rPr>
              <w:fldChar w:fldCharType="separate"/>
            </w:r>
            <w:r w:rsidR="004E200E">
              <w:rPr>
                <w:noProof/>
                <w:webHidden/>
              </w:rPr>
              <w:t>32</w:t>
            </w:r>
            <w:r w:rsidR="004E200E">
              <w:rPr>
                <w:noProof/>
                <w:webHidden/>
              </w:rPr>
              <w:fldChar w:fldCharType="end"/>
            </w:r>
          </w:hyperlink>
        </w:p>
        <w:p w14:paraId="388184D0" w14:textId="77777777" w:rsidR="004E200E" w:rsidRDefault="007833DD" w:rsidP="004E200E">
          <w:pPr>
            <w:pStyle w:val="Verzeichnis1"/>
            <w:rPr>
              <w:rFonts w:asciiTheme="minorHAnsi" w:eastAsiaTheme="minorEastAsia" w:hAnsiTheme="minorHAnsi" w:cstheme="minorBidi"/>
              <w:b w:val="0"/>
              <w:noProof/>
              <w:color w:val="auto"/>
              <w:sz w:val="22"/>
              <w:szCs w:val="22"/>
            </w:rPr>
          </w:pPr>
          <w:hyperlink w:anchor="_Toc137711777" w:history="1">
            <w:r w:rsidR="004E200E" w:rsidRPr="00907218">
              <w:rPr>
                <w:rStyle w:val="Hyperlink"/>
                <w:rFonts w:cstheme="minorHAnsi"/>
                <w:noProof/>
              </w:rPr>
              <w:t>3</w:t>
            </w:r>
            <w:r w:rsidR="004E200E">
              <w:rPr>
                <w:rFonts w:asciiTheme="minorHAnsi" w:eastAsiaTheme="minorEastAsia" w:hAnsiTheme="minorHAnsi" w:cstheme="minorBidi"/>
                <w:b w:val="0"/>
                <w:noProof/>
                <w:color w:val="auto"/>
                <w:sz w:val="22"/>
                <w:szCs w:val="22"/>
              </w:rPr>
              <w:tab/>
            </w:r>
            <w:r w:rsidR="004E200E" w:rsidRPr="00907218">
              <w:rPr>
                <w:rStyle w:val="Hyperlink"/>
                <w:rFonts w:cstheme="minorHAnsi"/>
                <w:noProof/>
              </w:rPr>
              <w:t>Ergebnisse</w:t>
            </w:r>
            <w:r w:rsidR="004E200E">
              <w:rPr>
                <w:noProof/>
                <w:webHidden/>
              </w:rPr>
              <w:tab/>
            </w:r>
            <w:r w:rsidR="004E200E">
              <w:rPr>
                <w:noProof/>
                <w:webHidden/>
              </w:rPr>
              <w:fldChar w:fldCharType="begin"/>
            </w:r>
            <w:r w:rsidR="004E200E">
              <w:rPr>
                <w:noProof/>
                <w:webHidden/>
              </w:rPr>
              <w:instrText xml:space="preserve"> PAGEREF _Toc137711777 \h </w:instrText>
            </w:r>
            <w:r w:rsidR="004E200E">
              <w:rPr>
                <w:noProof/>
                <w:webHidden/>
              </w:rPr>
            </w:r>
            <w:r w:rsidR="004E200E">
              <w:rPr>
                <w:noProof/>
                <w:webHidden/>
              </w:rPr>
              <w:fldChar w:fldCharType="separate"/>
            </w:r>
            <w:r w:rsidR="004E200E">
              <w:rPr>
                <w:noProof/>
                <w:webHidden/>
              </w:rPr>
              <w:t>32</w:t>
            </w:r>
            <w:r w:rsidR="004E200E">
              <w:rPr>
                <w:noProof/>
                <w:webHidden/>
              </w:rPr>
              <w:fldChar w:fldCharType="end"/>
            </w:r>
          </w:hyperlink>
        </w:p>
        <w:p w14:paraId="5BD0F654" w14:textId="77777777" w:rsidR="004E200E" w:rsidRDefault="007833DD" w:rsidP="004E200E">
          <w:pPr>
            <w:pStyle w:val="Verzeichnis2"/>
            <w:rPr>
              <w:rFonts w:asciiTheme="minorHAnsi" w:eastAsiaTheme="minorEastAsia" w:hAnsiTheme="minorHAnsi" w:cstheme="minorBidi"/>
              <w:noProof/>
              <w:color w:val="auto"/>
              <w:sz w:val="22"/>
              <w:szCs w:val="22"/>
            </w:rPr>
          </w:pPr>
          <w:hyperlink w:anchor="_Toc137711778" w:history="1">
            <w:r w:rsidR="004E200E" w:rsidRPr="00907218">
              <w:rPr>
                <w:rStyle w:val="Hyperlink"/>
                <w:rFonts w:cstheme="minorHAnsi"/>
                <w:noProof/>
              </w:rPr>
              <w:t>3.1</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rPr>
              <w:t>Mögliche Ergebisstabellen</w:t>
            </w:r>
            <w:r w:rsidR="004E200E">
              <w:rPr>
                <w:noProof/>
                <w:webHidden/>
              </w:rPr>
              <w:tab/>
            </w:r>
            <w:r w:rsidR="004E200E">
              <w:rPr>
                <w:noProof/>
                <w:webHidden/>
              </w:rPr>
              <w:fldChar w:fldCharType="begin"/>
            </w:r>
            <w:r w:rsidR="004E200E">
              <w:rPr>
                <w:noProof/>
                <w:webHidden/>
              </w:rPr>
              <w:instrText xml:space="preserve"> PAGEREF _Toc137711778 \h </w:instrText>
            </w:r>
            <w:r w:rsidR="004E200E">
              <w:rPr>
                <w:noProof/>
                <w:webHidden/>
              </w:rPr>
            </w:r>
            <w:r w:rsidR="004E200E">
              <w:rPr>
                <w:noProof/>
                <w:webHidden/>
              </w:rPr>
              <w:fldChar w:fldCharType="separate"/>
            </w:r>
            <w:r w:rsidR="004E200E">
              <w:rPr>
                <w:noProof/>
                <w:webHidden/>
              </w:rPr>
              <w:t>32</w:t>
            </w:r>
            <w:r w:rsidR="004E200E">
              <w:rPr>
                <w:noProof/>
                <w:webHidden/>
              </w:rPr>
              <w:fldChar w:fldCharType="end"/>
            </w:r>
          </w:hyperlink>
        </w:p>
        <w:p w14:paraId="7A86DB64" w14:textId="77777777" w:rsidR="004E200E" w:rsidRDefault="007833DD" w:rsidP="004E200E">
          <w:pPr>
            <w:pStyle w:val="Verzeichnis1"/>
            <w:rPr>
              <w:rFonts w:asciiTheme="minorHAnsi" w:eastAsiaTheme="minorEastAsia" w:hAnsiTheme="minorHAnsi" w:cstheme="minorBidi"/>
              <w:b w:val="0"/>
              <w:noProof/>
              <w:color w:val="auto"/>
              <w:sz w:val="22"/>
              <w:szCs w:val="22"/>
            </w:rPr>
          </w:pPr>
          <w:hyperlink w:anchor="_Toc137711779" w:history="1">
            <w:r w:rsidR="004E200E" w:rsidRPr="00907218">
              <w:rPr>
                <w:rStyle w:val="Hyperlink"/>
                <w:rFonts w:cstheme="minorHAnsi"/>
                <w:noProof/>
              </w:rPr>
              <w:t>4</w:t>
            </w:r>
            <w:r w:rsidR="004E200E">
              <w:rPr>
                <w:rFonts w:asciiTheme="minorHAnsi" w:eastAsiaTheme="minorEastAsia" w:hAnsiTheme="minorHAnsi" w:cstheme="minorBidi"/>
                <w:b w:val="0"/>
                <w:noProof/>
                <w:color w:val="auto"/>
                <w:sz w:val="22"/>
                <w:szCs w:val="22"/>
              </w:rPr>
              <w:tab/>
            </w:r>
            <w:r w:rsidR="004E200E" w:rsidRPr="00907218">
              <w:rPr>
                <w:rStyle w:val="Hyperlink"/>
                <w:rFonts w:cstheme="minorHAnsi"/>
                <w:noProof/>
              </w:rPr>
              <w:t>Plausibilitätprüfung</w:t>
            </w:r>
            <w:r w:rsidR="004E200E">
              <w:rPr>
                <w:noProof/>
                <w:webHidden/>
              </w:rPr>
              <w:tab/>
            </w:r>
            <w:r w:rsidR="004E200E">
              <w:rPr>
                <w:noProof/>
                <w:webHidden/>
              </w:rPr>
              <w:fldChar w:fldCharType="begin"/>
            </w:r>
            <w:r w:rsidR="004E200E">
              <w:rPr>
                <w:noProof/>
                <w:webHidden/>
              </w:rPr>
              <w:instrText xml:space="preserve"> PAGEREF _Toc137711779 \h </w:instrText>
            </w:r>
            <w:r w:rsidR="004E200E">
              <w:rPr>
                <w:noProof/>
                <w:webHidden/>
              </w:rPr>
            </w:r>
            <w:r w:rsidR="004E200E">
              <w:rPr>
                <w:noProof/>
                <w:webHidden/>
              </w:rPr>
              <w:fldChar w:fldCharType="separate"/>
            </w:r>
            <w:r w:rsidR="004E200E">
              <w:rPr>
                <w:noProof/>
                <w:webHidden/>
              </w:rPr>
              <w:t>32</w:t>
            </w:r>
            <w:r w:rsidR="004E200E">
              <w:rPr>
                <w:noProof/>
                <w:webHidden/>
              </w:rPr>
              <w:fldChar w:fldCharType="end"/>
            </w:r>
          </w:hyperlink>
        </w:p>
        <w:p w14:paraId="229B743B" w14:textId="77777777" w:rsidR="004E200E" w:rsidRDefault="007833DD" w:rsidP="004E200E">
          <w:pPr>
            <w:pStyle w:val="Verzeichnis2"/>
            <w:rPr>
              <w:rFonts w:asciiTheme="minorHAnsi" w:eastAsiaTheme="minorEastAsia" w:hAnsiTheme="minorHAnsi" w:cstheme="minorBidi"/>
              <w:noProof/>
              <w:color w:val="auto"/>
              <w:sz w:val="22"/>
              <w:szCs w:val="22"/>
            </w:rPr>
          </w:pPr>
          <w:hyperlink w:anchor="_Toc137711780" w:history="1">
            <w:r w:rsidR="004E200E" w:rsidRPr="00907218">
              <w:rPr>
                <w:rStyle w:val="Hyperlink"/>
                <w:rFonts w:cstheme="minorHAnsi"/>
                <w:noProof/>
              </w:rPr>
              <w:t>4.1</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rPr>
              <w:t>Lebender Bestand</w:t>
            </w:r>
            <w:r w:rsidR="004E200E">
              <w:rPr>
                <w:noProof/>
                <w:webHidden/>
              </w:rPr>
              <w:tab/>
            </w:r>
            <w:r w:rsidR="004E200E">
              <w:rPr>
                <w:noProof/>
                <w:webHidden/>
              </w:rPr>
              <w:fldChar w:fldCharType="begin"/>
            </w:r>
            <w:r w:rsidR="004E200E">
              <w:rPr>
                <w:noProof/>
                <w:webHidden/>
              </w:rPr>
              <w:instrText xml:space="preserve"> PAGEREF _Toc137711780 \h </w:instrText>
            </w:r>
            <w:r w:rsidR="004E200E">
              <w:rPr>
                <w:noProof/>
                <w:webHidden/>
              </w:rPr>
            </w:r>
            <w:r w:rsidR="004E200E">
              <w:rPr>
                <w:noProof/>
                <w:webHidden/>
              </w:rPr>
              <w:fldChar w:fldCharType="separate"/>
            </w:r>
            <w:r w:rsidR="004E200E">
              <w:rPr>
                <w:noProof/>
                <w:webHidden/>
              </w:rPr>
              <w:t>32</w:t>
            </w:r>
            <w:r w:rsidR="004E200E">
              <w:rPr>
                <w:noProof/>
                <w:webHidden/>
              </w:rPr>
              <w:fldChar w:fldCharType="end"/>
            </w:r>
          </w:hyperlink>
        </w:p>
        <w:p w14:paraId="40C6BA4C" w14:textId="77777777" w:rsidR="004E200E" w:rsidRDefault="007833DD" w:rsidP="004E200E">
          <w:pPr>
            <w:pStyle w:val="Verzeichnis3"/>
            <w:rPr>
              <w:rFonts w:asciiTheme="minorHAnsi" w:eastAsiaTheme="minorEastAsia" w:hAnsiTheme="minorHAnsi" w:cstheme="minorBidi"/>
              <w:noProof/>
              <w:color w:val="auto"/>
              <w:sz w:val="22"/>
              <w:szCs w:val="22"/>
            </w:rPr>
          </w:pPr>
          <w:hyperlink w:anchor="_Toc137711781" w:history="1">
            <w:r w:rsidR="004E200E" w:rsidRPr="00907218">
              <w:rPr>
                <w:rStyle w:val="Hyperlink"/>
                <w:rFonts w:cstheme="minorHAnsi"/>
                <w:noProof/>
              </w:rPr>
              <w:t>4.1.1</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rPr>
              <w:t>Höhe-Durchmesser Verhältnis</w:t>
            </w:r>
            <w:r w:rsidR="004E200E">
              <w:rPr>
                <w:noProof/>
                <w:webHidden/>
              </w:rPr>
              <w:tab/>
            </w:r>
            <w:r w:rsidR="004E200E">
              <w:rPr>
                <w:noProof/>
                <w:webHidden/>
              </w:rPr>
              <w:fldChar w:fldCharType="begin"/>
            </w:r>
            <w:r w:rsidR="004E200E">
              <w:rPr>
                <w:noProof/>
                <w:webHidden/>
              </w:rPr>
              <w:instrText xml:space="preserve"> PAGEREF _Toc137711781 \h </w:instrText>
            </w:r>
            <w:r w:rsidR="004E200E">
              <w:rPr>
                <w:noProof/>
                <w:webHidden/>
              </w:rPr>
            </w:r>
            <w:r w:rsidR="004E200E">
              <w:rPr>
                <w:noProof/>
                <w:webHidden/>
              </w:rPr>
              <w:fldChar w:fldCharType="separate"/>
            </w:r>
            <w:r w:rsidR="004E200E">
              <w:rPr>
                <w:noProof/>
                <w:webHidden/>
              </w:rPr>
              <w:t>32</w:t>
            </w:r>
            <w:r w:rsidR="004E200E">
              <w:rPr>
                <w:noProof/>
                <w:webHidden/>
              </w:rPr>
              <w:fldChar w:fldCharType="end"/>
            </w:r>
          </w:hyperlink>
        </w:p>
        <w:p w14:paraId="22E5DEA9" w14:textId="77777777" w:rsidR="004E200E" w:rsidRDefault="007833DD" w:rsidP="004E200E">
          <w:pPr>
            <w:pStyle w:val="Verzeichnis3"/>
            <w:rPr>
              <w:rFonts w:asciiTheme="minorHAnsi" w:eastAsiaTheme="minorEastAsia" w:hAnsiTheme="minorHAnsi" w:cstheme="minorBidi"/>
              <w:noProof/>
              <w:color w:val="auto"/>
              <w:sz w:val="22"/>
              <w:szCs w:val="22"/>
            </w:rPr>
          </w:pPr>
          <w:hyperlink w:anchor="_Toc137711782" w:history="1">
            <w:r w:rsidR="004E200E" w:rsidRPr="00907218">
              <w:rPr>
                <w:rStyle w:val="Hyperlink"/>
                <w:rFonts w:cstheme="minorHAnsi"/>
                <w:noProof/>
              </w:rPr>
              <w:t>4.1.2</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rPr>
              <w:t>Vergleichsdaten</w:t>
            </w:r>
            <w:r w:rsidR="004E200E">
              <w:rPr>
                <w:noProof/>
                <w:webHidden/>
              </w:rPr>
              <w:tab/>
            </w:r>
            <w:r w:rsidR="004E200E">
              <w:rPr>
                <w:noProof/>
                <w:webHidden/>
              </w:rPr>
              <w:fldChar w:fldCharType="begin"/>
            </w:r>
            <w:r w:rsidR="004E200E">
              <w:rPr>
                <w:noProof/>
                <w:webHidden/>
              </w:rPr>
              <w:instrText xml:space="preserve"> PAGEREF _Toc137711782 \h </w:instrText>
            </w:r>
            <w:r w:rsidR="004E200E">
              <w:rPr>
                <w:noProof/>
                <w:webHidden/>
              </w:rPr>
            </w:r>
            <w:r w:rsidR="004E200E">
              <w:rPr>
                <w:noProof/>
                <w:webHidden/>
              </w:rPr>
              <w:fldChar w:fldCharType="separate"/>
            </w:r>
            <w:r w:rsidR="004E200E">
              <w:rPr>
                <w:noProof/>
                <w:webHidden/>
              </w:rPr>
              <w:t>33</w:t>
            </w:r>
            <w:r w:rsidR="004E200E">
              <w:rPr>
                <w:noProof/>
                <w:webHidden/>
              </w:rPr>
              <w:fldChar w:fldCharType="end"/>
            </w:r>
          </w:hyperlink>
        </w:p>
        <w:p w14:paraId="679BC632" w14:textId="77777777" w:rsidR="004E200E" w:rsidRDefault="007833DD" w:rsidP="004E200E">
          <w:pPr>
            <w:pStyle w:val="Verzeichnis3"/>
            <w:rPr>
              <w:rFonts w:asciiTheme="minorHAnsi" w:eastAsiaTheme="minorEastAsia" w:hAnsiTheme="minorHAnsi" w:cstheme="minorBidi"/>
              <w:noProof/>
              <w:color w:val="auto"/>
              <w:sz w:val="22"/>
              <w:szCs w:val="22"/>
            </w:rPr>
          </w:pPr>
          <w:hyperlink w:anchor="_Toc137711783" w:history="1">
            <w:r w:rsidR="004E200E" w:rsidRPr="00907218">
              <w:rPr>
                <w:rStyle w:val="Hyperlink"/>
                <w:noProof/>
              </w:rPr>
              <w:t>4.1.3</w:t>
            </w:r>
            <w:r w:rsidR="004E200E">
              <w:rPr>
                <w:rFonts w:asciiTheme="minorHAnsi" w:eastAsiaTheme="minorEastAsia" w:hAnsiTheme="minorHAnsi" w:cstheme="minorBidi"/>
                <w:noProof/>
                <w:color w:val="auto"/>
                <w:sz w:val="22"/>
                <w:szCs w:val="22"/>
              </w:rPr>
              <w:tab/>
            </w:r>
            <w:r w:rsidR="004E200E" w:rsidRPr="00907218">
              <w:rPr>
                <w:rStyle w:val="Hyperlink"/>
                <w:noProof/>
              </w:rPr>
              <w:t>KOHLENSTOFF VERGLEICH</w:t>
            </w:r>
            <w:r w:rsidR="004E200E">
              <w:rPr>
                <w:noProof/>
                <w:webHidden/>
              </w:rPr>
              <w:tab/>
            </w:r>
            <w:r w:rsidR="004E200E">
              <w:rPr>
                <w:noProof/>
                <w:webHidden/>
              </w:rPr>
              <w:fldChar w:fldCharType="begin"/>
            </w:r>
            <w:r w:rsidR="004E200E">
              <w:rPr>
                <w:noProof/>
                <w:webHidden/>
              </w:rPr>
              <w:instrText xml:space="preserve"> PAGEREF _Toc137711783 \h </w:instrText>
            </w:r>
            <w:r w:rsidR="004E200E">
              <w:rPr>
                <w:noProof/>
                <w:webHidden/>
              </w:rPr>
            </w:r>
            <w:r w:rsidR="004E200E">
              <w:rPr>
                <w:noProof/>
                <w:webHidden/>
              </w:rPr>
              <w:fldChar w:fldCharType="separate"/>
            </w:r>
            <w:r w:rsidR="004E200E">
              <w:rPr>
                <w:noProof/>
                <w:webHidden/>
              </w:rPr>
              <w:t>33</w:t>
            </w:r>
            <w:r w:rsidR="004E200E">
              <w:rPr>
                <w:noProof/>
                <w:webHidden/>
              </w:rPr>
              <w:fldChar w:fldCharType="end"/>
            </w:r>
          </w:hyperlink>
        </w:p>
        <w:p w14:paraId="5E0F4CF8" w14:textId="77777777" w:rsidR="004E200E" w:rsidRDefault="007833DD" w:rsidP="004E200E">
          <w:pPr>
            <w:pStyle w:val="Verzeichnis3"/>
            <w:rPr>
              <w:rFonts w:asciiTheme="minorHAnsi" w:eastAsiaTheme="minorEastAsia" w:hAnsiTheme="minorHAnsi" w:cstheme="minorBidi"/>
              <w:noProof/>
              <w:color w:val="auto"/>
              <w:sz w:val="22"/>
              <w:szCs w:val="22"/>
            </w:rPr>
          </w:pPr>
          <w:hyperlink w:anchor="_Toc137711784" w:history="1">
            <w:r w:rsidR="004E200E" w:rsidRPr="00907218">
              <w:rPr>
                <w:rStyle w:val="Hyperlink"/>
                <w:noProof/>
              </w:rPr>
              <w:t>4.1.3.1</w:t>
            </w:r>
            <w:r w:rsidR="004E200E">
              <w:rPr>
                <w:rFonts w:asciiTheme="minorHAnsi" w:eastAsiaTheme="minorEastAsia" w:hAnsiTheme="minorHAnsi" w:cstheme="minorBidi"/>
                <w:noProof/>
                <w:color w:val="auto"/>
                <w:sz w:val="22"/>
                <w:szCs w:val="22"/>
              </w:rPr>
              <w:tab/>
            </w:r>
            <w:r w:rsidR="004E200E" w:rsidRPr="00907218">
              <w:rPr>
                <w:rStyle w:val="Hyperlink"/>
                <w:noProof/>
              </w:rPr>
              <w:t>KOHLENSTOFF VERGLEICH Pseudo Reinbestände</w:t>
            </w:r>
            <w:r w:rsidR="004E200E">
              <w:rPr>
                <w:noProof/>
                <w:webHidden/>
              </w:rPr>
              <w:tab/>
            </w:r>
            <w:r w:rsidR="004E200E">
              <w:rPr>
                <w:noProof/>
                <w:webHidden/>
              </w:rPr>
              <w:fldChar w:fldCharType="begin"/>
            </w:r>
            <w:r w:rsidR="004E200E">
              <w:rPr>
                <w:noProof/>
                <w:webHidden/>
              </w:rPr>
              <w:instrText xml:space="preserve"> PAGEREF _Toc137711784 \h </w:instrText>
            </w:r>
            <w:r w:rsidR="004E200E">
              <w:rPr>
                <w:noProof/>
                <w:webHidden/>
              </w:rPr>
            </w:r>
            <w:r w:rsidR="004E200E">
              <w:rPr>
                <w:noProof/>
                <w:webHidden/>
              </w:rPr>
              <w:fldChar w:fldCharType="separate"/>
            </w:r>
            <w:r w:rsidR="004E200E">
              <w:rPr>
                <w:noProof/>
                <w:webHidden/>
              </w:rPr>
              <w:t>38</w:t>
            </w:r>
            <w:r w:rsidR="004E200E">
              <w:rPr>
                <w:noProof/>
                <w:webHidden/>
              </w:rPr>
              <w:fldChar w:fldCharType="end"/>
            </w:r>
          </w:hyperlink>
        </w:p>
        <w:p w14:paraId="0C08BA03" w14:textId="77777777" w:rsidR="004E200E" w:rsidRDefault="007833DD" w:rsidP="004E200E">
          <w:pPr>
            <w:pStyle w:val="Verzeichnis2"/>
            <w:rPr>
              <w:rFonts w:asciiTheme="minorHAnsi" w:eastAsiaTheme="minorEastAsia" w:hAnsiTheme="minorHAnsi" w:cstheme="minorBidi"/>
              <w:noProof/>
              <w:color w:val="auto"/>
              <w:sz w:val="22"/>
              <w:szCs w:val="22"/>
            </w:rPr>
          </w:pPr>
          <w:hyperlink w:anchor="_Toc137711785" w:history="1">
            <w:r w:rsidR="004E200E" w:rsidRPr="00907218">
              <w:rPr>
                <w:rStyle w:val="Hyperlink"/>
                <w:rFonts w:cstheme="minorHAnsi"/>
                <w:noProof/>
              </w:rPr>
              <w:t>4.2</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rPr>
              <w:t>Totholz</w:t>
            </w:r>
            <w:r w:rsidR="004E200E">
              <w:rPr>
                <w:noProof/>
                <w:webHidden/>
              </w:rPr>
              <w:tab/>
            </w:r>
            <w:r w:rsidR="004E200E">
              <w:rPr>
                <w:noProof/>
                <w:webHidden/>
              </w:rPr>
              <w:fldChar w:fldCharType="begin"/>
            </w:r>
            <w:r w:rsidR="004E200E">
              <w:rPr>
                <w:noProof/>
                <w:webHidden/>
              </w:rPr>
              <w:instrText xml:space="preserve"> PAGEREF _Toc137711785 \h </w:instrText>
            </w:r>
            <w:r w:rsidR="004E200E">
              <w:rPr>
                <w:noProof/>
                <w:webHidden/>
              </w:rPr>
            </w:r>
            <w:r w:rsidR="004E200E">
              <w:rPr>
                <w:noProof/>
                <w:webHidden/>
              </w:rPr>
              <w:fldChar w:fldCharType="separate"/>
            </w:r>
            <w:r w:rsidR="004E200E">
              <w:rPr>
                <w:noProof/>
                <w:webHidden/>
              </w:rPr>
              <w:t>40</w:t>
            </w:r>
            <w:r w:rsidR="004E200E">
              <w:rPr>
                <w:noProof/>
                <w:webHidden/>
              </w:rPr>
              <w:fldChar w:fldCharType="end"/>
            </w:r>
          </w:hyperlink>
        </w:p>
        <w:p w14:paraId="45D4B87E" w14:textId="77777777" w:rsidR="004E200E" w:rsidRDefault="007833DD" w:rsidP="004E200E">
          <w:pPr>
            <w:pStyle w:val="Verzeichnis3"/>
            <w:rPr>
              <w:rFonts w:asciiTheme="minorHAnsi" w:eastAsiaTheme="minorEastAsia" w:hAnsiTheme="minorHAnsi" w:cstheme="minorBidi"/>
              <w:noProof/>
              <w:color w:val="auto"/>
              <w:sz w:val="22"/>
              <w:szCs w:val="22"/>
            </w:rPr>
          </w:pPr>
          <w:hyperlink w:anchor="_Toc137711786" w:history="1">
            <w:r w:rsidR="004E200E" w:rsidRPr="00907218">
              <w:rPr>
                <w:rStyle w:val="Hyperlink"/>
                <w:rFonts w:cstheme="minorHAnsi"/>
                <w:noProof/>
              </w:rPr>
              <w:t>4.2.1</w:t>
            </w:r>
            <w:r w:rsidR="004E200E">
              <w:rPr>
                <w:rFonts w:asciiTheme="minorHAnsi" w:eastAsiaTheme="minorEastAsia" w:hAnsiTheme="minorHAnsi" w:cstheme="minorBidi"/>
                <w:noProof/>
                <w:color w:val="auto"/>
                <w:sz w:val="22"/>
                <w:szCs w:val="22"/>
              </w:rPr>
              <w:tab/>
            </w:r>
            <w:r w:rsidR="004E200E" w:rsidRPr="00907218">
              <w:rPr>
                <w:rStyle w:val="Hyperlink"/>
                <w:rFonts w:cstheme="minorHAnsi"/>
                <w:noProof/>
              </w:rPr>
              <w:t>Vergleichsdaten</w:t>
            </w:r>
            <w:r w:rsidR="004E200E">
              <w:rPr>
                <w:noProof/>
                <w:webHidden/>
              </w:rPr>
              <w:tab/>
            </w:r>
            <w:r w:rsidR="004E200E">
              <w:rPr>
                <w:noProof/>
                <w:webHidden/>
              </w:rPr>
              <w:fldChar w:fldCharType="begin"/>
            </w:r>
            <w:r w:rsidR="004E200E">
              <w:rPr>
                <w:noProof/>
                <w:webHidden/>
              </w:rPr>
              <w:instrText xml:space="preserve"> PAGEREF _Toc137711786 \h </w:instrText>
            </w:r>
            <w:r w:rsidR="004E200E">
              <w:rPr>
                <w:noProof/>
                <w:webHidden/>
              </w:rPr>
            </w:r>
            <w:r w:rsidR="004E200E">
              <w:rPr>
                <w:noProof/>
                <w:webHidden/>
              </w:rPr>
              <w:fldChar w:fldCharType="separate"/>
            </w:r>
            <w:r w:rsidR="004E200E">
              <w:rPr>
                <w:noProof/>
                <w:webHidden/>
              </w:rPr>
              <w:t>40</w:t>
            </w:r>
            <w:r w:rsidR="004E200E">
              <w:rPr>
                <w:noProof/>
                <w:webHidden/>
              </w:rPr>
              <w:fldChar w:fldCharType="end"/>
            </w:r>
          </w:hyperlink>
        </w:p>
        <w:p w14:paraId="0CB6847B" w14:textId="77777777" w:rsidR="004E200E" w:rsidRDefault="004E200E" w:rsidP="004E200E">
          <w:r>
            <w:rPr>
              <w:b/>
              <w:bCs/>
            </w:rPr>
            <w:fldChar w:fldCharType="end"/>
          </w:r>
        </w:p>
      </w:sdtContent>
    </w:sdt>
    <w:p w14:paraId="510519D5" w14:textId="77777777" w:rsidR="004E200E" w:rsidRPr="00D43A69" w:rsidRDefault="004E200E" w:rsidP="004E200E"/>
    <w:p w14:paraId="4BBCCE3B" w14:textId="77777777" w:rsidR="004E200E" w:rsidRPr="00687919" w:rsidRDefault="004E200E" w:rsidP="001D0D18">
      <w:pPr>
        <w:pStyle w:val="berschrift1"/>
        <w:numPr>
          <w:ilvl w:val="0"/>
          <w:numId w:val="9"/>
        </w:numPr>
        <w:ind w:left="1134"/>
        <w:rPr>
          <w:rFonts w:asciiTheme="minorHAnsi" w:hAnsiTheme="minorHAnsi" w:cstheme="minorHAnsi"/>
        </w:rPr>
      </w:pPr>
      <w:bookmarkStart w:id="0" w:name="_Toc137711747"/>
      <w:r w:rsidRPr="00687919">
        <w:rPr>
          <w:rFonts w:asciiTheme="minorHAnsi" w:hAnsiTheme="minorHAnsi" w:cstheme="minorHAnsi"/>
        </w:rPr>
        <w:lastRenderedPageBreak/>
        <w:t>Zielsetzung/ Zielergebnisse</w:t>
      </w:r>
      <w:bookmarkEnd w:id="0"/>
    </w:p>
    <w:p w14:paraId="25407CB6" w14:textId="77777777" w:rsidR="004E200E" w:rsidRPr="00687919" w:rsidRDefault="004E200E" w:rsidP="004E200E">
      <w:pPr>
        <w:rPr>
          <w:rFonts w:asciiTheme="minorHAnsi" w:hAnsiTheme="minorHAnsi" w:cstheme="minorHAnsi"/>
          <w:szCs w:val="21"/>
        </w:rPr>
      </w:pPr>
      <w:r w:rsidRPr="00687919">
        <w:rPr>
          <w:rFonts w:asciiTheme="minorHAnsi" w:hAnsiTheme="minorHAnsi" w:cstheme="minorHAnsi"/>
          <w:szCs w:val="21"/>
        </w:rPr>
        <w:t xml:space="preserve">Die Auswertung der </w:t>
      </w:r>
      <w:proofErr w:type="spellStart"/>
      <w:r w:rsidRPr="00687919">
        <w:rPr>
          <w:rFonts w:asciiTheme="minorHAnsi" w:hAnsiTheme="minorHAnsi" w:cstheme="minorHAnsi"/>
          <w:szCs w:val="21"/>
        </w:rPr>
        <w:t>Bestandesdaten</w:t>
      </w:r>
      <w:proofErr w:type="spellEnd"/>
      <w:r w:rsidRPr="00687919">
        <w:rPr>
          <w:rFonts w:asciiTheme="minorHAnsi" w:hAnsiTheme="minorHAnsi" w:cstheme="minorHAnsi"/>
          <w:szCs w:val="21"/>
        </w:rPr>
        <w:t xml:space="preserve"> an </w:t>
      </w:r>
      <w:proofErr w:type="spellStart"/>
      <w:r w:rsidRPr="00687919">
        <w:rPr>
          <w:rFonts w:asciiTheme="minorHAnsi" w:hAnsiTheme="minorHAnsi" w:cstheme="minorHAnsi"/>
          <w:szCs w:val="21"/>
        </w:rPr>
        <w:t>MoMoK</w:t>
      </w:r>
      <w:proofErr w:type="spellEnd"/>
      <w:r w:rsidRPr="00687919">
        <w:rPr>
          <w:rFonts w:asciiTheme="minorHAnsi" w:hAnsiTheme="minorHAnsi" w:cstheme="minorHAnsi"/>
          <w:szCs w:val="21"/>
        </w:rPr>
        <w:t xml:space="preserve"> Standorten soll folgende Ergebnisse liefern: </w:t>
      </w:r>
    </w:p>
    <w:p w14:paraId="35FD0C56" w14:textId="77777777" w:rsidR="004E200E" w:rsidRPr="00687919" w:rsidRDefault="004E200E" w:rsidP="004E200E">
      <w:pPr>
        <w:rPr>
          <w:rFonts w:asciiTheme="minorHAnsi" w:hAnsiTheme="minorHAnsi" w:cstheme="minorHAnsi"/>
          <w:szCs w:val="21"/>
        </w:rPr>
      </w:pPr>
      <w:r w:rsidRPr="00687919">
        <w:rPr>
          <w:rFonts w:asciiTheme="minorHAnsi" w:hAnsiTheme="minorHAnsi" w:cstheme="minorHAnsi"/>
          <w:szCs w:val="21"/>
        </w:rPr>
        <w:t>Hauptziel der Auswertung ist die Auswertung des Kohlenstoffvorrat (1) pro Plot in Tonnen C, (2) pro Plot in Tonnen C pro Hektar, (3) pro Plot pro Baumartengruppe in Tonnen C pro Hektar.</w:t>
      </w:r>
      <w:r>
        <w:rPr>
          <w:rFonts w:asciiTheme="minorHAnsi" w:hAnsiTheme="minorHAnsi" w:cstheme="minorHAnsi"/>
          <w:szCs w:val="21"/>
        </w:rPr>
        <w:t xml:space="preserve"> </w:t>
      </w:r>
      <w:proofErr w:type="spellStart"/>
      <w:r>
        <w:rPr>
          <w:rFonts w:asciiTheme="minorHAnsi" w:hAnsiTheme="minorHAnsi" w:cstheme="minorHAnsi"/>
          <w:szCs w:val="21"/>
        </w:rPr>
        <w:t>Desweiteren</w:t>
      </w:r>
      <w:proofErr w:type="spellEnd"/>
      <w:r>
        <w:rPr>
          <w:rFonts w:asciiTheme="minorHAnsi" w:hAnsiTheme="minorHAnsi" w:cstheme="minorHAnsi"/>
          <w:szCs w:val="21"/>
        </w:rPr>
        <w:t xml:space="preserve"> soll dementsprechend der Stickstoffvorrat ermittelt werden.</w:t>
      </w:r>
    </w:p>
    <w:p w14:paraId="47CF1E40" w14:textId="77777777" w:rsidR="004E200E" w:rsidRPr="00687919" w:rsidRDefault="004E200E" w:rsidP="004E200E">
      <w:pPr>
        <w:rPr>
          <w:rFonts w:asciiTheme="minorHAnsi" w:hAnsiTheme="minorHAnsi" w:cstheme="minorHAnsi"/>
          <w:sz w:val="24"/>
          <w:szCs w:val="24"/>
        </w:rPr>
      </w:pPr>
      <w:r w:rsidRPr="00687919">
        <w:rPr>
          <w:rFonts w:asciiTheme="minorHAnsi" w:hAnsiTheme="minorHAnsi" w:cstheme="minorHAnsi"/>
        </w:rPr>
        <w:t>Die Ergebnistabellen mit den Kohlenstoffvorräten werden den Kohlenstoffvorrat in folgende Kompartimente aufschlüsseln:</w:t>
      </w:r>
    </w:p>
    <w:p w14:paraId="6FC86360" w14:textId="77777777" w:rsidR="004E200E" w:rsidRPr="00687919" w:rsidRDefault="004E200E" w:rsidP="004E200E">
      <w:pPr>
        <w:pStyle w:val="Liste-1"/>
        <w:numPr>
          <w:ilvl w:val="0"/>
          <w:numId w:val="2"/>
        </w:numPr>
      </w:pPr>
      <w:r w:rsidRPr="00687919">
        <w:t>Oberirdisch:</w:t>
      </w:r>
    </w:p>
    <w:p w14:paraId="759949D1" w14:textId="77777777" w:rsidR="004E200E" w:rsidRPr="00687919" w:rsidRDefault="004E200E" w:rsidP="004E200E">
      <w:pPr>
        <w:pStyle w:val="Listenabsatz"/>
      </w:pPr>
      <w:r w:rsidRPr="00687919">
        <w:t>Altbestand: beinhaltet alle Bäume über 7cm Brusthöhendurchmesser (BHD)</w:t>
      </w:r>
    </w:p>
    <w:p w14:paraId="14B1BF27" w14:textId="77777777" w:rsidR="004E200E" w:rsidRPr="00687919" w:rsidRDefault="004E200E" w:rsidP="004E200E">
      <w:pPr>
        <w:pStyle w:val="Listenabsatz"/>
      </w:pPr>
      <w:r w:rsidRPr="00687919">
        <w:t>Stamm</w:t>
      </w:r>
    </w:p>
    <w:p w14:paraId="01FF0820" w14:textId="77777777" w:rsidR="004E200E" w:rsidRPr="00687919" w:rsidRDefault="004E200E" w:rsidP="004E200E">
      <w:pPr>
        <w:pStyle w:val="Listenabsatz"/>
      </w:pPr>
      <w:r w:rsidRPr="00687919">
        <w:t>Äste</w:t>
      </w:r>
    </w:p>
    <w:p w14:paraId="2FE755A5" w14:textId="77777777" w:rsidR="004E200E" w:rsidRPr="00687919" w:rsidRDefault="004E200E" w:rsidP="004E200E">
      <w:pPr>
        <w:pStyle w:val="Listenabsatz"/>
      </w:pPr>
      <w:r w:rsidRPr="00687919">
        <w:t>Blattmasse</w:t>
      </w:r>
    </w:p>
    <w:p w14:paraId="58CD6040" w14:textId="77777777" w:rsidR="004E200E" w:rsidRPr="00687919" w:rsidRDefault="004E200E" w:rsidP="004E200E">
      <w:pPr>
        <w:pStyle w:val="Liste-1"/>
        <w:numPr>
          <w:ilvl w:val="0"/>
          <w:numId w:val="2"/>
        </w:numPr>
      </w:pPr>
      <w:r w:rsidRPr="00687919">
        <w:t>Totholz</w:t>
      </w:r>
    </w:p>
    <w:p w14:paraId="59F268C4" w14:textId="77777777" w:rsidR="004E200E" w:rsidRDefault="004E200E" w:rsidP="004E200E">
      <w:pPr>
        <w:pStyle w:val="Liste-1"/>
        <w:numPr>
          <w:ilvl w:val="0"/>
          <w:numId w:val="2"/>
        </w:numPr>
      </w:pPr>
      <w:r w:rsidRPr="00687919">
        <w:t xml:space="preserve">Verjüngung: </w:t>
      </w:r>
    </w:p>
    <w:p w14:paraId="43AA0829" w14:textId="77777777" w:rsidR="004E200E" w:rsidRPr="00687919" w:rsidRDefault="004E200E" w:rsidP="004E200E">
      <w:pPr>
        <w:pStyle w:val="Listenabsatz"/>
      </w:pPr>
      <w:r w:rsidRPr="00687919">
        <w:t>beinhaltet alle Bäume unter 7cm BHD</w:t>
      </w:r>
    </w:p>
    <w:p w14:paraId="6D07E861" w14:textId="77777777" w:rsidR="004E200E" w:rsidRPr="00687919" w:rsidRDefault="004E200E" w:rsidP="004E200E">
      <w:pPr>
        <w:pStyle w:val="Liste-1"/>
        <w:numPr>
          <w:ilvl w:val="0"/>
          <w:numId w:val="2"/>
        </w:numPr>
      </w:pPr>
      <w:r w:rsidRPr="00687919">
        <w:t>Unterirdisch: </w:t>
      </w:r>
    </w:p>
    <w:p w14:paraId="636AC91F" w14:textId="77777777" w:rsidR="004E200E" w:rsidRPr="00687919" w:rsidRDefault="004E200E" w:rsidP="004E200E">
      <w:pPr>
        <w:pStyle w:val="Listenabsatz"/>
      </w:pPr>
      <w:r w:rsidRPr="00687919">
        <w:t>Biomasse der Grobwurzeln des Altbestandes</w:t>
      </w:r>
    </w:p>
    <w:p w14:paraId="12B29C15" w14:textId="77777777" w:rsidR="004E200E" w:rsidRPr="00687919" w:rsidRDefault="004E200E" w:rsidP="004E200E">
      <w:pPr>
        <w:rPr>
          <w:rFonts w:asciiTheme="minorHAnsi" w:hAnsiTheme="minorHAnsi" w:cstheme="minorHAnsi"/>
          <w:sz w:val="24"/>
          <w:szCs w:val="24"/>
        </w:rPr>
      </w:pPr>
      <w:proofErr w:type="gramStart"/>
      <w:r w:rsidRPr="00687919">
        <w:rPr>
          <w:rFonts w:asciiTheme="minorHAnsi" w:hAnsiTheme="minorHAnsi" w:cstheme="minorHAnsi"/>
        </w:rPr>
        <w:t xml:space="preserve">Des </w:t>
      </w:r>
      <w:proofErr w:type="spellStart"/>
      <w:r w:rsidRPr="00687919">
        <w:rPr>
          <w:rFonts w:asciiTheme="minorHAnsi" w:hAnsiTheme="minorHAnsi" w:cstheme="minorHAnsi"/>
        </w:rPr>
        <w:t>weiteren</w:t>
      </w:r>
      <w:proofErr w:type="spellEnd"/>
      <w:proofErr w:type="gramEnd"/>
      <w:r w:rsidRPr="00687919">
        <w:rPr>
          <w:rFonts w:asciiTheme="minorHAnsi" w:hAnsiTheme="minorHAnsi" w:cstheme="minorHAnsi"/>
        </w:rPr>
        <w:t>, werden folgende</w:t>
      </w:r>
      <w:r>
        <w:rPr>
          <w:rFonts w:asciiTheme="minorHAnsi" w:hAnsiTheme="minorHAnsi" w:cstheme="minorHAnsi"/>
        </w:rPr>
        <w:t xml:space="preserve"> </w:t>
      </w:r>
      <w:proofErr w:type="spellStart"/>
      <w:r w:rsidRPr="00687919">
        <w:rPr>
          <w:rFonts w:asciiTheme="minorHAnsi" w:hAnsiTheme="minorHAnsi" w:cstheme="minorHAnsi"/>
        </w:rPr>
        <w:t>bestandesbeschreibende</w:t>
      </w:r>
      <w:proofErr w:type="spellEnd"/>
      <w:r w:rsidRPr="00687919">
        <w:rPr>
          <w:rFonts w:asciiTheme="minorHAnsi" w:hAnsiTheme="minorHAnsi" w:cstheme="minorHAnsi"/>
        </w:rPr>
        <w:t xml:space="preserve"> Parameter pro Plot pro Baumart pro </w:t>
      </w:r>
      <w:proofErr w:type="spellStart"/>
      <w:r w:rsidRPr="00687919">
        <w:rPr>
          <w:rFonts w:asciiTheme="minorHAnsi" w:hAnsiTheme="minorHAnsi" w:cstheme="minorHAnsi"/>
        </w:rPr>
        <w:t>Bestandesschicht</w:t>
      </w:r>
      <w:proofErr w:type="spellEnd"/>
      <w:r w:rsidRPr="00687919">
        <w:rPr>
          <w:rFonts w:asciiTheme="minorHAnsi" w:hAnsiTheme="minorHAnsi" w:cstheme="minorHAnsi"/>
        </w:rPr>
        <w:t xml:space="preserve"> bereitgestellt: </w:t>
      </w:r>
    </w:p>
    <w:p w14:paraId="691A81BB" w14:textId="77777777" w:rsidR="004E200E" w:rsidRPr="00687919" w:rsidRDefault="004E200E" w:rsidP="004E200E">
      <w:pPr>
        <w:pStyle w:val="Liste-1"/>
        <w:numPr>
          <w:ilvl w:val="0"/>
          <w:numId w:val="2"/>
        </w:numPr>
      </w:pPr>
      <w:r w:rsidRPr="00687919">
        <w:t>Baumartenzusammensetzung</w:t>
      </w:r>
      <w:r>
        <w:t>:</w:t>
      </w:r>
    </w:p>
    <w:p w14:paraId="38EFD44D" w14:textId="77777777" w:rsidR="004E200E" w:rsidRPr="00E658DA" w:rsidRDefault="004E200E" w:rsidP="004E200E">
      <w:pPr>
        <w:pStyle w:val="Listenabsatz"/>
      </w:pPr>
      <w:r w:rsidRPr="00E658DA">
        <w:t>über Anteil der Baumart an gesamter Grundfläche des Plots</w:t>
      </w:r>
    </w:p>
    <w:p w14:paraId="63B060FE" w14:textId="77777777" w:rsidR="004E200E" w:rsidRPr="00687919" w:rsidRDefault="004E200E" w:rsidP="004E200E">
      <w:pPr>
        <w:pStyle w:val="Liste-1"/>
        <w:numPr>
          <w:ilvl w:val="0"/>
          <w:numId w:val="2"/>
        </w:numPr>
      </w:pPr>
      <w:proofErr w:type="spellStart"/>
      <w:r w:rsidRPr="00687919">
        <w:t>Bestandesdichte</w:t>
      </w:r>
      <w:proofErr w:type="spellEnd"/>
      <w:r>
        <w:t>:</w:t>
      </w:r>
    </w:p>
    <w:p w14:paraId="0085D402" w14:textId="77777777" w:rsidR="004E200E" w:rsidRPr="00E658DA" w:rsidRDefault="004E200E" w:rsidP="004E200E">
      <w:pPr>
        <w:pStyle w:val="Listenabsatz"/>
      </w:pPr>
      <w:r w:rsidRPr="00E658DA">
        <w:t>über Grundfläche in m2/ ha pro Plot und Baumart</w:t>
      </w:r>
    </w:p>
    <w:p w14:paraId="2922FB23" w14:textId="77777777" w:rsidR="004E200E" w:rsidRPr="00E658DA" w:rsidRDefault="004E200E" w:rsidP="004E200E">
      <w:pPr>
        <w:pStyle w:val="Listenabsatz"/>
      </w:pPr>
      <w:r w:rsidRPr="00E658DA">
        <w:t>über Stammzahl pro Hektar</w:t>
      </w:r>
    </w:p>
    <w:p w14:paraId="3E094036" w14:textId="77777777" w:rsidR="004E200E" w:rsidRPr="00E658DA" w:rsidRDefault="004E200E" w:rsidP="004E200E">
      <w:pPr>
        <w:pStyle w:val="Listenabsatz"/>
      </w:pPr>
      <w:r w:rsidRPr="00E658DA">
        <w:t>über Standraum pro Baum</w:t>
      </w:r>
    </w:p>
    <w:p w14:paraId="03F13C70" w14:textId="77777777" w:rsidR="004E200E" w:rsidRPr="00687919" w:rsidRDefault="004E200E" w:rsidP="004E200E">
      <w:pPr>
        <w:pStyle w:val="Liste-1"/>
        <w:numPr>
          <w:ilvl w:val="0"/>
          <w:numId w:val="2"/>
        </w:numPr>
      </w:pPr>
      <w:r w:rsidRPr="00687919">
        <w:t>mittlere Höhe</w:t>
      </w:r>
    </w:p>
    <w:p w14:paraId="58A84431" w14:textId="77777777" w:rsidR="004E200E" w:rsidRPr="00687919" w:rsidRDefault="004E200E" w:rsidP="004E200E">
      <w:pPr>
        <w:pStyle w:val="Liste-1"/>
        <w:numPr>
          <w:ilvl w:val="0"/>
          <w:numId w:val="2"/>
        </w:numPr>
      </w:pPr>
      <w:r w:rsidRPr="00687919">
        <w:t>mittlerer Durchmesser</w:t>
      </w:r>
    </w:p>
    <w:p w14:paraId="4A4CEBC9" w14:textId="77777777" w:rsidR="004E200E" w:rsidRPr="00687919" w:rsidRDefault="004E200E" w:rsidP="004E200E">
      <w:pPr>
        <w:pStyle w:val="Liste-1"/>
        <w:numPr>
          <w:ilvl w:val="0"/>
          <w:numId w:val="2"/>
        </w:numPr>
      </w:pPr>
      <w:r>
        <w:t>d</w:t>
      </w:r>
      <w:r w:rsidRPr="00687919">
        <w:t>urchschnittliches Alter</w:t>
      </w:r>
    </w:p>
    <w:p w14:paraId="03FE4BA6" w14:textId="77777777" w:rsidR="004E200E" w:rsidRPr="00687919" w:rsidRDefault="004E200E" w:rsidP="004E200E">
      <w:pPr>
        <w:rPr>
          <w:rFonts w:asciiTheme="minorHAnsi" w:hAnsiTheme="minorHAnsi" w:cstheme="minorHAnsi"/>
          <w:sz w:val="24"/>
          <w:szCs w:val="24"/>
        </w:rPr>
      </w:pPr>
      <w:r w:rsidRPr="00687919">
        <w:rPr>
          <w:rFonts w:asciiTheme="minorHAnsi" w:hAnsiTheme="minorHAnsi" w:cstheme="minorHAnsi"/>
        </w:rPr>
        <w:t>Ferner werden Informationen über Indikatoren für die Biodiversität des Baumbestandes bzw. das Potential des Waldes Biodiversität zu begünstigen pro Plot bereitgestellt. </w:t>
      </w:r>
    </w:p>
    <w:p w14:paraId="4DA8D9AC" w14:textId="77777777" w:rsidR="004E200E" w:rsidRPr="00687919" w:rsidRDefault="004E200E" w:rsidP="004E200E">
      <w:pPr>
        <w:pStyle w:val="Liste-1"/>
        <w:numPr>
          <w:ilvl w:val="0"/>
          <w:numId w:val="2"/>
        </w:numPr>
      </w:pPr>
      <w:r w:rsidRPr="00687919">
        <w:t>Horizontal Struktur:</w:t>
      </w:r>
    </w:p>
    <w:p w14:paraId="61B3886E" w14:textId="77777777" w:rsidR="004E200E" w:rsidRPr="00687919" w:rsidRDefault="004E200E" w:rsidP="004E200E">
      <w:pPr>
        <w:pStyle w:val="Listenabsatz"/>
      </w:pPr>
      <w:r w:rsidRPr="00687919">
        <w:t>Artenanzahl </w:t>
      </w:r>
    </w:p>
    <w:p w14:paraId="3F85C1D9" w14:textId="77777777" w:rsidR="004E200E" w:rsidRPr="00687919" w:rsidRDefault="004E200E" w:rsidP="004E200E">
      <w:pPr>
        <w:pStyle w:val="Listenabsatz"/>
      </w:pPr>
      <w:r w:rsidRPr="00687919">
        <w:t>Bestand</w:t>
      </w:r>
    </w:p>
    <w:p w14:paraId="096A6C2A" w14:textId="77777777" w:rsidR="004E200E" w:rsidRPr="00687919" w:rsidRDefault="004E200E" w:rsidP="004E200E">
      <w:pPr>
        <w:pStyle w:val="Listenabsatz"/>
      </w:pPr>
      <w:r w:rsidRPr="00687919">
        <w:t>Verjüngung</w:t>
      </w:r>
    </w:p>
    <w:p w14:paraId="52C441ED" w14:textId="77777777" w:rsidR="004E200E" w:rsidRPr="00687919" w:rsidRDefault="004E200E" w:rsidP="004E200E">
      <w:pPr>
        <w:pStyle w:val="Listenabsatz"/>
      </w:pPr>
      <w:r w:rsidRPr="00687919">
        <w:t>Bestand + Verjüngung</w:t>
      </w:r>
    </w:p>
    <w:p w14:paraId="4E22038E" w14:textId="77777777" w:rsidR="004E200E" w:rsidRPr="00687919" w:rsidRDefault="004E200E" w:rsidP="004E200E">
      <w:pPr>
        <w:pStyle w:val="Liste-1"/>
        <w:numPr>
          <w:ilvl w:val="0"/>
          <w:numId w:val="2"/>
        </w:numPr>
      </w:pPr>
      <w:r w:rsidRPr="00687919">
        <w:t>Vertikal Struktur: </w:t>
      </w:r>
    </w:p>
    <w:p w14:paraId="09EF2BFE" w14:textId="77777777" w:rsidR="004E200E" w:rsidRPr="00687919" w:rsidRDefault="004E200E" w:rsidP="004E200E">
      <w:pPr>
        <w:pStyle w:val="Listenabsatz"/>
      </w:pPr>
      <w:r w:rsidRPr="00687919">
        <w:t>Standartabweichung der Baumhöhen</w:t>
      </w:r>
    </w:p>
    <w:p w14:paraId="377754BD" w14:textId="77777777" w:rsidR="004E200E" w:rsidRPr="00687919" w:rsidRDefault="004E200E" w:rsidP="004E200E">
      <w:pPr>
        <w:pStyle w:val="Listenabsatz"/>
      </w:pPr>
      <w:r w:rsidRPr="00687919">
        <w:t>Standardabweichung der Baumdurchmesser</w:t>
      </w:r>
    </w:p>
    <w:p w14:paraId="77FAA99A" w14:textId="77777777" w:rsidR="004E200E" w:rsidRPr="00687919" w:rsidRDefault="004E200E" w:rsidP="004E200E">
      <w:pPr>
        <w:pStyle w:val="Liste-1"/>
        <w:numPr>
          <w:ilvl w:val="0"/>
          <w:numId w:val="2"/>
        </w:numPr>
      </w:pPr>
      <w:r w:rsidRPr="00687919">
        <w:t>Totholzanteil</w:t>
      </w:r>
      <w:r>
        <w:t>:</w:t>
      </w:r>
    </w:p>
    <w:p w14:paraId="66497C11" w14:textId="77777777" w:rsidR="004E200E" w:rsidRPr="00687919" w:rsidRDefault="004E200E" w:rsidP="004E200E">
      <w:pPr>
        <w:pStyle w:val="Listenabsatz"/>
      </w:pPr>
      <w:r w:rsidRPr="00687919">
        <w:lastRenderedPageBreak/>
        <w:t>an gesamter Biomasse </w:t>
      </w:r>
    </w:p>
    <w:p w14:paraId="2C299396" w14:textId="77777777" w:rsidR="004E200E" w:rsidRPr="00687919" w:rsidRDefault="004E200E" w:rsidP="004E200E">
      <w:pPr>
        <w:pStyle w:val="Listenabsatz"/>
      </w:pPr>
      <w:r w:rsidRPr="00687919">
        <w:t>Anteil stehenden Totholzes an der gesamten Totholzbiomasse </w:t>
      </w:r>
    </w:p>
    <w:p w14:paraId="520F9B30" w14:textId="77777777" w:rsidR="004E200E" w:rsidRPr="00687919" w:rsidRDefault="004E200E" w:rsidP="004E200E">
      <w:pPr>
        <w:pStyle w:val="Listenabsatz"/>
      </w:pPr>
      <w:r w:rsidRPr="00687919">
        <w:t>Anteil liegenden Totholzes an der gesamten Totholzbiomasse</w:t>
      </w:r>
    </w:p>
    <w:p w14:paraId="3BC15508" w14:textId="77777777" w:rsidR="004E200E" w:rsidRPr="00687919" w:rsidRDefault="004E200E" w:rsidP="001D0D18">
      <w:pPr>
        <w:pStyle w:val="berschrift1"/>
        <w:numPr>
          <w:ilvl w:val="0"/>
          <w:numId w:val="9"/>
        </w:numPr>
        <w:rPr>
          <w:rStyle w:val="berschrift1Zchn"/>
          <w:rFonts w:asciiTheme="minorHAnsi" w:hAnsiTheme="minorHAnsi" w:cstheme="minorHAnsi"/>
          <w:b/>
        </w:rPr>
      </w:pPr>
      <w:bookmarkStart w:id="1" w:name="_Toc137711748"/>
      <w:r w:rsidRPr="00687919">
        <w:rPr>
          <w:rStyle w:val="berschrift1Zchn"/>
          <w:rFonts w:asciiTheme="minorHAnsi" w:hAnsiTheme="minorHAnsi" w:cstheme="minorHAnsi"/>
        </w:rPr>
        <w:t>Methodik</w:t>
      </w:r>
      <w:bookmarkEnd w:id="1"/>
    </w:p>
    <w:p w14:paraId="02E7F086" w14:textId="15116D4F" w:rsidR="004E200E" w:rsidRDefault="00937CE8" w:rsidP="001D0D18">
      <w:pPr>
        <w:pStyle w:val="berschrift2"/>
        <w:numPr>
          <w:ilvl w:val="1"/>
          <w:numId w:val="9"/>
        </w:numPr>
        <w:rPr>
          <w:rStyle w:val="berschrift2Zchn"/>
          <w:rFonts w:asciiTheme="minorHAnsi" w:hAnsiTheme="minorHAnsi" w:cstheme="minorHAnsi"/>
        </w:rPr>
      </w:pPr>
      <w:bookmarkStart w:id="2" w:name="_Toc137711749"/>
      <w:r>
        <w:rPr>
          <w:rStyle w:val="berschrift2Zchn"/>
          <w:rFonts w:asciiTheme="minorHAnsi" w:hAnsiTheme="minorHAnsi" w:cstheme="minorHAnsi"/>
        </w:rPr>
        <w:t xml:space="preserve">Biomasse </w:t>
      </w:r>
      <w:r w:rsidR="004E200E" w:rsidRPr="00687919">
        <w:rPr>
          <w:rStyle w:val="berschrift2Zchn"/>
          <w:rFonts w:asciiTheme="minorHAnsi" w:hAnsiTheme="minorHAnsi" w:cstheme="minorHAnsi"/>
        </w:rPr>
        <w:t>Baumbestand</w:t>
      </w:r>
      <w:bookmarkEnd w:id="2"/>
    </w:p>
    <w:p w14:paraId="589B2D37" w14:textId="3B360CCF" w:rsidR="002C26C5" w:rsidRPr="002C26C5" w:rsidRDefault="002C26C5" w:rsidP="002C26C5">
      <w:pPr>
        <w:pStyle w:val="berschrift3"/>
      </w:pPr>
      <w:r>
        <w:t>Auswahl der Biomassefunktionen</w:t>
      </w:r>
    </w:p>
    <w:p w14:paraId="0E524EC8" w14:textId="77777777" w:rsidR="00310DDC" w:rsidRDefault="004E200E" w:rsidP="004E200E">
      <w:pPr>
        <w:rPr>
          <w:rFonts w:asciiTheme="minorHAnsi" w:hAnsiTheme="minorHAnsi" w:cstheme="minorHAnsi"/>
        </w:rPr>
      </w:pPr>
      <w:r w:rsidRPr="00687919">
        <w:rPr>
          <w:rFonts w:asciiTheme="minorHAnsi" w:hAnsiTheme="minorHAnsi" w:cstheme="minorHAnsi"/>
        </w:rPr>
        <w:t>Um den Kohlenstoff</w:t>
      </w:r>
      <w:r w:rsidR="00B43718">
        <w:rPr>
          <w:rFonts w:asciiTheme="minorHAnsi" w:hAnsiTheme="minorHAnsi" w:cstheme="minorHAnsi"/>
        </w:rPr>
        <w:t>- und Stickstoff</w:t>
      </w:r>
      <w:r w:rsidRPr="00687919">
        <w:rPr>
          <w:rFonts w:asciiTheme="minorHAnsi" w:hAnsiTheme="minorHAnsi" w:cstheme="minorHAnsi"/>
        </w:rPr>
        <w:t xml:space="preserve">vorrat zu berechnen, wird die Biomasse der Einzelbäume in den jeweiligen Kompartimenten (Stamm, </w:t>
      </w:r>
      <w:r w:rsidR="00B43718">
        <w:rPr>
          <w:rFonts w:asciiTheme="minorHAnsi" w:hAnsiTheme="minorHAnsi" w:cstheme="minorHAnsi"/>
        </w:rPr>
        <w:t xml:space="preserve">Rinde, </w:t>
      </w:r>
      <w:r w:rsidRPr="00687919">
        <w:rPr>
          <w:rFonts w:asciiTheme="minorHAnsi" w:hAnsiTheme="minorHAnsi" w:cstheme="minorHAnsi"/>
        </w:rPr>
        <w:t>Äste, Blätter, Wurzeln) benötigt. Diese kann über Biomassenfunktionen berechnet werden,</w:t>
      </w:r>
      <w:r w:rsidR="00937CE8">
        <w:rPr>
          <w:rFonts w:asciiTheme="minorHAnsi" w:hAnsiTheme="minorHAnsi" w:cstheme="minorHAnsi"/>
        </w:rPr>
        <w:t xml:space="preserve"> welche in der Regel auf Eingangsparametern wie dem Brusthöhendurchmesser und der Baumhöhe beruhen. </w:t>
      </w:r>
    </w:p>
    <w:p w14:paraId="2799F6DC" w14:textId="16376E4D" w:rsidR="00C15154" w:rsidRDefault="00310DDC" w:rsidP="004E200E">
      <w:pPr>
        <w:rPr>
          <w:rFonts w:asciiTheme="minorHAnsi" w:hAnsiTheme="minorHAnsi" w:cstheme="minorHAnsi"/>
        </w:rPr>
      </w:pPr>
      <w:r>
        <w:rPr>
          <w:rFonts w:asciiTheme="minorHAnsi" w:hAnsiTheme="minorHAnsi" w:cstheme="minorHAnsi"/>
        </w:rPr>
        <w:t xml:space="preserve">Zu den </w:t>
      </w:r>
      <w:proofErr w:type="spellStart"/>
      <w:r>
        <w:rPr>
          <w:rFonts w:asciiTheme="minorHAnsi" w:hAnsiTheme="minorHAnsi" w:cstheme="minorHAnsi"/>
        </w:rPr>
        <w:t>Einschränlungen</w:t>
      </w:r>
      <w:proofErr w:type="spellEnd"/>
      <w:r>
        <w:rPr>
          <w:rFonts w:asciiTheme="minorHAnsi" w:hAnsiTheme="minorHAnsi" w:cstheme="minorHAnsi"/>
        </w:rPr>
        <w:t xml:space="preserve"> </w:t>
      </w:r>
      <w:proofErr w:type="spellStart"/>
      <w:r>
        <w:rPr>
          <w:rFonts w:asciiTheme="minorHAnsi" w:hAnsiTheme="minorHAnsi" w:cstheme="minorHAnsi"/>
        </w:rPr>
        <w:t>allre</w:t>
      </w:r>
      <w:proofErr w:type="spellEnd"/>
      <w:r>
        <w:rPr>
          <w:rFonts w:asciiTheme="minorHAnsi" w:hAnsiTheme="minorHAnsi" w:cstheme="minorHAnsi"/>
        </w:rPr>
        <w:t xml:space="preserve"> Verfügung stehenden Biomassenmodellen zählen unter </w:t>
      </w:r>
      <w:proofErr w:type="gramStart"/>
      <w:r>
        <w:rPr>
          <w:rFonts w:asciiTheme="minorHAnsi" w:hAnsiTheme="minorHAnsi" w:cstheme="minorHAnsi"/>
        </w:rPr>
        <w:t>anderem,</w:t>
      </w:r>
      <w:r w:rsidR="00513E0F">
        <w:rPr>
          <w:rFonts w:asciiTheme="minorHAnsi" w:hAnsiTheme="minorHAnsi" w:cstheme="minorHAnsi"/>
        </w:rPr>
        <w:t>:</w:t>
      </w:r>
      <w:proofErr w:type="gramEnd"/>
    </w:p>
    <w:p w14:paraId="1318EBBE" w14:textId="05E598AA" w:rsidR="00C15154" w:rsidRDefault="003300F7" w:rsidP="00AB0D8F">
      <w:pPr>
        <w:pStyle w:val="Liste-1"/>
      </w:pPr>
      <w:r w:rsidRPr="00687919">
        <w:rPr>
          <w:rFonts w:asciiTheme="minorHAnsi" w:hAnsiTheme="minorHAnsi" w:cstheme="minorHAnsi"/>
          <w:i/>
          <w:iCs/>
          <w:szCs w:val="21"/>
        </w:rPr>
        <w:t>Artspezifische Aussagen zu Biomasse</w:t>
      </w:r>
      <w:r>
        <w:t xml:space="preserve">: </w:t>
      </w:r>
      <w:r w:rsidR="00513E0F">
        <w:t>A</w:t>
      </w:r>
      <w:r w:rsidR="00310DDC">
        <w:t xml:space="preserve">lle </w:t>
      </w:r>
      <w:r w:rsidR="00513E0F">
        <w:t>Biomassenm</w:t>
      </w:r>
      <w:r w:rsidR="00310DDC">
        <w:t>odelle sind Baumartengruppenspezifisch, die Funktionsparameter</w:t>
      </w:r>
      <w:r w:rsidR="00513E0F">
        <w:t xml:space="preserve"> gelten</w:t>
      </w:r>
      <w:r w:rsidR="00310DDC">
        <w:t xml:space="preserve"> also für eine ganze Baumartengruppe bzw. </w:t>
      </w:r>
      <w:proofErr w:type="spellStart"/>
      <w:r w:rsidR="00310DDC">
        <w:t>Baumgattungengruppe</w:t>
      </w:r>
      <w:proofErr w:type="spellEnd"/>
      <w:r w:rsidR="00C15154">
        <w:t>. Hierdurch können</w:t>
      </w:r>
      <w:r w:rsidR="00310DDC">
        <w:t xml:space="preserve"> </w:t>
      </w:r>
      <w:r w:rsidR="00C15154">
        <w:t xml:space="preserve">eventuellen Baumartenspezifischen Besonderheiten in der Biomassenakkumulation oder </w:t>
      </w:r>
      <w:proofErr w:type="spellStart"/>
      <w:r w:rsidR="00C15154">
        <w:t>Abweichngen</w:t>
      </w:r>
      <w:proofErr w:type="spellEnd"/>
      <w:r w:rsidR="00C15154">
        <w:t xml:space="preserve"> von der Biomassenakkumulation der Baumartengruppe für die die Funktion </w:t>
      </w:r>
      <w:proofErr w:type="spellStart"/>
      <w:proofErr w:type="gramStart"/>
      <w:r w:rsidR="00C15154">
        <w:t>Parameterisiert</w:t>
      </w:r>
      <w:proofErr w:type="spellEnd"/>
      <w:r w:rsidR="00C15154">
        <w:t xml:space="preserve">  nicht</w:t>
      </w:r>
      <w:proofErr w:type="gramEnd"/>
      <w:r w:rsidR="00C15154">
        <w:t xml:space="preserve"> abgebildet werden. </w:t>
      </w:r>
      <w:r w:rsidRPr="00687919">
        <w:rPr>
          <w:rFonts w:asciiTheme="minorHAnsi" w:hAnsiTheme="minorHAnsi" w:cstheme="minorHAnsi"/>
          <w:szCs w:val="21"/>
        </w:rPr>
        <w:t xml:space="preserve">Für </w:t>
      </w:r>
      <w:proofErr w:type="spellStart"/>
      <w:r w:rsidRPr="00687919">
        <w:rPr>
          <w:rFonts w:asciiTheme="minorHAnsi" w:hAnsiTheme="minorHAnsi" w:cstheme="minorHAnsi"/>
          <w:szCs w:val="21"/>
        </w:rPr>
        <w:t>MoMok</w:t>
      </w:r>
      <w:proofErr w:type="spellEnd"/>
      <w:r w:rsidRPr="00687919">
        <w:rPr>
          <w:rFonts w:asciiTheme="minorHAnsi" w:hAnsiTheme="minorHAnsi" w:cstheme="minorHAnsi"/>
          <w:szCs w:val="21"/>
        </w:rPr>
        <w:t xml:space="preserve"> sind </w:t>
      </w:r>
      <w:proofErr w:type="spellStart"/>
      <w:r w:rsidRPr="00687919">
        <w:rPr>
          <w:rFonts w:asciiTheme="minorHAnsi" w:hAnsiTheme="minorHAnsi" w:cstheme="minorHAnsi"/>
          <w:szCs w:val="21"/>
        </w:rPr>
        <w:t>Ki</w:t>
      </w:r>
      <w:proofErr w:type="spellEnd"/>
      <w:r w:rsidRPr="00687919">
        <w:rPr>
          <w:rFonts w:asciiTheme="minorHAnsi" w:hAnsiTheme="minorHAnsi" w:cstheme="minorHAnsi"/>
          <w:szCs w:val="21"/>
        </w:rPr>
        <w:t xml:space="preserve"> (</w:t>
      </w:r>
      <w:proofErr w:type="spellStart"/>
      <w:proofErr w:type="gramStart"/>
      <w:r w:rsidRPr="00687919">
        <w:rPr>
          <w:rFonts w:asciiTheme="minorHAnsi" w:hAnsiTheme="minorHAnsi" w:cstheme="minorHAnsi"/>
          <w:szCs w:val="21"/>
        </w:rPr>
        <w:t>BKi,GKi</w:t>
      </w:r>
      <w:proofErr w:type="spellEnd"/>
      <w:proofErr w:type="gramEnd"/>
      <w:r w:rsidRPr="00687919">
        <w:rPr>
          <w:rFonts w:asciiTheme="minorHAnsi" w:hAnsiTheme="minorHAnsi" w:cstheme="minorHAnsi"/>
          <w:szCs w:val="21"/>
        </w:rPr>
        <w:t>)</w:t>
      </w:r>
      <w:r>
        <w:rPr>
          <w:rFonts w:asciiTheme="minorHAnsi" w:hAnsiTheme="minorHAnsi" w:cstheme="minorHAnsi"/>
          <w:szCs w:val="21"/>
        </w:rPr>
        <w:t>,</w:t>
      </w:r>
      <w:r w:rsidRPr="00687919">
        <w:rPr>
          <w:rFonts w:asciiTheme="minorHAnsi" w:hAnsiTheme="minorHAnsi" w:cstheme="minorHAnsi"/>
          <w:szCs w:val="21"/>
        </w:rPr>
        <w:t xml:space="preserve"> </w:t>
      </w:r>
      <w:proofErr w:type="spellStart"/>
      <w:r>
        <w:rPr>
          <w:rFonts w:asciiTheme="minorHAnsi" w:hAnsiTheme="minorHAnsi" w:cstheme="minorHAnsi"/>
          <w:szCs w:val="21"/>
        </w:rPr>
        <w:t>GFi</w:t>
      </w:r>
      <w:proofErr w:type="spellEnd"/>
      <w:r>
        <w:rPr>
          <w:rFonts w:asciiTheme="minorHAnsi" w:hAnsiTheme="minorHAnsi" w:cstheme="minorHAnsi"/>
          <w:szCs w:val="21"/>
        </w:rPr>
        <w:t xml:space="preserve">, </w:t>
      </w:r>
      <w:proofErr w:type="spellStart"/>
      <w:r w:rsidRPr="00687919">
        <w:rPr>
          <w:rFonts w:asciiTheme="minorHAnsi" w:hAnsiTheme="minorHAnsi" w:cstheme="minorHAnsi"/>
          <w:szCs w:val="21"/>
        </w:rPr>
        <w:t>SErl</w:t>
      </w:r>
      <w:proofErr w:type="spellEnd"/>
      <w:r w:rsidRPr="00687919">
        <w:rPr>
          <w:rFonts w:asciiTheme="minorHAnsi" w:hAnsiTheme="minorHAnsi" w:cstheme="minorHAnsi"/>
          <w:szCs w:val="21"/>
        </w:rPr>
        <w:t xml:space="preserve">, </w:t>
      </w:r>
      <w:proofErr w:type="spellStart"/>
      <w:r w:rsidRPr="00687919">
        <w:rPr>
          <w:rFonts w:asciiTheme="minorHAnsi" w:hAnsiTheme="minorHAnsi" w:cstheme="minorHAnsi"/>
          <w:szCs w:val="21"/>
        </w:rPr>
        <w:t>MBi</w:t>
      </w:r>
      <w:proofErr w:type="spellEnd"/>
      <w:r w:rsidRPr="00687919">
        <w:rPr>
          <w:rFonts w:asciiTheme="minorHAnsi" w:hAnsiTheme="minorHAnsi" w:cstheme="minorHAnsi"/>
          <w:szCs w:val="21"/>
        </w:rPr>
        <w:t>, , relevante Baumarten</w:t>
      </w:r>
      <w:r>
        <w:rPr>
          <w:rFonts w:asciiTheme="minorHAnsi" w:hAnsiTheme="minorHAnsi" w:cstheme="minorHAnsi"/>
          <w:szCs w:val="21"/>
        </w:rPr>
        <w:t xml:space="preserve">, welche nicht oder nur teilweise durch die Baumartengruppen der </w:t>
      </w:r>
      <w:r w:rsidRPr="00687919">
        <w:rPr>
          <w:rFonts w:asciiTheme="minorHAnsi" w:hAnsiTheme="minorHAnsi" w:cstheme="minorHAnsi"/>
          <w:szCs w:val="21"/>
        </w:rPr>
        <w:t xml:space="preserve">Biomasse Rechnungen </w:t>
      </w:r>
      <w:r>
        <w:rPr>
          <w:rFonts w:asciiTheme="minorHAnsi" w:hAnsiTheme="minorHAnsi" w:cstheme="minorHAnsi"/>
          <w:szCs w:val="21"/>
        </w:rPr>
        <w:t xml:space="preserve">abgedeckt werden. </w:t>
      </w:r>
      <w:r w:rsidRPr="00687919">
        <w:rPr>
          <w:rFonts w:asciiTheme="minorHAnsi" w:hAnsiTheme="minorHAnsi" w:cstheme="minorHAnsi"/>
          <w:szCs w:val="21"/>
        </w:rPr>
        <w:t xml:space="preserve"> Bei der Nadel/Blattbiomasse wird nur nach Laub- und Nadelholz unterschieden</w:t>
      </w:r>
      <w:r>
        <w:rPr>
          <w:rFonts w:asciiTheme="minorHAnsi" w:hAnsiTheme="minorHAnsi" w:cstheme="minorHAnsi"/>
          <w:szCs w:val="21"/>
        </w:rPr>
        <w:t xml:space="preserve">, was zu noch größeren Ungenauigkeiten beiträgt. </w:t>
      </w:r>
    </w:p>
    <w:p w14:paraId="5E965A01" w14:textId="7D0C06F0" w:rsidR="00B865A6" w:rsidRDefault="00B865A6" w:rsidP="00AB0D8F">
      <w:pPr>
        <w:pStyle w:val="Liste-1"/>
      </w:pPr>
      <w:r>
        <w:t>Schätzfehler und Ungenauigkeiten</w:t>
      </w:r>
      <w:r w:rsidR="00513E0F">
        <w:t xml:space="preserve"> die</w:t>
      </w:r>
      <w:r>
        <w:t xml:space="preserve"> bei der Schätzung von Eingangsdaten für die </w:t>
      </w:r>
      <w:proofErr w:type="spellStart"/>
      <w:r>
        <w:t>Biomassenfuntionen</w:t>
      </w:r>
      <w:proofErr w:type="spellEnd"/>
      <w:r>
        <w:t xml:space="preserve"> </w:t>
      </w:r>
      <w:r w:rsidR="00513E0F">
        <w:t xml:space="preserve">entstehen können sich </w:t>
      </w:r>
      <w:r>
        <w:t>akkumulieren und in der Berechnung der Biomasse wiederspiegeln. I</w:t>
      </w:r>
      <w:r w:rsidR="00C15154">
        <w:t xml:space="preserve">m Rahmen der </w:t>
      </w:r>
      <w:proofErr w:type="spellStart"/>
      <w:r w:rsidR="00C15154">
        <w:t>Bestandesaufnahme</w:t>
      </w:r>
      <w:proofErr w:type="spellEnd"/>
      <w:r>
        <w:t xml:space="preserve"> wird </w:t>
      </w:r>
      <w:r w:rsidRPr="00687919">
        <w:rPr>
          <w:szCs w:val="21"/>
        </w:rPr>
        <w:t xml:space="preserve">gemäß der Anleitung zu </w:t>
      </w:r>
      <w:proofErr w:type="spellStart"/>
      <w:r w:rsidRPr="00687919">
        <w:rPr>
          <w:szCs w:val="21"/>
        </w:rPr>
        <w:t>Bestandeserhebung</w:t>
      </w:r>
      <w:proofErr w:type="spellEnd"/>
      <w:r w:rsidRPr="00687919">
        <w:rPr>
          <w:szCs w:val="21"/>
        </w:rPr>
        <w:t xml:space="preserve"> für </w:t>
      </w:r>
      <w:r>
        <w:rPr>
          <w:szCs w:val="21"/>
        </w:rPr>
        <w:t>jede Durchmesserklasse mind. eine Baumhöhe gemessen. M</w:t>
      </w:r>
      <w:r w:rsidRPr="00687919">
        <w:rPr>
          <w:szCs w:val="21"/>
        </w:rPr>
        <w:t xml:space="preserve">indestens </w:t>
      </w:r>
      <w:r>
        <w:rPr>
          <w:szCs w:val="21"/>
        </w:rPr>
        <w:t xml:space="preserve">sind </w:t>
      </w:r>
      <w:r w:rsidRPr="00687919">
        <w:rPr>
          <w:szCs w:val="21"/>
        </w:rPr>
        <w:t xml:space="preserve">fünf repräsentative Bäume pro Baumart und </w:t>
      </w:r>
      <w:r>
        <w:rPr>
          <w:szCs w:val="21"/>
        </w:rPr>
        <w:t>Schicht</w:t>
      </w:r>
      <w:r w:rsidR="00422568">
        <w:rPr>
          <w:szCs w:val="21"/>
        </w:rPr>
        <w:t xml:space="preserve"> </w:t>
      </w:r>
      <w:r>
        <w:rPr>
          <w:szCs w:val="21"/>
        </w:rPr>
        <w:t xml:space="preserve">zu </w:t>
      </w:r>
      <w:r w:rsidRPr="00687919">
        <w:rPr>
          <w:szCs w:val="21"/>
        </w:rPr>
        <w:t>erfass</w:t>
      </w:r>
      <w:r>
        <w:rPr>
          <w:szCs w:val="21"/>
        </w:rPr>
        <w:t>en</w:t>
      </w:r>
      <w:r w:rsidRPr="00687919">
        <w:rPr>
          <w:szCs w:val="21"/>
        </w:rPr>
        <w:t xml:space="preserve"> (sofern vorhanden)</w:t>
      </w:r>
      <w:r w:rsidRPr="00687919">
        <w:rPr>
          <w:szCs w:val="21"/>
          <w:shd w:val="clear" w:color="auto" w:fill="FFFFFF"/>
        </w:rPr>
        <w:t xml:space="preserve">. Die Höhen der Bäume, deren Höhe nicht </w:t>
      </w:r>
      <w:r>
        <w:rPr>
          <w:szCs w:val="21"/>
          <w:shd w:val="clear" w:color="auto" w:fill="FFFFFF"/>
        </w:rPr>
        <w:t>gemessen</w:t>
      </w:r>
      <w:r w:rsidRPr="00687919">
        <w:rPr>
          <w:szCs w:val="21"/>
          <w:shd w:val="clear" w:color="auto" w:fill="FFFFFF"/>
        </w:rPr>
        <w:t xml:space="preserve"> wurde, müssen somit geschätzt werden. Hierfür finden verschiedene Modelle </w:t>
      </w:r>
      <w:r>
        <w:rPr>
          <w:szCs w:val="21"/>
          <w:shd w:val="clear" w:color="auto" w:fill="FFFFFF"/>
        </w:rPr>
        <w:t>Anwendung</w:t>
      </w:r>
      <w:r w:rsidRPr="00687919">
        <w:rPr>
          <w:szCs w:val="21"/>
          <w:shd w:val="clear" w:color="auto" w:fill="FFFFFF"/>
        </w:rPr>
        <w:t xml:space="preserve"> (siehe </w:t>
      </w:r>
      <w:r>
        <w:rPr>
          <w:szCs w:val="21"/>
          <w:shd w:val="clear" w:color="auto" w:fill="FFFFFF"/>
        </w:rPr>
        <w:fldChar w:fldCharType="begin"/>
      </w:r>
      <w:r>
        <w:rPr>
          <w:szCs w:val="21"/>
          <w:shd w:val="clear" w:color="auto" w:fill="FFFFFF"/>
        </w:rPr>
        <w:instrText xml:space="preserve"> REF _Ref136430117 \r \h </w:instrText>
      </w:r>
      <w:r w:rsidR="00AB0D8F">
        <w:rPr>
          <w:szCs w:val="21"/>
          <w:shd w:val="clear" w:color="auto" w:fill="FFFFFF"/>
        </w:rPr>
        <w:instrText xml:space="preserve"> \* MERGEFORMAT </w:instrText>
      </w:r>
      <w:r>
        <w:rPr>
          <w:szCs w:val="21"/>
          <w:shd w:val="clear" w:color="auto" w:fill="FFFFFF"/>
        </w:rPr>
      </w:r>
      <w:r>
        <w:rPr>
          <w:szCs w:val="21"/>
          <w:shd w:val="clear" w:color="auto" w:fill="FFFFFF"/>
        </w:rPr>
        <w:fldChar w:fldCharType="separate"/>
      </w:r>
      <w:r w:rsidR="009013E2">
        <w:rPr>
          <w:szCs w:val="21"/>
          <w:shd w:val="clear" w:color="auto" w:fill="FFFFFF"/>
        </w:rPr>
        <w:t>2.1.2</w:t>
      </w:r>
      <w:r>
        <w:rPr>
          <w:szCs w:val="21"/>
          <w:shd w:val="clear" w:color="auto" w:fill="FFFFFF"/>
        </w:rPr>
        <w:fldChar w:fldCharType="end"/>
      </w:r>
      <w:r w:rsidRPr="00687919">
        <w:rPr>
          <w:szCs w:val="21"/>
          <w:shd w:val="clear" w:color="auto" w:fill="FFFFFF"/>
        </w:rPr>
        <w:t>.)</w:t>
      </w:r>
      <w:r w:rsidR="00513E0F">
        <w:rPr>
          <w:szCs w:val="21"/>
          <w:shd w:val="clear" w:color="auto" w:fill="FFFFFF"/>
        </w:rPr>
        <w:t xml:space="preserve">, was mit Unsicherheiten einhergeht, die folgerichtig auch in die Biomassenberechnung einfließen. Selbiges gilt für die Schätzung des Brusthöhendurchmessers. Der </w:t>
      </w:r>
      <w:r w:rsidR="00422568">
        <w:t>Durchmesser</w:t>
      </w:r>
      <w:r>
        <w:t xml:space="preserve"> de</w:t>
      </w:r>
      <w:r w:rsidR="00513E0F">
        <w:t>s</w:t>
      </w:r>
      <w:r>
        <w:t xml:space="preserve"> Einzel</w:t>
      </w:r>
      <w:r w:rsidR="00513E0F">
        <w:t>baumes kann</w:t>
      </w:r>
      <w:r>
        <w:t xml:space="preserve"> gemäß der </w:t>
      </w:r>
      <w:r w:rsidRPr="00687919">
        <w:rPr>
          <w:szCs w:val="21"/>
        </w:rPr>
        <w:t xml:space="preserve">Anleitung zu </w:t>
      </w:r>
      <w:proofErr w:type="spellStart"/>
      <w:r w:rsidRPr="00687919">
        <w:rPr>
          <w:szCs w:val="21"/>
        </w:rPr>
        <w:t>Bestandeserhebung</w:t>
      </w:r>
      <w:proofErr w:type="spellEnd"/>
      <w:r>
        <w:rPr>
          <w:szCs w:val="21"/>
        </w:rPr>
        <w:t xml:space="preserve"> in einer Stammhöhe von 50 – 200 cm erfasst werden kann. Demgemäß müssen Durchmesser welche nicht in Brusthöhe (1.3m) erfasst werden, zunächst</w:t>
      </w:r>
      <w:r w:rsidR="00513E0F">
        <w:rPr>
          <w:szCs w:val="21"/>
        </w:rPr>
        <w:t xml:space="preserve"> durch Al</w:t>
      </w:r>
      <w:r w:rsidR="0007601C">
        <w:rPr>
          <w:szCs w:val="21"/>
        </w:rPr>
        <w:t>l</w:t>
      </w:r>
      <w:r w:rsidR="00513E0F">
        <w:rPr>
          <w:szCs w:val="21"/>
        </w:rPr>
        <w:t xml:space="preserve">ometrische Funktionen in den Durchmesser in 1.3m Höhe umgerechnet werden. Hierbei entstehen zusätzliche Schätzfehler und Unsicherheiten. </w:t>
      </w:r>
    </w:p>
    <w:p w14:paraId="7E86D4E1" w14:textId="691E9CBF" w:rsidR="008372CA" w:rsidRDefault="00AB0D8F" w:rsidP="00AB0D8F">
      <w:pPr>
        <w:pStyle w:val="Liste-1"/>
      </w:pPr>
      <w:r>
        <w:t>D</w:t>
      </w:r>
      <w:r w:rsidR="008372CA">
        <w:t xml:space="preserve">ie </w:t>
      </w:r>
      <w:r w:rsidR="008372CA" w:rsidRPr="00687919">
        <w:rPr>
          <w:szCs w:val="21"/>
        </w:rPr>
        <w:t xml:space="preserve">Berechnung der Oberirdischen Biomasse </w:t>
      </w:r>
      <w:r>
        <w:rPr>
          <w:szCs w:val="21"/>
        </w:rPr>
        <w:t>bezieht</w:t>
      </w:r>
      <w:r w:rsidR="008372CA" w:rsidRPr="00687919">
        <w:rPr>
          <w:szCs w:val="21"/>
        </w:rPr>
        <w:t xml:space="preserve"> </w:t>
      </w:r>
      <w:r w:rsidR="008372CA" w:rsidRPr="00687919">
        <w:rPr>
          <w:szCs w:val="21"/>
          <w:shd w:val="clear" w:color="auto" w:fill="FFFFFF"/>
        </w:rPr>
        <w:t>die Blattmasse bei Nadelbäumen bereits mit in die Berechnung ein</w:t>
      </w:r>
      <w:r w:rsidR="008372CA">
        <w:rPr>
          <w:szCs w:val="21"/>
          <w:shd w:val="clear" w:color="auto" w:fill="FFFFFF"/>
        </w:rPr>
        <w:t xml:space="preserve"> bzw. Funktionen für die Berechnung der Blattmasse </w:t>
      </w:r>
      <w:r>
        <w:rPr>
          <w:szCs w:val="21"/>
          <w:shd w:val="clear" w:color="auto" w:fill="FFFFFF"/>
        </w:rPr>
        <w:t>von Nadelbäumen sind in den zur Auswahl stehenden Biomassefunktionen-Sets vorhanden</w:t>
      </w:r>
      <w:r w:rsidR="008372CA" w:rsidRPr="00687919">
        <w:rPr>
          <w:szCs w:val="21"/>
          <w:shd w:val="clear" w:color="auto" w:fill="FFFFFF"/>
        </w:rPr>
        <w:t>, im Falle von Laubbäumen jedoch nicht. Um die Biomasse</w:t>
      </w:r>
      <w:r w:rsidR="008372CA">
        <w:rPr>
          <w:szCs w:val="21"/>
          <w:shd w:val="clear" w:color="auto" w:fill="FFFFFF"/>
        </w:rPr>
        <w:t>-</w:t>
      </w:r>
      <w:r w:rsidR="008372CA" w:rsidRPr="00687919">
        <w:rPr>
          <w:szCs w:val="21"/>
          <w:shd w:val="clear" w:color="auto" w:fill="FFFFFF"/>
        </w:rPr>
        <w:t xml:space="preserve"> und </w:t>
      </w:r>
      <w:r w:rsidR="008372CA">
        <w:rPr>
          <w:szCs w:val="21"/>
          <w:shd w:val="clear" w:color="auto" w:fill="FFFFFF"/>
        </w:rPr>
        <w:t>Nährstoff</w:t>
      </w:r>
      <w:r w:rsidR="008372CA" w:rsidRPr="00687919">
        <w:rPr>
          <w:szCs w:val="21"/>
          <w:shd w:val="clear" w:color="auto" w:fill="FFFFFF"/>
        </w:rPr>
        <w:t>vorräte in d</w:t>
      </w:r>
      <w:r w:rsidR="00B865A6">
        <w:rPr>
          <w:szCs w:val="21"/>
          <w:shd w:val="clear" w:color="auto" w:fill="FFFFFF"/>
        </w:rPr>
        <w:t>iesem</w:t>
      </w:r>
      <w:r w:rsidR="008372CA" w:rsidRPr="00687919">
        <w:rPr>
          <w:szCs w:val="21"/>
          <w:shd w:val="clear" w:color="auto" w:fill="FFFFFF"/>
        </w:rPr>
        <w:t xml:space="preserve"> </w:t>
      </w:r>
      <w:proofErr w:type="spellStart"/>
      <w:r w:rsidR="008372CA" w:rsidRPr="00687919">
        <w:rPr>
          <w:szCs w:val="21"/>
          <w:shd w:val="clear" w:color="auto" w:fill="FFFFFF"/>
        </w:rPr>
        <w:t>Kompartiment</w:t>
      </w:r>
      <w:r w:rsidR="00B865A6">
        <w:rPr>
          <w:szCs w:val="21"/>
          <w:shd w:val="clear" w:color="auto" w:fill="FFFFFF"/>
        </w:rPr>
        <w:t>n</w:t>
      </w:r>
      <w:proofErr w:type="spellEnd"/>
      <w:r w:rsidR="008372CA" w:rsidRPr="00687919">
        <w:rPr>
          <w:szCs w:val="21"/>
          <w:shd w:val="clear" w:color="auto" w:fill="FFFFFF"/>
        </w:rPr>
        <w:t xml:space="preserve"> ausgeben zu können, muss die </w:t>
      </w:r>
      <w:r w:rsidR="008372CA" w:rsidRPr="00687919">
        <w:rPr>
          <w:szCs w:val="21"/>
        </w:rPr>
        <w:t>Nadel</w:t>
      </w:r>
      <w:r w:rsidR="008372CA">
        <w:rPr>
          <w:szCs w:val="21"/>
        </w:rPr>
        <w:t>-</w:t>
      </w:r>
      <w:r w:rsidR="008372CA" w:rsidRPr="00687919">
        <w:rPr>
          <w:szCs w:val="21"/>
        </w:rPr>
        <w:t xml:space="preserve">/Blattbiomasse </w:t>
      </w:r>
      <w:r w:rsidR="008372CA" w:rsidRPr="00687919">
        <w:rPr>
          <w:szCs w:val="21"/>
          <w:shd w:val="clear" w:color="auto" w:fill="FFFFFF"/>
        </w:rPr>
        <w:t xml:space="preserve">mit </w:t>
      </w:r>
      <w:r w:rsidR="00B865A6">
        <w:rPr>
          <w:i/>
          <w:szCs w:val="21"/>
          <w:shd w:val="clear" w:color="auto" w:fill="FFFFFF"/>
        </w:rPr>
        <w:t>Funktionen außerhalb der zur Auswahl stehenden „Funktionen-Sets“</w:t>
      </w:r>
      <w:r w:rsidR="008372CA" w:rsidRPr="00687919">
        <w:rPr>
          <w:szCs w:val="21"/>
          <w:shd w:val="clear" w:color="auto" w:fill="FFFFFF"/>
        </w:rPr>
        <w:t xml:space="preserve"> geschätzt werden</w:t>
      </w:r>
      <w:r w:rsidR="008372CA">
        <w:rPr>
          <w:szCs w:val="21"/>
          <w:shd w:val="clear" w:color="auto" w:fill="FFFFFF"/>
        </w:rPr>
        <w:t xml:space="preserve">. </w:t>
      </w:r>
    </w:p>
    <w:p w14:paraId="0616FDE8" w14:textId="51D77D27" w:rsidR="00F74517" w:rsidRDefault="00F74517" w:rsidP="0050327D">
      <w:pPr>
        <w:pStyle w:val="berschrift4"/>
      </w:pPr>
      <w:r>
        <w:t>Biomassenfunktionen der Bundeswaldinventur (BWI) &amp; Treibhausgasinventur (THGI)</w:t>
      </w:r>
    </w:p>
    <w:p w14:paraId="51979603" w14:textId="4787A4EF" w:rsidR="00937CE8" w:rsidRPr="00937CE8" w:rsidRDefault="00937CE8" w:rsidP="004E200E">
      <w:pPr>
        <w:rPr>
          <w:rFonts w:asciiTheme="minorHAnsi" w:hAnsiTheme="minorHAnsi" w:cstheme="minorHAnsi"/>
        </w:rPr>
      </w:pPr>
      <w:r>
        <w:rPr>
          <w:rFonts w:asciiTheme="minorHAnsi" w:hAnsiTheme="minorHAnsi" w:cstheme="minorHAnsi"/>
        </w:rPr>
        <w:t>I</w:t>
      </w:r>
      <w:r w:rsidR="004E200E" w:rsidRPr="00687919">
        <w:rPr>
          <w:rFonts w:asciiTheme="minorHAnsi" w:hAnsiTheme="minorHAnsi" w:cstheme="minorHAnsi"/>
        </w:rPr>
        <w:t xml:space="preserve">m Rahmen der Bundeswaldinventur (BWI) und Nationalen Treibhausgasberichterstattung </w:t>
      </w:r>
      <w:r>
        <w:rPr>
          <w:rFonts w:asciiTheme="minorHAnsi" w:hAnsiTheme="minorHAnsi" w:cstheme="minorHAnsi"/>
        </w:rPr>
        <w:t xml:space="preserve">wurden </w:t>
      </w:r>
      <w:r w:rsidR="004E200E" w:rsidRPr="00687919">
        <w:rPr>
          <w:rFonts w:asciiTheme="minorHAnsi" w:hAnsiTheme="minorHAnsi" w:cstheme="minorHAnsi"/>
        </w:rPr>
        <w:t xml:space="preserve">für die Hauptbaumarten (Buche, Eiche, Kiefer, Fichte, sonstiges Laubholz) entwickelt wurden. </w:t>
      </w:r>
      <w:r w:rsidR="004E200E" w:rsidRPr="00687919">
        <w:rPr>
          <w:rFonts w:asciiTheme="minorHAnsi" w:hAnsiTheme="minorHAnsi" w:cstheme="minorHAnsi"/>
          <w:szCs w:val="21"/>
          <w:shd w:val="clear" w:color="auto" w:fill="FFFFFF"/>
        </w:rPr>
        <w:t xml:space="preserve">Die </w:t>
      </w:r>
      <w:r w:rsidR="004E200E" w:rsidRPr="00167312">
        <w:rPr>
          <w:rFonts w:asciiTheme="minorHAnsi" w:hAnsiTheme="minorHAnsi" w:cstheme="minorHAnsi"/>
          <w:i/>
          <w:szCs w:val="21"/>
        </w:rPr>
        <w:t>BWI</w:t>
      </w:r>
      <w:r w:rsidR="004E200E">
        <w:rPr>
          <w:rFonts w:asciiTheme="minorHAnsi" w:hAnsiTheme="minorHAnsi" w:cstheme="minorHAnsi"/>
          <w:i/>
          <w:szCs w:val="21"/>
        </w:rPr>
        <w:t> </w:t>
      </w:r>
      <w:r w:rsidR="004E200E" w:rsidRPr="00167312">
        <w:rPr>
          <w:rFonts w:asciiTheme="minorHAnsi" w:hAnsiTheme="minorHAnsi" w:cstheme="minorHAnsi"/>
          <w:i/>
          <w:szCs w:val="21"/>
        </w:rPr>
        <w:t>&amp;</w:t>
      </w:r>
      <w:r w:rsidR="004E200E">
        <w:rPr>
          <w:rFonts w:asciiTheme="minorHAnsi" w:hAnsiTheme="minorHAnsi" w:cstheme="minorHAnsi"/>
          <w:i/>
          <w:szCs w:val="21"/>
        </w:rPr>
        <w:t> </w:t>
      </w:r>
      <w:r w:rsidR="004E200E" w:rsidRPr="00167312">
        <w:rPr>
          <w:rFonts w:asciiTheme="minorHAnsi" w:hAnsiTheme="minorHAnsi" w:cstheme="minorHAnsi"/>
          <w:i/>
          <w:szCs w:val="21"/>
        </w:rPr>
        <w:t>THGI</w:t>
      </w:r>
      <w:r w:rsidR="004E200E" w:rsidRPr="00687919">
        <w:rPr>
          <w:rFonts w:asciiTheme="minorHAnsi" w:hAnsiTheme="minorHAnsi" w:cstheme="minorHAnsi"/>
          <w:szCs w:val="21"/>
          <w:shd w:val="clear" w:color="auto" w:fill="FFFFFF"/>
        </w:rPr>
        <w:t xml:space="preserve"> Berechnung der Biomasse über </w:t>
      </w:r>
      <w:r w:rsidR="004E200E">
        <w:rPr>
          <w:rFonts w:asciiTheme="minorHAnsi" w:hAnsiTheme="minorHAnsi" w:cstheme="minorHAnsi"/>
          <w:szCs w:val="21"/>
          <w:shd w:val="clear" w:color="auto" w:fill="FFFFFF"/>
        </w:rPr>
        <w:t>b</w:t>
      </w:r>
      <w:r w:rsidR="004E200E" w:rsidRPr="00687919">
        <w:rPr>
          <w:rFonts w:asciiTheme="minorHAnsi" w:hAnsiTheme="minorHAnsi" w:cstheme="minorHAnsi"/>
          <w:szCs w:val="21"/>
          <w:shd w:val="clear" w:color="auto" w:fill="FFFFFF"/>
        </w:rPr>
        <w:t xml:space="preserve">aumartenspezifische Biomassenfunktionen löst das vorhergehende </w:t>
      </w:r>
      <w:r w:rsidR="004E200E">
        <w:rPr>
          <w:rFonts w:asciiTheme="minorHAnsi" w:hAnsiTheme="minorHAnsi" w:cstheme="minorHAnsi"/>
          <w:szCs w:val="21"/>
          <w:shd w:val="clear" w:color="auto" w:fill="FFFFFF"/>
        </w:rPr>
        <w:lastRenderedPageBreak/>
        <w:t>Berechnungsv</w:t>
      </w:r>
      <w:r w:rsidR="004E200E" w:rsidRPr="00687919">
        <w:rPr>
          <w:rFonts w:asciiTheme="minorHAnsi" w:hAnsiTheme="minorHAnsi" w:cstheme="minorHAnsi"/>
          <w:szCs w:val="21"/>
          <w:shd w:val="clear" w:color="auto" w:fill="FFFFFF"/>
        </w:rPr>
        <w:t xml:space="preserve">erfahren </w:t>
      </w:r>
      <w:r w:rsidR="004E200E">
        <w:rPr>
          <w:rFonts w:asciiTheme="minorHAnsi" w:hAnsiTheme="minorHAnsi" w:cstheme="minorHAnsi"/>
          <w:szCs w:val="21"/>
          <w:shd w:val="clear" w:color="auto" w:fill="FFFFFF"/>
        </w:rPr>
        <w:t xml:space="preserve">der </w:t>
      </w:r>
      <w:r w:rsidR="004E200E" w:rsidRPr="00167312">
        <w:rPr>
          <w:rFonts w:asciiTheme="minorHAnsi" w:hAnsiTheme="minorHAnsi" w:cstheme="minorHAnsi"/>
          <w:i/>
          <w:szCs w:val="21"/>
        </w:rPr>
        <w:t>BWI &amp; THGI</w:t>
      </w:r>
      <w:r w:rsidR="004E200E" w:rsidRPr="00687919">
        <w:rPr>
          <w:rFonts w:asciiTheme="minorHAnsi" w:hAnsiTheme="minorHAnsi" w:cstheme="minorHAnsi"/>
          <w:szCs w:val="21"/>
          <w:shd w:val="clear" w:color="auto" w:fill="FFFFFF"/>
        </w:rPr>
        <w:t xml:space="preserve"> ab</w:t>
      </w:r>
      <w:r w:rsidR="004E200E">
        <w:rPr>
          <w:rFonts w:asciiTheme="minorHAnsi" w:hAnsiTheme="minorHAnsi" w:cstheme="minorHAnsi"/>
          <w:szCs w:val="21"/>
          <w:shd w:val="clear" w:color="auto" w:fill="FFFFFF"/>
        </w:rPr>
        <w:t>.</w:t>
      </w:r>
      <w:r w:rsidR="004E200E" w:rsidRPr="00687919">
        <w:rPr>
          <w:rFonts w:asciiTheme="minorHAnsi" w:hAnsiTheme="minorHAnsi" w:cstheme="minorHAnsi"/>
          <w:szCs w:val="21"/>
          <w:shd w:val="clear" w:color="auto" w:fill="FFFFFF"/>
        </w:rPr>
        <w:t xml:space="preserve"> </w:t>
      </w:r>
      <w:r>
        <w:rPr>
          <w:rFonts w:asciiTheme="minorHAnsi" w:hAnsiTheme="minorHAnsi" w:cstheme="minorHAnsi"/>
          <w:szCs w:val="21"/>
          <w:shd w:val="clear" w:color="auto" w:fill="FFFFFF"/>
        </w:rPr>
        <w:t>Beim vorhergehenden Verfahren</w:t>
      </w:r>
      <w:r w:rsidR="004E200E">
        <w:rPr>
          <w:rFonts w:asciiTheme="minorHAnsi" w:hAnsiTheme="minorHAnsi" w:cstheme="minorHAnsi"/>
          <w:szCs w:val="21"/>
          <w:shd w:val="clear" w:color="auto" w:fill="FFFFFF"/>
        </w:rPr>
        <w:t xml:space="preserve"> berechnete man </w:t>
      </w:r>
      <w:r w:rsidR="004E200E" w:rsidRPr="00687919">
        <w:rPr>
          <w:rFonts w:asciiTheme="minorHAnsi" w:hAnsiTheme="minorHAnsi" w:cstheme="minorHAnsi"/>
          <w:szCs w:val="21"/>
          <w:shd w:val="clear" w:color="auto" w:fill="FFFFFF"/>
        </w:rPr>
        <w:t>zunächst das Volumen des Stammes am Einzelbaum, um dieses dann mit der Holzdichte und weiteren Umrechnungsfaktoren in die oberirdische und unterirdische Biomasse umzurechnen.</w:t>
      </w:r>
      <w:r w:rsidR="00B43718">
        <w:rPr>
          <w:rFonts w:asciiTheme="minorHAnsi" w:hAnsiTheme="minorHAnsi" w:cstheme="minorHAnsi"/>
          <w:szCs w:val="21"/>
          <w:shd w:val="clear" w:color="auto" w:fill="FFFFFF"/>
        </w:rPr>
        <w:t xml:space="preserve"> Die Entwicklung der Biomassefunktionen kann in </w:t>
      </w:r>
      <w:r>
        <w:rPr>
          <w:rFonts w:asciiTheme="minorHAnsi" w:hAnsiTheme="minorHAnsi" w:cstheme="minorHAnsi"/>
          <w:szCs w:val="21"/>
          <w:shd w:val="clear" w:color="auto" w:fill="FFFFFF"/>
        </w:rPr>
        <w:t xml:space="preserve">RÖHLING et al. (2016) und RIEDEL UND KÄNDLER (2017) nachvollzogen werden. Die Biomassenfunktionen der </w:t>
      </w:r>
      <w:r w:rsidRPr="00937CE8">
        <w:rPr>
          <w:rFonts w:asciiTheme="minorHAnsi" w:hAnsiTheme="minorHAnsi" w:cstheme="minorHAnsi"/>
          <w:i/>
          <w:szCs w:val="21"/>
          <w:shd w:val="clear" w:color="auto" w:fill="FFFFFF"/>
        </w:rPr>
        <w:t>BWI &amp; TGH</w:t>
      </w:r>
      <w:r>
        <w:rPr>
          <w:rFonts w:asciiTheme="minorHAnsi" w:hAnsiTheme="minorHAnsi" w:cstheme="minorHAnsi"/>
          <w:i/>
          <w:szCs w:val="21"/>
          <w:shd w:val="clear" w:color="auto" w:fill="FFFFFF"/>
        </w:rPr>
        <w:t xml:space="preserve"> </w:t>
      </w:r>
      <w:r>
        <w:rPr>
          <w:rFonts w:asciiTheme="minorHAnsi" w:hAnsiTheme="minorHAnsi" w:cstheme="minorHAnsi"/>
          <w:szCs w:val="21"/>
          <w:shd w:val="clear" w:color="auto" w:fill="FFFFFF"/>
        </w:rPr>
        <w:t xml:space="preserve">sind nicht nur Baumartengruppenspezifisch, sondern </w:t>
      </w:r>
      <w:r w:rsidR="00310DDC">
        <w:rPr>
          <w:rFonts w:asciiTheme="minorHAnsi" w:hAnsiTheme="minorHAnsi" w:cstheme="minorHAnsi"/>
          <w:szCs w:val="21"/>
          <w:shd w:val="clear" w:color="auto" w:fill="FFFFFF"/>
        </w:rPr>
        <w:t xml:space="preserve">setzen sich aus </w:t>
      </w:r>
      <w:r>
        <w:rPr>
          <w:rFonts w:asciiTheme="minorHAnsi" w:hAnsiTheme="minorHAnsi" w:cstheme="minorHAnsi"/>
          <w:szCs w:val="21"/>
          <w:shd w:val="clear" w:color="auto" w:fill="FFFFFF"/>
        </w:rPr>
        <w:t xml:space="preserve">einem Segmentierten </w:t>
      </w:r>
      <w:r w:rsidR="00310DDC">
        <w:rPr>
          <w:rFonts w:asciiTheme="minorHAnsi" w:hAnsiTheme="minorHAnsi" w:cstheme="minorHAnsi"/>
          <w:szCs w:val="21"/>
          <w:shd w:val="clear" w:color="auto" w:fill="FFFFFF"/>
        </w:rPr>
        <w:t>M</w:t>
      </w:r>
      <w:r>
        <w:rPr>
          <w:rFonts w:asciiTheme="minorHAnsi" w:hAnsiTheme="minorHAnsi" w:cstheme="minorHAnsi"/>
          <w:szCs w:val="21"/>
          <w:shd w:val="clear" w:color="auto" w:fill="FFFFFF"/>
        </w:rPr>
        <w:t>odell</w:t>
      </w:r>
      <w:r w:rsidR="00310DDC">
        <w:rPr>
          <w:rFonts w:asciiTheme="minorHAnsi" w:hAnsiTheme="minorHAnsi" w:cstheme="minorHAnsi"/>
          <w:szCs w:val="21"/>
          <w:shd w:val="clear" w:color="auto" w:fill="FFFFFF"/>
        </w:rPr>
        <w:t xml:space="preserve"> zusammen</w:t>
      </w:r>
      <w:r>
        <w:rPr>
          <w:rFonts w:asciiTheme="minorHAnsi" w:hAnsiTheme="minorHAnsi" w:cstheme="minorHAnsi"/>
          <w:szCs w:val="21"/>
          <w:shd w:val="clear" w:color="auto" w:fill="FFFFFF"/>
        </w:rPr>
        <w:t xml:space="preserve">. Dieses wird </w:t>
      </w:r>
      <w:r w:rsidR="00310DDC">
        <w:rPr>
          <w:rFonts w:asciiTheme="minorHAnsi" w:hAnsiTheme="minorHAnsi" w:cstheme="minorHAnsi"/>
          <w:szCs w:val="21"/>
          <w:shd w:val="clear" w:color="auto" w:fill="FFFFFF"/>
        </w:rPr>
        <w:t>abhängig von der Durchmesser</w:t>
      </w:r>
      <w:r w:rsidR="00CD79E2">
        <w:rPr>
          <w:rFonts w:asciiTheme="minorHAnsi" w:hAnsiTheme="minorHAnsi" w:cstheme="minorHAnsi"/>
          <w:szCs w:val="21"/>
          <w:shd w:val="clear" w:color="auto" w:fill="FFFFFF"/>
        </w:rPr>
        <w:t>klasse (</w:t>
      </w:r>
      <w:r w:rsidR="00310DDC">
        <w:rPr>
          <w:rFonts w:asciiTheme="minorHAnsi" w:hAnsiTheme="minorHAnsi" w:cstheme="minorHAnsi"/>
          <w:szCs w:val="21"/>
          <w:shd w:val="clear" w:color="auto" w:fill="FFFFFF"/>
        </w:rPr>
        <w:t>und Höhe</w:t>
      </w:r>
      <w:r w:rsidR="00CD79E2">
        <w:rPr>
          <w:rFonts w:asciiTheme="minorHAnsi" w:hAnsiTheme="minorHAnsi" w:cstheme="minorHAnsi"/>
          <w:szCs w:val="21"/>
          <w:shd w:val="clear" w:color="auto" w:fill="FFFFFF"/>
        </w:rPr>
        <w:t xml:space="preserve">) </w:t>
      </w:r>
      <w:r>
        <w:rPr>
          <w:rFonts w:asciiTheme="minorHAnsi" w:hAnsiTheme="minorHAnsi" w:cstheme="minorHAnsi"/>
          <w:szCs w:val="21"/>
          <w:shd w:val="clear" w:color="auto" w:fill="FFFFFF"/>
        </w:rPr>
        <w:t xml:space="preserve">angewandt wird und somit den Unterschieden in der Biomasseakkumulation abhängig von der Entwicklungsstufe des Einzelbaumes gerecht. Jedoch erlauben die </w:t>
      </w:r>
      <w:r w:rsidR="00310DDC">
        <w:rPr>
          <w:rFonts w:asciiTheme="minorHAnsi" w:hAnsiTheme="minorHAnsi" w:cstheme="minorHAnsi"/>
          <w:szCs w:val="21"/>
          <w:shd w:val="clear" w:color="auto" w:fill="FFFFFF"/>
        </w:rPr>
        <w:t xml:space="preserve">Biomassefunktionen der BWI &amp; TGH keine direkte Berechnung der Biomasse in den jeweiligen Baumkompartimenten. </w:t>
      </w:r>
    </w:p>
    <w:p w14:paraId="197955C3" w14:textId="09321CE5" w:rsidR="00937CE8" w:rsidRPr="00687919" w:rsidRDefault="00937CE8" w:rsidP="00AB0D8F">
      <w:pPr>
        <w:pStyle w:val="Liste-1"/>
      </w:pPr>
      <w:r w:rsidRPr="00687919">
        <w:rPr>
          <w:shd w:val="clear" w:color="auto" w:fill="FFFFFF"/>
        </w:rPr>
        <w:t xml:space="preserve">Röhling, S., </w:t>
      </w:r>
      <w:proofErr w:type="spellStart"/>
      <w:r w:rsidRPr="00687919">
        <w:rPr>
          <w:shd w:val="clear" w:color="auto" w:fill="FFFFFF"/>
        </w:rPr>
        <w:t>Dunger</w:t>
      </w:r>
      <w:proofErr w:type="spellEnd"/>
      <w:r w:rsidRPr="00687919">
        <w:rPr>
          <w:shd w:val="clear" w:color="auto" w:fill="FFFFFF"/>
        </w:rPr>
        <w:t>, K., Kändler, G.</w:t>
      </w:r>
      <w:r w:rsidRPr="00687919">
        <w:rPr>
          <w:color w:val="333333"/>
          <w:shd w:val="clear" w:color="auto" w:fill="FFFFFF"/>
        </w:rPr>
        <w:t> </w:t>
      </w:r>
      <w:r w:rsidRPr="00687919">
        <w:rPr>
          <w:i/>
          <w:iCs/>
          <w:color w:val="333333"/>
        </w:rPr>
        <w:t>et al.</w:t>
      </w:r>
      <w:r w:rsidRPr="00687919">
        <w:rPr>
          <w:color w:val="333333"/>
          <w:shd w:val="clear" w:color="auto" w:fill="FFFFFF"/>
        </w:rPr>
        <w:t> </w:t>
      </w:r>
      <w:r w:rsidRPr="00687919">
        <w:rPr>
          <w:shd w:val="clear" w:color="auto" w:fill="FFFFFF"/>
          <w:lang w:val="en-GB"/>
        </w:rPr>
        <w:t>Comparison of calculation methods for estimating annual carbon stock change in German forests under forest management in the German greenhouse gas inventory.</w:t>
      </w:r>
      <w:r w:rsidRPr="00687919">
        <w:rPr>
          <w:color w:val="333333"/>
          <w:shd w:val="clear" w:color="auto" w:fill="FFFFFF"/>
          <w:lang w:val="en-GB"/>
        </w:rPr>
        <w:t> </w:t>
      </w:r>
      <w:r w:rsidRPr="00687919">
        <w:rPr>
          <w:i/>
          <w:iCs/>
          <w:color w:val="333333"/>
        </w:rPr>
        <w:t>Carbon Balance Manage</w:t>
      </w:r>
      <w:r w:rsidRPr="00687919">
        <w:rPr>
          <w:color w:val="333333"/>
          <w:shd w:val="clear" w:color="auto" w:fill="FFFFFF"/>
        </w:rPr>
        <w:t> </w:t>
      </w:r>
      <w:r w:rsidRPr="00687919">
        <w:rPr>
          <w:color w:val="333333"/>
        </w:rPr>
        <w:t>11</w:t>
      </w:r>
      <w:r w:rsidRPr="00687919">
        <w:rPr>
          <w:color w:val="333333"/>
          <w:shd w:val="clear" w:color="auto" w:fill="FFFFFF"/>
        </w:rPr>
        <w:t>, 12 (2016).</w:t>
      </w:r>
      <w:r>
        <w:rPr>
          <w:color w:val="333333"/>
          <w:shd w:val="clear" w:color="auto" w:fill="FFFFFF"/>
        </w:rPr>
        <w:t xml:space="preserve"> </w:t>
      </w:r>
      <w:hyperlink r:id="rId8" w:history="1">
        <w:r w:rsidRPr="00167312">
          <w:rPr>
            <w:rStyle w:val="Hyperlink"/>
            <w:rFonts w:asciiTheme="minorHAnsi" w:hAnsiTheme="minorHAnsi" w:cstheme="minorHAnsi"/>
            <w:shd w:val="clear" w:color="auto" w:fill="FFFFFF"/>
          </w:rPr>
          <w:t>https://doi.org/10.1186/s13021-016-0053-x</w:t>
        </w:r>
      </w:hyperlink>
    </w:p>
    <w:p w14:paraId="43DB3E96" w14:textId="0F21F574" w:rsidR="00937CE8" w:rsidRPr="00937CE8" w:rsidRDefault="00937CE8" w:rsidP="00AB0D8F">
      <w:pPr>
        <w:pStyle w:val="Liste-1"/>
      </w:pPr>
      <w:r w:rsidRPr="00687919">
        <w:rPr>
          <w:shd w:val="clear" w:color="auto" w:fill="FFFFFF"/>
        </w:rPr>
        <w:t>Riedel, Thomas/Kändler, Gerald (2017): Nationale Treibhausgasberichterstattung: Neue Funktionen zur Schätzung der oberirdischen Biomasse am Einzelbaum. In: Forstarchiv : forstwissenschaftliche Fachzeitschrift 88, p. 31–38.</w:t>
      </w:r>
      <w:r>
        <w:rPr>
          <w:shd w:val="clear" w:color="auto" w:fill="FFFFFF"/>
        </w:rPr>
        <w:t xml:space="preserve"> </w:t>
      </w:r>
      <w:hyperlink r:id="rId9" w:history="1">
        <w:r w:rsidRPr="00167312">
          <w:rPr>
            <w:rStyle w:val="Hyperlink"/>
          </w:rPr>
          <w:t>https://www.bundeswaldinventur.de/fileadmin/SITE_MASTER/content/Downloads/Riedel2017_Biomassefunktionen.pdf</w:t>
        </w:r>
      </w:hyperlink>
    </w:p>
    <w:p w14:paraId="796B1602" w14:textId="73005578" w:rsidR="00937CE8" w:rsidRDefault="00C77562" w:rsidP="0050327D">
      <w:pPr>
        <w:pStyle w:val="berschrift4"/>
      </w:pPr>
      <w:proofErr w:type="spellStart"/>
      <w:r>
        <w:t>Biomassesfunktionen</w:t>
      </w:r>
      <w:proofErr w:type="spellEnd"/>
      <w:r>
        <w:t xml:space="preserve"> </w:t>
      </w:r>
      <w:r w:rsidR="0054641B">
        <w:t xml:space="preserve">aus </w:t>
      </w:r>
      <w:proofErr w:type="spellStart"/>
      <w:r w:rsidR="0054641B">
        <w:t>TapeS</w:t>
      </w:r>
      <w:proofErr w:type="spellEnd"/>
    </w:p>
    <w:p w14:paraId="0FD0BF5A" w14:textId="77777777" w:rsidR="00333D36" w:rsidRDefault="00D24C68" w:rsidP="00815918">
      <w:r>
        <w:t xml:space="preserve">Bei TapeS handelt es sich </w:t>
      </w:r>
      <w:proofErr w:type="gramStart"/>
      <w:r>
        <w:t>um eine Set</w:t>
      </w:r>
      <w:proofErr w:type="gramEnd"/>
      <w:r>
        <w:t xml:space="preserve"> aus </w:t>
      </w:r>
      <w:proofErr w:type="spellStart"/>
      <w:r>
        <w:t>Alometrischen</w:t>
      </w:r>
      <w:proofErr w:type="spellEnd"/>
      <w:r>
        <w:t xml:space="preserve"> Funktionen und Biomassenfunktionen</w:t>
      </w:r>
      <w:r w:rsidR="00A004B8">
        <w:t xml:space="preserve">, </w:t>
      </w:r>
      <w:r>
        <w:t>welche</w:t>
      </w:r>
      <w:r w:rsidR="00A004B8">
        <w:t xml:space="preserve"> unter anderem</w:t>
      </w:r>
      <w:r>
        <w:t xml:space="preserve"> in einem R Packet zusammengefasst </w:t>
      </w:r>
      <w:r w:rsidR="00A004B8">
        <w:t>sind</w:t>
      </w:r>
      <w:r w:rsidR="00E31AF9">
        <w:t xml:space="preserve">. TapeS stellt eine Erweiterung zu </w:t>
      </w:r>
      <w:proofErr w:type="spellStart"/>
      <w:r w:rsidR="00E31AF9">
        <w:t>TapeR</w:t>
      </w:r>
      <w:proofErr w:type="spellEnd"/>
      <w:r w:rsidR="00E31AF9">
        <w:t xml:space="preserve"> dar und wird das Packet </w:t>
      </w:r>
      <w:proofErr w:type="spellStart"/>
      <w:r w:rsidR="00A004B8">
        <w:t>BDat</w:t>
      </w:r>
      <w:proofErr w:type="spellEnd"/>
      <w:r w:rsidR="00A004B8">
        <w:t xml:space="preserve"> </w:t>
      </w:r>
      <w:r w:rsidR="00E31AF9">
        <w:t xml:space="preserve">bei der Auswertung der BWI </w:t>
      </w:r>
      <w:r w:rsidR="004214F9">
        <w:t>ablösen.</w:t>
      </w:r>
      <w:r w:rsidR="00815918">
        <w:t xml:space="preserve"> </w:t>
      </w:r>
    </w:p>
    <w:p w14:paraId="5FD94E11" w14:textId="77777777" w:rsidR="00333D36" w:rsidRDefault="00815918" w:rsidP="00815918">
      <w:r>
        <w:t xml:space="preserve">Die in TapeS Biomassefunktionen wurden auf der Grundlage von Biomassedaten aus </w:t>
      </w:r>
      <w:r w:rsidRPr="00815918">
        <w:t xml:space="preserve">unterschiedlichen Studien mit unterschiedlichen </w:t>
      </w:r>
      <w:proofErr w:type="spellStart"/>
      <w:r>
        <w:t>B</w:t>
      </w:r>
      <w:r w:rsidRPr="00815918">
        <w:t>eprobungsmethoden</w:t>
      </w:r>
      <w:proofErr w:type="spellEnd"/>
      <w:r>
        <w:t xml:space="preserve"> erstellt</w:t>
      </w:r>
      <w:r w:rsidRPr="00815918">
        <w:t xml:space="preserve">, wobei ein </w:t>
      </w:r>
      <w:r>
        <w:t>G</w:t>
      </w:r>
      <w:r w:rsidRPr="00815918">
        <w:t xml:space="preserve">roßteil der </w:t>
      </w:r>
      <w:r>
        <w:t xml:space="preserve">tatsächlich </w:t>
      </w:r>
      <w:r w:rsidRPr="00815918">
        <w:t>verwendeten Biomassedaten mittels „</w:t>
      </w:r>
      <w:proofErr w:type="spellStart"/>
      <w:r w:rsidRPr="00815918">
        <w:t>randomized</w:t>
      </w:r>
      <w:proofErr w:type="spellEnd"/>
      <w:r w:rsidRPr="00815918">
        <w:t xml:space="preserve"> </w:t>
      </w:r>
      <w:proofErr w:type="spellStart"/>
      <w:r w:rsidRPr="00815918">
        <w:t>branch</w:t>
      </w:r>
      <w:proofErr w:type="spellEnd"/>
      <w:r w:rsidRPr="00815918">
        <w:t xml:space="preserve"> </w:t>
      </w:r>
      <w:proofErr w:type="spellStart"/>
      <w:r w:rsidRPr="00815918">
        <w:t>sampling</w:t>
      </w:r>
      <w:proofErr w:type="spellEnd"/>
      <w:r w:rsidRPr="00815918">
        <w:t>“ oder „</w:t>
      </w:r>
      <w:proofErr w:type="spellStart"/>
      <w:r w:rsidRPr="00815918">
        <w:t>full</w:t>
      </w:r>
      <w:proofErr w:type="spellEnd"/>
      <w:r w:rsidRPr="00815918">
        <w:t xml:space="preserve"> </w:t>
      </w:r>
      <w:proofErr w:type="spellStart"/>
      <w:r w:rsidRPr="00815918">
        <w:t>main</w:t>
      </w:r>
      <w:proofErr w:type="spellEnd"/>
      <w:r w:rsidRPr="00815918">
        <w:t xml:space="preserve"> </w:t>
      </w:r>
      <w:proofErr w:type="spellStart"/>
      <w:r w:rsidRPr="00815918">
        <w:t>axis</w:t>
      </w:r>
      <w:proofErr w:type="spellEnd"/>
      <w:r w:rsidRPr="00815918">
        <w:t xml:space="preserve"> </w:t>
      </w:r>
      <w:proofErr w:type="spellStart"/>
      <w:r w:rsidRPr="00815918">
        <w:t>mesurements</w:t>
      </w:r>
      <w:proofErr w:type="spellEnd"/>
      <w:r w:rsidRPr="00815918">
        <w:t xml:space="preserve"> </w:t>
      </w:r>
      <w:proofErr w:type="spellStart"/>
      <w:r w:rsidRPr="00815918">
        <w:t>with</w:t>
      </w:r>
      <w:proofErr w:type="spellEnd"/>
      <w:r w:rsidRPr="00815918">
        <w:t xml:space="preserve"> </w:t>
      </w:r>
      <w:proofErr w:type="spellStart"/>
      <w:r w:rsidRPr="00815918">
        <w:t>sampled</w:t>
      </w:r>
      <w:proofErr w:type="spellEnd"/>
      <w:r w:rsidRPr="00815918">
        <w:t xml:space="preserve"> </w:t>
      </w:r>
      <w:proofErr w:type="spellStart"/>
      <w:r w:rsidRPr="00307111">
        <w:t>branches</w:t>
      </w:r>
      <w:proofErr w:type="spellEnd"/>
      <w:r w:rsidRPr="00307111">
        <w:t xml:space="preserve">“ beprobt wurde.  Fehlende Daten sowie der Unterschiede in der Kompartimentierung und das Auslassen bestimmter Kompartimente wurden durch </w:t>
      </w:r>
      <w:proofErr w:type="spellStart"/>
      <w:r w:rsidRPr="00307111">
        <w:t>mulitple</w:t>
      </w:r>
      <w:proofErr w:type="spellEnd"/>
      <w:r w:rsidRPr="00307111">
        <w:t xml:space="preserve"> </w:t>
      </w:r>
      <w:proofErr w:type="spellStart"/>
      <w:r w:rsidRPr="00307111">
        <w:t>imputations</w:t>
      </w:r>
      <w:proofErr w:type="spellEnd"/>
      <w:r w:rsidRPr="00307111">
        <w:t xml:space="preserve"> ausgeglichen. </w:t>
      </w:r>
    </w:p>
    <w:p w14:paraId="015A3E73" w14:textId="564994AB" w:rsidR="00815918" w:rsidRPr="00307111" w:rsidRDefault="00307111" w:rsidP="00815918">
      <w:r w:rsidRPr="00307111">
        <w:t xml:space="preserve">Die Formeln beruhen auf den Biomassefunktionen nach </w:t>
      </w:r>
      <w:proofErr w:type="spellStart"/>
      <w:r w:rsidRPr="00307111">
        <w:t>Marklund</w:t>
      </w:r>
      <w:proofErr w:type="spellEnd"/>
      <w:r w:rsidRPr="00307111">
        <w:t>, deren original Paper in Swedish nicht verfügbar ist. Aber lau</w:t>
      </w:r>
      <w:r>
        <w:t>t</w:t>
      </w:r>
      <w:r w:rsidRPr="00307111">
        <w:t xml:space="preserve"> </w:t>
      </w:r>
      <w:r>
        <w:t>der</w:t>
      </w:r>
      <w:r w:rsidRPr="00307111">
        <w:t xml:space="preserve"> </w:t>
      </w:r>
      <w:proofErr w:type="spellStart"/>
      <w:r w:rsidRPr="00307111">
        <w:t>Rpackage</w:t>
      </w:r>
      <w:proofErr w:type="spellEnd"/>
      <w:r w:rsidRPr="00307111">
        <w:t xml:space="preserve"> </w:t>
      </w:r>
      <w:proofErr w:type="spellStart"/>
      <w:r w:rsidRPr="00307111">
        <w:t>Documentation</w:t>
      </w:r>
      <w:proofErr w:type="spellEnd"/>
      <w:r>
        <w:t xml:space="preserve"> zur </w:t>
      </w:r>
      <w:proofErr w:type="spellStart"/>
      <w:r>
        <w:t>Anwendunf</w:t>
      </w:r>
      <w:proofErr w:type="spellEnd"/>
      <w:r>
        <w:t xml:space="preserve"> der </w:t>
      </w:r>
      <w:proofErr w:type="spellStart"/>
      <w:r>
        <w:t>Marklund</w:t>
      </w:r>
      <w:proofErr w:type="spellEnd"/>
      <w:r>
        <w:t xml:space="preserve"> Funktion (</w:t>
      </w:r>
      <w:hyperlink r:id="rId10" w:history="1">
        <w:r w:rsidRPr="00307111">
          <w:t>https://search.r-project.org/CRAN/refmans/sitreeE/html/biomass.birch.M1988.html</w:t>
        </w:r>
      </w:hyperlink>
      <w:r>
        <w:t xml:space="preserve">), </w:t>
      </w:r>
      <w:r w:rsidRPr="00307111">
        <w:t xml:space="preserve">ermöglichen die Funktionen „a </w:t>
      </w:r>
      <w:proofErr w:type="spellStart"/>
      <w:r w:rsidRPr="00307111">
        <w:t>data.frame</w:t>
      </w:r>
      <w:proofErr w:type="spellEnd"/>
      <w:r w:rsidRPr="00307111">
        <w:t xml:space="preserve"> </w:t>
      </w:r>
      <w:proofErr w:type="spellStart"/>
      <w:r w:rsidRPr="00307111">
        <w:t>with</w:t>
      </w:r>
      <w:proofErr w:type="spellEnd"/>
      <w:r w:rsidRPr="00307111">
        <w:t xml:space="preserve"> </w:t>
      </w:r>
      <w:proofErr w:type="spellStart"/>
      <w:r w:rsidRPr="00307111">
        <w:t>the</w:t>
      </w:r>
      <w:proofErr w:type="spellEnd"/>
      <w:r w:rsidRPr="00307111">
        <w:t xml:space="preserve"> </w:t>
      </w:r>
      <w:proofErr w:type="spellStart"/>
      <w:r w:rsidRPr="00307111">
        <w:t>following</w:t>
      </w:r>
      <w:proofErr w:type="spellEnd"/>
      <w:r w:rsidRPr="00307111">
        <w:t xml:space="preserve"> </w:t>
      </w:r>
      <w:proofErr w:type="spellStart"/>
      <w:r w:rsidRPr="00307111">
        <w:t>biomass</w:t>
      </w:r>
      <w:proofErr w:type="spellEnd"/>
      <w:r w:rsidRPr="00307111">
        <w:t xml:space="preserve"> </w:t>
      </w:r>
      <w:proofErr w:type="spellStart"/>
      <w:r w:rsidRPr="00307111">
        <w:t>components</w:t>
      </w:r>
      <w:proofErr w:type="spellEnd"/>
      <w:r w:rsidRPr="00307111">
        <w:t xml:space="preserve"> in kg: </w:t>
      </w:r>
      <w:proofErr w:type="spellStart"/>
      <w:r w:rsidRPr="00307111">
        <w:t>living.branches</w:t>
      </w:r>
      <w:proofErr w:type="spellEnd"/>
      <w:r w:rsidRPr="00307111">
        <w:t xml:space="preserve">, </w:t>
      </w:r>
      <w:proofErr w:type="spellStart"/>
      <w:r w:rsidRPr="00307111">
        <w:t>dead.branches</w:t>
      </w:r>
      <w:proofErr w:type="spellEnd"/>
      <w:r w:rsidRPr="00307111">
        <w:t xml:space="preserve">, </w:t>
      </w:r>
      <w:proofErr w:type="spellStart"/>
      <w:r w:rsidRPr="00307111">
        <w:t>stem.wood</w:t>
      </w:r>
      <w:proofErr w:type="spellEnd"/>
      <w:r w:rsidRPr="00307111">
        <w:t xml:space="preserve">, </w:t>
      </w:r>
      <w:proofErr w:type="spellStart"/>
      <w:r w:rsidRPr="00307111">
        <w:t>stump.roots</w:t>
      </w:r>
      <w:proofErr w:type="spellEnd"/>
      <w:r w:rsidRPr="00307111">
        <w:t xml:space="preserve">, </w:t>
      </w:r>
      <w:proofErr w:type="spellStart"/>
      <w:r w:rsidRPr="00307111">
        <w:t>bark</w:t>
      </w:r>
      <w:proofErr w:type="spellEnd"/>
      <w:r w:rsidRPr="00307111">
        <w:t xml:space="preserve">, </w:t>
      </w:r>
      <w:proofErr w:type="spellStart"/>
      <w:r w:rsidRPr="00307111">
        <w:t>usoil</w:t>
      </w:r>
      <w:proofErr w:type="spellEnd"/>
      <w:r w:rsidRPr="00307111">
        <w:t xml:space="preserve">, rot1, rot2, and </w:t>
      </w:r>
      <w:proofErr w:type="spellStart"/>
      <w:r w:rsidRPr="00307111">
        <w:t>foliage</w:t>
      </w:r>
      <w:proofErr w:type="spellEnd"/>
      <w:r>
        <w:t>“</w:t>
      </w:r>
      <w:r w:rsidRPr="00307111">
        <w:t xml:space="preserve">. </w:t>
      </w:r>
      <w:r w:rsidR="00815918" w:rsidRPr="00307111">
        <w:t xml:space="preserve">Die Modelle für die einzelnen Kompartimente wurden mittels non-linear </w:t>
      </w:r>
      <w:proofErr w:type="spellStart"/>
      <w:r w:rsidR="00815918" w:rsidRPr="00307111">
        <w:t>seemingly</w:t>
      </w:r>
      <w:proofErr w:type="spellEnd"/>
      <w:r w:rsidR="00815918" w:rsidRPr="00307111">
        <w:t xml:space="preserve"> </w:t>
      </w:r>
      <w:proofErr w:type="spellStart"/>
      <w:r w:rsidR="00815918" w:rsidRPr="00307111">
        <w:t>unrealted</w:t>
      </w:r>
      <w:proofErr w:type="spellEnd"/>
      <w:r w:rsidR="00815918" w:rsidRPr="00307111">
        <w:t xml:space="preserve"> </w:t>
      </w:r>
      <w:proofErr w:type="spellStart"/>
      <w:r w:rsidR="00815918" w:rsidRPr="00307111">
        <w:t>regressions</w:t>
      </w:r>
      <w:proofErr w:type="spellEnd"/>
      <w:r w:rsidR="00815918" w:rsidRPr="00307111">
        <w:t xml:space="preserve"> gefittet.</w:t>
      </w:r>
      <w:r w:rsidR="00815918" w:rsidRPr="00335A80">
        <w:rPr>
          <w:rFonts w:asciiTheme="minorHAnsi" w:hAnsiTheme="minorHAnsi" w:cstheme="minorHAnsi"/>
        </w:rPr>
        <w:t xml:space="preserve"> </w:t>
      </w:r>
    </w:p>
    <w:p w14:paraId="7932C2A7" w14:textId="02B0763B" w:rsidR="004214F9" w:rsidRDefault="004214F9" w:rsidP="004214F9">
      <w:r>
        <w:t xml:space="preserve">TapeS erlaubt die Berechnung der Biomasse in den jeweiligen Komponenten, für die Baumartengruppen </w:t>
      </w:r>
      <w:r w:rsidR="005650FF" w:rsidRPr="005650FF">
        <w:t>Fichte, Tanne, Douglasie, Kiefer, Buche, Eiche, Esche</w:t>
      </w:r>
      <w:r w:rsidR="005650FF">
        <w:t xml:space="preserve"> und </w:t>
      </w:r>
      <w:r w:rsidR="005650FF" w:rsidRPr="005650FF">
        <w:t>Ahorn</w:t>
      </w:r>
      <w:r w:rsidR="005650FF">
        <w:t xml:space="preserve">, </w:t>
      </w:r>
      <w:r>
        <w:t xml:space="preserve">jedoch nur sofern alle Eingangsdaten vorhanden und Korrekt formatiert sind. Hierzu zählen die Höhe des Einzelbaumes, der BHD, die </w:t>
      </w:r>
      <w:proofErr w:type="spellStart"/>
      <w:r w:rsidR="005650FF">
        <w:t>Messhöhe</w:t>
      </w:r>
      <w:proofErr w:type="spellEnd"/>
      <w:r>
        <w:t xml:space="preserve"> des BHDs sowie die Artenkürzel in für TapeS lesbarer Form. TapeS </w:t>
      </w:r>
      <w:r w:rsidR="005650FF">
        <w:t>verfügt</w:t>
      </w:r>
      <w:r>
        <w:t xml:space="preserve">, im Gegensatz zu dem Segmentierten Modell der BWI&amp;THGI nicht über Durchmesser oder Höhenspezifische Funktionen, wodurch die Berechnung der unterirdischen Biomasse sowie die Biomasse an Bäumen unterhalb der Klubschwelle für eine BHD Messung (Bäume der Verjüngung) nicht möglich ist.  </w:t>
      </w:r>
    </w:p>
    <w:p w14:paraId="236347A5" w14:textId="66F9B72F" w:rsidR="004214F9" w:rsidRPr="00D24C68" w:rsidRDefault="004214F9" w:rsidP="004214F9">
      <w:r>
        <w:t xml:space="preserve">Die Entwicklung der Funktionen kann in KÄNDLER &amp; BÖSCH (2012) nachvollzogen werden. </w:t>
      </w:r>
    </w:p>
    <w:p w14:paraId="51DDC6EB" w14:textId="14FD3FD3" w:rsidR="004214F9" w:rsidRPr="004214F9" w:rsidRDefault="004214F9" w:rsidP="004214F9">
      <w:pPr>
        <w:pStyle w:val="Liste-1"/>
      </w:pPr>
      <w:r w:rsidRPr="004214F9">
        <w:t xml:space="preserve">Kändler, G. and B. Bösch (2012). Methodenentwicklung für die 3. Bundeswaldinventur: Modul 3 Überprüfung und Neukonzeption einer Biomassefunktion - Abschlussbericht. Im Auftrag des Bundesministeriums für Ernährung, Landwirtschaft und Verbraucherschutz in Zusammenarbeit mit dem Institut für Waldökologie und Waldinventur des Johann Heinrich </w:t>
      </w:r>
      <w:proofErr w:type="gramStart"/>
      <w:r w:rsidRPr="004214F9">
        <w:t>von Thünen-Instituts</w:t>
      </w:r>
      <w:proofErr w:type="gramEnd"/>
      <w:r w:rsidRPr="004214F9">
        <w:t>, FVA-BW: 71</w:t>
      </w:r>
    </w:p>
    <w:p w14:paraId="3467A7B7" w14:textId="71580C16" w:rsidR="00937CE8" w:rsidRDefault="0050327D" w:rsidP="0050327D">
      <w:pPr>
        <w:pStyle w:val="berschrift4"/>
      </w:pPr>
      <w:r>
        <w:lastRenderedPageBreak/>
        <w:t xml:space="preserve">Vergleich Biomasseberechnung &amp; </w:t>
      </w:r>
      <w:proofErr w:type="spellStart"/>
      <w:r>
        <w:t>Kompartimentierungsmöglichkeiten</w:t>
      </w:r>
      <w:proofErr w:type="spellEnd"/>
    </w:p>
    <w:p w14:paraId="70054840" w14:textId="77777777" w:rsidR="00771882" w:rsidRDefault="00771882" w:rsidP="009355AE">
      <w:r>
        <w:t xml:space="preserve">Die Biomasse eines Baumes wird klassischerweise in die folgenden Kompartimente unterteilt: </w:t>
      </w:r>
    </w:p>
    <w:p w14:paraId="0D5271D0" w14:textId="0C9F4B48" w:rsidR="00771882" w:rsidRDefault="00771882" w:rsidP="009355AE">
      <w:r>
        <w:t xml:space="preserve"> </w:t>
      </w:r>
      <w:r>
        <w:rPr>
          <w:noProof/>
        </w:rPr>
        <w:drawing>
          <wp:inline distT="0" distB="0" distL="0" distR="0" wp14:anchorId="5617C027" wp14:editId="4362074C">
            <wp:extent cx="6052185" cy="2563495"/>
            <wp:effectExtent l="0" t="0" r="5715" b="825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52185" cy="2563495"/>
                    </a:xfrm>
                    <a:prstGeom prst="rect">
                      <a:avLst/>
                    </a:prstGeom>
                  </pic:spPr>
                </pic:pic>
              </a:graphicData>
            </a:graphic>
          </wp:inline>
        </w:drawing>
      </w:r>
    </w:p>
    <w:p w14:paraId="2E302D72" w14:textId="60B20939" w:rsidR="00771882" w:rsidRDefault="00771882" w:rsidP="009355AE">
      <w:r>
        <w:t xml:space="preserve">Die Aufschlüsselung der Biomasse in den einzelnen Baumbestandteilen ist notwendig, da der Stickstoffgehalt, im Gegensatz zum Kohlenstoffgehalt, von Kompartiment zu Kompartiment variiert. </w:t>
      </w:r>
    </w:p>
    <w:p w14:paraId="5F01D021" w14:textId="219D567B" w:rsidR="009355AE" w:rsidRDefault="004431DE" w:rsidP="009355AE">
      <w:r w:rsidRPr="00687919">
        <w:t>Die Biomassefunktionen der BWI &amp; THGI erlauben nur die Berechnung der gesamte Holzige oberirdische Biomasse inklusive Rinde, Nichtderbholz und - im Falle von Nadelbäumen - auch inklusive Blattmasse. Eine Kompartimentierung sehen sie nicht vor.</w:t>
      </w:r>
    </w:p>
    <w:p w14:paraId="0401B02A" w14:textId="6CDBF850" w:rsidR="00771882" w:rsidRDefault="004431DE" w:rsidP="009355AE">
      <w:r w:rsidRPr="00687919">
        <w:t>Dementsprechend m</w:t>
      </w:r>
      <w:r w:rsidR="00771882">
        <w:t xml:space="preserve">usst die Biomasse in den </w:t>
      </w:r>
      <w:r w:rsidRPr="00687919">
        <w:t>Kompartimente</w:t>
      </w:r>
      <w:r w:rsidR="00771882">
        <w:t xml:space="preserve">n auf anderem Wege geschätzt werden. Hierfür standen folgende Optionen zur Auswahl: </w:t>
      </w:r>
    </w:p>
    <w:p w14:paraId="65E7C933" w14:textId="77777777" w:rsidR="00126A26" w:rsidRDefault="00771882" w:rsidP="00771882">
      <w:pPr>
        <w:pStyle w:val="Liste-1"/>
      </w:pPr>
      <w:r>
        <w:t xml:space="preserve">Vollständige </w:t>
      </w:r>
      <w:r w:rsidR="00126A26">
        <w:t>Be</w:t>
      </w:r>
      <w:r>
        <w:t>rechnung</w:t>
      </w:r>
      <w:r w:rsidR="00126A26">
        <w:t xml:space="preserve"> durch TapeS: </w:t>
      </w:r>
    </w:p>
    <w:p w14:paraId="4DD20C46" w14:textId="0D02987A" w:rsidR="00771882" w:rsidRDefault="00771882" w:rsidP="00126A26">
      <w:pPr>
        <w:pStyle w:val="Liste-1"/>
        <w:numPr>
          <w:ilvl w:val="1"/>
          <w:numId w:val="5"/>
        </w:numPr>
      </w:pPr>
      <w:r>
        <w:t xml:space="preserve"> </w:t>
      </w:r>
      <w:r w:rsidR="00126A26">
        <w:t xml:space="preserve">oberirdischen holzigen Biomasse und Nadelmasse wird durch TapeS berechnet da die Funktionen die Biomasse </w:t>
      </w:r>
      <w:proofErr w:type="spellStart"/>
      <w:r w:rsidR="00126A26">
        <w:t>Kompartimentspezifisch</w:t>
      </w:r>
      <w:proofErr w:type="spellEnd"/>
      <w:r w:rsidR="00126A26">
        <w:t xml:space="preserve"> ausgeben können</w:t>
      </w:r>
    </w:p>
    <w:p w14:paraId="244B6141" w14:textId="0CB27EE1" w:rsidR="00126A26" w:rsidRDefault="00126A26" w:rsidP="00126A26">
      <w:pPr>
        <w:pStyle w:val="Liste-1"/>
        <w:numPr>
          <w:ilvl w:val="1"/>
          <w:numId w:val="5"/>
        </w:numPr>
      </w:pPr>
      <w:r>
        <w:t>Blattmasse an Laubbäumen muss durch „externe“ Funktion ermittelt werden</w:t>
      </w:r>
    </w:p>
    <w:p w14:paraId="53DAD1E1" w14:textId="7DBFC05E" w:rsidR="00126A26" w:rsidRDefault="00126A26" w:rsidP="00126A26">
      <w:pPr>
        <w:pStyle w:val="Liste-1"/>
        <w:numPr>
          <w:ilvl w:val="1"/>
          <w:numId w:val="5"/>
        </w:numPr>
      </w:pPr>
      <w:r>
        <w:t>Unterirdische Biomasse wird weiterhin durch BWI &amp; THG Funktionen geschätzt</w:t>
      </w:r>
    </w:p>
    <w:p w14:paraId="4043C15F" w14:textId="7BBD974D" w:rsidR="00126A26" w:rsidRDefault="00126A26" w:rsidP="00126A26">
      <w:pPr>
        <w:pStyle w:val="Liste-1"/>
        <w:numPr>
          <w:ilvl w:val="1"/>
          <w:numId w:val="5"/>
        </w:numPr>
      </w:pPr>
      <w:r>
        <w:t>Biomasse der Verjüngung unter &lt;1.3m wird weiterhin durch BWI &amp; THG Funktionen geschätzt</w:t>
      </w:r>
    </w:p>
    <w:p w14:paraId="75E11C16" w14:textId="4AD56DCF" w:rsidR="00126A26" w:rsidRDefault="00126A26" w:rsidP="00771882">
      <w:pPr>
        <w:pStyle w:val="Liste-1"/>
      </w:pPr>
      <w:r>
        <w:t>Berechnung der Biomasse mittels einer Kombination aus BWI &amp; THG Funktionen &amp; TapeS</w:t>
      </w:r>
    </w:p>
    <w:p w14:paraId="78E27005" w14:textId="5D1D5587" w:rsidR="00126A26" w:rsidRDefault="00126A26" w:rsidP="00126A26">
      <w:pPr>
        <w:pStyle w:val="Liste-1"/>
        <w:numPr>
          <w:ilvl w:val="1"/>
          <w:numId w:val="5"/>
        </w:numPr>
      </w:pPr>
      <w:r>
        <w:t xml:space="preserve">Biomasse in den Kompartimenten wird mit TapeS ermittelt und dann schrittweise von der </w:t>
      </w:r>
      <w:proofErr w:type="spellStart"/>
      <w:r>
        <w:t>Gesammtbiomasse</w:t>
      </w:r>
      <w:proofErr w:type="spellEnd"/>
      <w:r>
        <w:t xml:space="preserve"> gemäß BWI &amp;THG Funktionen abgezogen</w:t>
      </w:r>
    </w:p>
    <w:p w14:paraId="0FBCBC37" w14:textId="77777777" w:rsidR="00126A26" w:rsidRDefault="00126A26" w:rsidP="00126A26">
      <w:pPr>
        <w:pStyle w:val="Liste-1"/>
        <w:numPr>
          <w:ilvl w:val="1"/>
          <w:numId w:val="5"/>
        </w:numPr>
      </w:pPr>
      <w:r>
        <w:t>Blattmasse an Laubbäumen muss durch „externe“ Funktion ermittelt werden</w:t>
      </w:r>
    </w:p>
    <w:p w14:paraId="568D39EF" w14:textId="77777777" w:rsidR="00126A26" w:rsidRDefault="00126A26" w:rsidP="00126A26">
      <w:pPr>
        <w:pStyle w:val="Liste-1"/>
        <w:numPr>
          <w:ilvl w:val="1"/>
          <w:numId w:val="5"/>
        </w:numPr>
      </w:pPr>
      <w:r>
        <w:t>Unterirdische Biomasse wird weiterhin durch BWI &amp; THG Funktionen geschätzt</w:t>
      </w:r>
    </w:p>
    <w:p w14:paraId="496701CC" w14:textId="02F46942" w:rsidR="00126A26" w:rsidRDefault="00126A26" w:rsidP="00126A26">
      <w:pPr>
        <w:pStyle w:val="Liste-1"/>
        <w:numPr>
          <w:ilvl w:val="1"/>
          <w:numId w:val="5"/>
        </w:numPr>
      </w:pPr>
      <w:r>
        <w:t>Biomasse der Verjüngung unter &lt;1.3m wird weiterhin durch BWI &amp; THG Funktionen geschätzt</w:t>
      </w:r>
    </w:p>
    <w:p w14:paraId="1859FBAC" w14:textId="77777777" w:rsidR="00F72DA0" w:rsidRDefault="00F72DA0" w:rsidP="00F72DA0">
      <w:pPr>
        <w:pStyle w:val="Liste-1"/>
      </w:pPr>
      <w:r>
        <w:t xml:space="preserve">Berechnung der Biomasse in den Kompartimenten über </w:t>
      </w:r>
      <w:r w:rsidRPr="00F72DA0">
        <w:rPr>
          <w:sz w:val="20"/>
        </w:rPr>
        <w:t xml:space="preserve">VONDERNACH </w:t>
      </w:r>
      <w:r>
        <w:t xml:space="preserve">et. al. (2018) </w:t>
      </w:r>
    </w:p>
    <w:p w14:paraId="160E0513" w14:textId="5EC3CB45" w:rsidR="00F72DA0" w:rsidRPr="00F72DA0" w:rsidRDefault="00F72DA0" w:rsidP="00F72DA0">
      <w:pPr>
        <w:pStyle w:val="Liste-1"/>
        <w:numPr>
          <w:ilvl w:val="1"/>
          <w:numId w:val="5"/>
        </w:numPr>
        <w:rPr>
          <w:rStyle w:val="Hyperlink"/>
          <w:color w:val="auto"/>
          <w:u w:val="none"/>
        </w:rPr>
      </w:pPr>
      <w:r w:rsidRPr="00F72DA0">
        <w:rPr>
          <w:rFonts w:asciiTheme="minorHAnsi" w:hAnsiTheme="minorHAnsi" w:cstheme="minorHAnsi"/>
        </w:rPr>
        <w:t xml:space="preserve">Biomassefunktionen an BWI-Punkten, Christian </w:t>
      </w:r>
      <w:proofErr w:type="spellStart"/>
      <w:r w:rsidRPr="00F72DA0">
        <w:rPr>
          <w:rFonts w:asciiTheme="minorHAnsi" w:hAnsiTheme="minorHAnsi" w:cstheme="minorHAnsi"/>
        </w:rPr>
        <w:t>Vonderach</w:t>
      </w:r>
      <w:proofErr w:type="spellEnd"/>
      <w:r w:rsidRPr="00F72DA0">
        <w:rPr>
          <w:rFonts w:asciiTheme="minorHAnsi" w:hAnsiTheme="minorHAnsi" w:cstheme="minorHAnsi"/>
        </w:rPr>
        <w:t xml:space="preserve"> Forstliche Versuchs- und Forschungsanstalt Baden-Württemberg, Abt. Biometrie und Informatik, 2018, </w:t>
      </w:r>
      <w:hyperlink r:id="rId12" w:history="1">
        <w:r w:rsidRPr="00F72DA0">
          <w:rPr>
            <w:rStyle w:val="Hyperlink"/>
            <w:rFonts w:asciiTheme="minorHAnsi" w:hAnsiTheme="minorHAnsi" w:cstheme="minorHAnsi"/>
          </w:rPr>
          <w:t>EnNa_2018___FFF_H_101_Holznutzung_Naehrstoffnachhaltigkeit.pdf</w:t>
        </w:r>
      </w:hyperlink>
    </w:p>
    <w:p w14:paraId="10E6DB52" w14:textId="77777777" w:rsidR="00F72DA0" w:rsidRDefault="00F72DA0" w:rsidP="00F72DA0">
      <w:pPr>
        <w:pStyle w:val="Liste-1"/>
        <w:numPr>
          <w:ilvl w:val="1"/>
          <w:numId w:val="5"/>
        </w:numPr>
      </w:pPr>
      <w:r>
        <w:t>Blattmasse an Laubbäumen muss durch „externe“ Funktion ermittelt werden</w:t>
      </w:r>
    </w:p>
    <w:p w14:paraId="0378A60B" w14:textId="77777777" w:rsidR="00F72DA0" w:rsidRDefault="00F72DA0" w:rsidP="00F72DA0">
      <w:pPr>
        <w:pStyle w:val="Liste-1"/>
        <w:numPr>
          <w:ilvl w:val="1"/>
          <w:numId w:val="5"/>
        </w:numPr>
      </w:pPr>
      <w:r>
        <w:t>Unterirdische Biomasse wird weiterhin durch BWI &amp; THG Funktionen geschätzt</w:t>
      </w:r>
    </w:p>
    <w:p w14:paraId="4686B1E3" w14:textId="7BA7FA80" w:rsidR="00F72DA0" w:rsidRDefault="00F72DA0" w:rsidP="00F72DA0">
      <w:pPr>
        <w:pStyle w:val="Liste-1"/>
        <w:numPr>
          <w:ilvl w:val="1"/>
          <w:numId w:val="5"/>
        </w:numPr>
      </w:pPr>
      <w:r>
        <w:lastRenderedPageBreak/>
        <w:t>Biomasse der Verjüngung unter &lt;1.3m wird weiterhin durch BWI &amp; THG Funktionen geschätzt</w:t>
      </w:r>
    </w:p>
    <w:p w14:paraId="7641F0E4" w14:textId="3AE1E79A" w:rsidR="00E73BA3" w:rsidRDefault="00E73BA3" w:rsidP="00E73BA3">
      <w:pPr>
        <w:pStyle w:val="Liste-1"/>
        <w:numPr>
          <w:ilvl w:val="0"/>
          <w:numId w:val="0"/>
        </w:numPr>
        <w:ind w:left="281" w:hanging="281"/>
      </w:pPr>
    </w:p>
    <w:p w14:paraId="086CC4BB" w14:textId="77777777" w:rsidR="00A12F8F" w:rsidRPr="00687919" w:rsidRDefault="00A12F8F" w:rsidP="00A12F8F">
      <w:pPr>
        <w:rPr>
          <w:rFonts w:asciiTheme="minorHAnsi" w:hAnsiTheme="minorHAnsi" w:cstheme="minorHAnsi"/>
        </w:rPr>
      </w:pPr>
      <w:r>
        <w:rPr>
          <w:rFonts w:asciiTheme="minorHAnsi" w:hAnsiTheme="minorHAnsi" w:cstheme="minorHAnsi"/>
        </w:rPr>
        <w:t>F</w:t>
      </w:r>
      <w:r w:rsidRPr="00687919">
        <w:rPr>
          <w:rFonts w:asciiTheme="minorHAnsi" w:hAnsiTheme="minorHAnsi" w:cstheme="minorHAnsi"/>
        </w:rPr>
        <w:t xml:space="preserve">ür die </w:t>
      </w:r>
      <w:r>
        <w:rPr>
          <w:rFonts w:asciiTheme="minorHAnsi" w:hAnsiTheme="minorHAnsi" w:cstheme="minorHAnsi"/>
        </w:rPr>
        <w:t>schrittweise</w:t>
      </w:r>
      <w:r w:rsidRPr="00687919">
        <w:rPr>
          <w:rFonts w:asciiTheme="minorHAnsi" w:hAnsiTheme="minorHAnsi" w:cstheme="minorHAnsi"/>
        </w:rPr>
        <w:t xml:space="preserve"> Berechnung der Biomasse in den jeweiligen Kompartimenten </w:t>
      </w:r>
      <w:r>
        <w:rPr>
          <w:rFonts w:asciiTheme="minorHAnsi" w:hAnsiTheme="minorHAnsi" w:cstheme="minorHAnsi"/>
        </w:rPr>
        <w:t>bei Option 2 wurde</w:t>
      </w:r>
      <w:r w:rsidRPr="00687919">
        <w:rPr>
          <w:rFonts w:asciiTheme="minorHAnsi" w:hAnsiTheme="minorHAnsi" w:cstheme="minorHAnsi"/>
        </w:rPr>
        <w:t xml:space="preserve"> folgendermaßen vorgegangen: </w:t>
      </w:r>
    </w:p>
    <w:p w14:paraId="4FC3F61A" w14:textId="77777777" w:rsidR="00A12F8F" w:rsidRPr="00687919" w:rsidRDefault="00A12F8F" w:rsidP="001D0D18">
      <w:pPr>
        <w:pStyle w:val="Listenabsatz"/>
        <w:numPr>
          <w:ilvl w:val="0"/>
          <w:numId w:val="12"/>
        </w:numPr>
        <w:rPr>
          <w:rFonts w:asciiTheme="minorHAnsi" w:hAnsiTheme="minorHAnsi" w:cstheme="minorHAnsi"/>
        </w:rPr>
      </w:pPr>
      <w:proofErr w:type="spellStart"/>
      <w:r w:rsidRPr="00687919">
        <w:rPr>
          <w:rFonts w:asciiTheme="minorHAnsi" w:hAnsiTheme="minorHAnsi" w:cstheme="minorHAnsi"/>
        </w:rPr>
        <w:t>aB</w:t>
      </w:r>
      <w:proofErr w:type="spellEnd"/>
      <w:r w:rsidRPr="00687919">
        <w:rPr>
          <w:rFonts w:asciiTheme="minorHAnsi" w:hAnsiTheme="minorHAnsi" w:cstheme="minorHAnsi"/>
        </w:rPr>
        <w:t xml:space="preserve"> = </w:t>
      </w:r>
      <w:proofErr w:type="spellStart"/>
      <w:r w:rsidRPr="00687919">
        <w:rPr>
          <w:rFonts w:asciiTheme="minorHAnsi" w:hAnsiTheme="minorHAnsi" w:cstheme="minorHAnsi"/>
        </w:rPr>
        <w:t>Aboveground</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Biomass</w:t>
      </w:r>
      <w:proofErr w:type="spellEnd"/>
      <w:r w:rsidRPr="00687919">
        <w:rPr>
          <w:rFonts w:asciiTheme="minorHAnsi" w:hAnsiTheme="minorHAnsi" w:cstheme="minorHAnsi"/>
        </w:rPr>
        <w:t xml:space="preserve"> (oberirdische Biomasse)</w:t>
      </w:r>
    </w:p>
    <w:p w14:paraId="2BC517D1" w14:textId="77777777" w:rsidR="00A12F8F" w:rsidRPr="00687919" w:rsidRDefault="00A12F8F" w:rsidP="001D0D18">
      <w:pPr>
        <w:pStyle w:val="Listenabsatz"/>
        <w:numPr>
          <w:ilvl w:val="0"/>
          <w:numId w:val="12"/>
        </w:numPr>
        <w:rPr>
          <w:rFonts w:asciiTheme="minorHAnsi" w:hAnsiTheme="minorHAnsi" w:cstheme="minorHAnsi"/>
        </w:rPr>
      </w:pPr>
      <w:proofErr w:type="spellStart"/>
      <w:r w:rsidRPr="00687919">
        <w:rPr>
          <w:rFonts w:asciiTheme="minorHAnsi" w:hAnsiTheme="minorHAnsi" w:cstheme="minorHAnsi"/>
        </w:rPr>
        <w:t>fB</w:t>
      </w:r>
      <w:proofErr w:type="spellEnd"/>
      <w:r w:rsidRPr="00687919">
        <w:rPr>
          <w:rFonts w:asciiTheme="minorHAnsi" w:hAnsiTheme="minorHAnsi" w:cstheme="minorHAnsi"/>
        </w:rPr>
        <w:t xml:space="preserve"> = </w:t>
      </w:r>
      <w:proofErr w:type="spellStart"/>
      <w:r w:rsidRPr="00687919">
        <w:rPr>
          <w:rFonts w:asciiTheme="minorHAnsi" w:hAnsiTheme="minorHAnsi" w:cstheme="minorHAnsi"/>
        </w:rPr>
        <w:t>foliage</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Biomass</w:t>
      </w:r>
      <w:proofErr w:type="spellEnd"/>
      <w:r w:rsidRPr="00687919">
        <w:rPr>
          <w:rFonts w:asciiTheme="minorHAnsi" w:hAnsiTheme="minorHAnsi" w:cstheme="minorHAnsi"/>
        </w:rPr>
        <w:t xml:space="preserve"> (Blattmasse)</w:t>
      </w:r>
    </w:p>
    <w:p w14:paraId="432F74A2" w14:textId="77777777" w:rsidR="00A12F8F" w:rsidRPr="00687919" w:rsidRDefault="00A12F8F" w:rsidP="001D0D18">
      <w:pPr>
        <w:pStyle w:val="Listenabsatz"/>
        <w:numPr>
          <w:ilvl w:val="0"/>
          <w:numId w:val="12"/>
        </w:numPr>
        <w:rPr>
          <w:rFonts w:asciiTheme="minorHAnsi" w:hAnsiTheme="minorHAnsi" w:cstheme="minorHAnsi"/>
        </w:rPr>
      </w:pPr>
      <w:proofErr w:type="spellStart"/>
      <w:r w:rsidRPr="00687919">
        <w:rPr>
          <w:rFonts w:asciiTheme="minorHAnsi" w:hAnsiTheme="minorHAnsi" w:cstheme="minorHAnsi"/>
        </w:rPr>
        <w:t>fwbB</w:t>
      </w:r>
      <w:proofErr w:type="spellEnd"/>
      <w:r w:rsidRPr="00687919">
        <w:rPr>
          <w:rFonts w:asciiTheme="minorHAnsi" w:hAnsiTheme="minorHAnsi" w:cstheme="minorHAnsi"/>
        </w:rPr>
        <w:t xml:space="preserve"> = </w:t>
      </w:r>
      <w:proofErr w:type="spellStart"/>
      <w:r w:rsidRPr="00687919">
        <w:rPr>
          <w:rFonts w:asciiTheme="minorHAnsi" w:hAnsiTheme="minorHAnsi" w:cstheme="minorHAnsi"/>
        </w:rPr>
        <w:t>fine</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wood</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including</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bark</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Biomass</w:t>
      </w:r>
      <w:proofErr w:type="spellEnd"/>
      <w:r w:rsidRPr="00687919">
        <w:rPr>
          <w:rFonts w:asciiTheme="minorHAnsi" w:hAnsiTheme="minorHAnsi" w:cstheme="minorHAnsi"/>
        </w:rPr>
        <w:t xml:space="preserve"> (Biomasse Nichtderbholz inklusive Rinde)</w:t>
      </w:r>
    </w:p>
    <w:p w14:paraId="0E9A3E2D" w14:textId="77777777" w:rsidR="00A12F8F" w:rsidRPr="00687919" w:rsidRDefault="00A12F8F" w:rsidP="001D0D18">
      <w:pPr>
        <w:pStyle w:val="Listenabsatz"/>
        <w:numPr>
          <w:ilvl w:val="0"/>
          <w:numId w:val="12"/>
        </w:numPr>
        <w:rPr>
          <w:rFonts w:asciiTheme="minorHAnsi" w:hAnsiTheme="minorHAnsi" w:cstheme="minorHAnsi"/>
        </w:rPr>
      </w:pPr>
      <w:proofErr w:type="spellStart"/>
      <w:r w:rsidRPr="00687919">
        <w:rPr>
          <w:rFonts w:asciiTheme="minorHAnsi" w:hAnsiTheme="minorHAnsi" w:cstheme="minorHAnsi"/>
        </w:rPr>
        <w:t>swbB</w:t>
      </w:r>
      <w:proofErr w:type="spellEnd"/>
      <w:r w:rsidRPr="00687919">
        <w:rPr>
          <w:rFonts w:asciiTheme="minorHAnsi" w:hAnsiTheme="minorHAnsi" w:cstheme="minorHAnsi"/>
        </w:rPr>
        <w:t xml:space="preserve"> = solid </w:t>
      </w:r>
      <w:proofErr w:type="spellStart"/>
      <w:r w:rsidRPr="00687919">
        <w:rPr>
          <w:rFonts w:asciiTheme="minorHAnsi" w:hAnsiTheme="minorHAnsi" w:cstheme="minorHAnsi"/>
        </w:rPr>
        <w:t>wood</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bark</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Biomass</w:t>
      </w:r>
      <w:proofErr w:type="spellEnd"/>
      <w:r w:rsidRPr="00687919">
        <w:rPr>
          <w:rFonts w:asciiTheme="minorHAnsi" w:hAnsiTheme="minorHAnsi" w:cstheme="minorHAnsi"/>
        </w:rPr>
        <w:t xml:space="preserve"> (Biomasse Derbholzrinde)</w:t>
      </w:r>
    </w:p>
    <w:p w14:paraId="4E4FF739" w14:textId="77777777" w:rsidR="00A12F8F" w:rsidRPr="00687919" w:rsidRDefault="00A12F8F" w:rsidP="001D0D18">
      <w:pPr>
        <w:pStyle w:val="Listenabsatz"/>
        <w:numPr>
          <w:ilvl w:val="0"/>
          <w:numId w:val="12"/>
        </w:numPr>
        <w:rPr>
          <w:rFonts w:asciiTheme="minorHAnsi" w:hAnsiTheme="minorHAnsi" w:cstheme="minorHAnsi"/>
        </w:rPr>
      </w:pPr>
      <w:proofErr w:type="spellStart"/>
      <w:r w:rsidRPr="00687919">
        <w:rPr>
          <w:rFonts w:asciiTheme="minorHAnsi" w:hAnsiTheme="minorHAnsi" w:cstheme="minorHAnsi"/>
        </w:rPr>
        <w:t>swB</w:t>
      </w:r>
      <w:proofErr w:type="spellEnd"/>
      <w:r w:rsidRPr="00687919">
        <w:rPr>
          <w:rFonts w:asciiTheme="minorHAnsi" w:hAnsiTheme="minorHAnsi" w:cstheme="minorHAnsi"/>
        </w:rPr>
        <w:t xml:space="preserve"> = solid </w:t>
      </w:r>
      <w:proofErr w:type="spellStart"/>
      <w:r w:rsidRPr="00687919">
        <w:rPr>
          <w:rFonts w:asciiTheme="minorHAnsi" w:hAnsiTheme="minorHAnsi" w:cstheme="minorHAnsi"/>
        </w:rPr>
        <w:t>wood</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Biomass</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without</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bark</w:t>
      </w:r>
      <w:proofErr w:type="spellEnd"/>
      <w:r w:rsidRPr="00687919">
        <w:rPr>
          <w:rFonts w:asciiTheme="minorHAnsi" w:hAnsiTheme="minorHAnsi" w:cstheme="minorHAnsi"/>
        </w:rPr>
        <w:t xml:space="preserve"> (Biomasse Derbholz ohne Rinde)</w:t>
      </w:r>
    </w:p>
    <w:p w14:paraId="6CCC2C5B" w14:textId="77777777" w:rsidR="00A12F8F" w:rsidRPr="00687919" w:rsidRDefault="00A12F8F" w:rsidP="001D0D18">
      <w:pPr>
        <w:pStyle w:val="Listenabsatz"/>
        <w:numPr>
          <w:ilvl w:val="0"/>
          <w:numId w:val="12"/>
        </w:numPr>
        <w:rPr>
          <w:rFonts w:asciiTheme="minorHAnsi" w:hAnsiTheme="minorHAnsi" w:cstheme="minorHAnsi"/>
          <w:lang w:val="en-GB"/>
        </w:rPr>
      </w:pPr>
      <w:proofErr w:type="spellStart"/>
      <w:r w:rsidRPr="00687919">
        <w:rPr>
          <w:rFonts w:asciiTheme="minorHAnsi" w:hAnsiTheme="minorHAnsi" w:cstheme="minorHAnsi"/>
          <w:lang w:val="en-GB"/>
        </w:rPr>
        <w:t>stB</w:t>
      </w:r>
      <w:proofErr w:type="spellEnd"/>
      <w:r w:rsidRPr="00687919">
        <w:rPr>
          <w:rFonts w:asciiTheme="minorHAnsi" w:hAnsiTheme="minorHAnsi" w:cstheme="minorHAnsi"/>
          <w:lang w:val="en-GB"/>
        </w:rPr>
        <w:t xml:space="preserve"> = stump biomass without bark (Stock </w:t>
      </w:r>
      <w:proofErr w:type="spellStart"/>
      <w:r w:rsidRPr="00687919">
        <w:rPr>
          <w:rFonts w:asciiTheme="minorHAnsi" w:hAnsiTheme="minorHAnsi" w:cstheme="minorHAnsi"/>
          <w:lang w:val="en-GB"/>
        </w:rPr>
        <w:t>Biomasse</w:t>
      </w:r>
      <w:proofErr w:type="spellEnd"/>
      <w:r w:rsidRPr="00687919">
        <w:rPr>
          <w:rFonts w:asciiTheme="minorHAnsi" w:hAnsiTheme="minorHAnsi" w:cstheme="minorHAnsi"/>
          <w:lang w:val="en-GB"/>
        </w:rPr>
        <w:t xml:space="preserve"> </w:t>
      </w:r>
      <w:proofErr w:type="spellStart"/>
      <w:r w:rsidRPr="00687919">
        <w:rPr>
          <w:rFonts w:asciiTheme="minorHAnsi" w:hAnsiTheme="minorHAnsi" w:cstheme="minorHAnsi"/>
          <w:lang w:val="en-GB"/>
        </w:rPr>
        <w:t>ohne</w:t>
      </w:r>
      <w:proofErr w:type="spellEnd"/>
      <w:r w:rsidRPr="00687919">
        <w:rPr>
          <w:rFonts w:asciiTheme="minorHAnsi" w:hAnsiTheme="minorHAnsi" w:cstheme="minorHAnsi"/>
          <w:lang w:val="en-GB"/>
        </w:rPr>
        <w:t xml:space="preserve"> </w:t>
      </w:r>
      <w:proofErr w:type="spellStart"/>
      <w:r w:rsidRPr="00687919">
        <w:rPr>
          <w:rFonts w:asciiTheme="minorHAnsi" w:hAnsiTheme="minorHAnsi" w:cstheme="minorHAnsi"/>
          <w:lang w:val="en-GB"/>
        </w:rPr>
        <w:t>Rinde</w:t>
      </w:r>
      <w:proofErr w:type="spellEnd"/>
      <w:r w:rsidRPr="00687919">
        <w:rPr>
          <w:rFonts w:asciiTheme="minorHAnsi" w:hAnsiTheme="minorHAnsi" w:cstheme="minorHAnsi"/>
          <w:lang w:val="en-GB"/>
        </w:rPr>
        <w:t>)</w:t>
      </w:r>
    </w:p>
    <w:p w14:paraId="6FCE996A" w14:textId="77777777" w:rsidR="00A12F8F" w:rsidRPr="00687919" w:rsidRDefault="00A12F8F" w:rsidP="001D0D18">
      <w:pPr>
        <w:pStyle w:val="Listenabsatz"/>
        <w:numPr>
          <w:ilvl w:val="0"/>
          <w:numId w:val="12"/>
        </w:numPr>
        <w:rPr>
          <w:rFonts w:asciiTheme="minorHAnsi" w:hAnsiTheme="minorHAnsi" w:cstheme="minorHAnsi"/>
        </w:rPr>
      </w:pPr>
      <w:proofErr w:type="spellStart"/>
      <w:r w:rsidRPr="00687919">
        <w:rPr>
          <w:rFonts w:asciiTheme="minorHAnsi" w:hAnsiTheme="minorHAnsi" w:cstheme="minorHAnsi"/>
        </w:rPr>
        <w:t>stbB</w:t>
      </w:r>
      <w:proofErr w:type="spellEnd"/>
      <w:r w:rsidRPr="00687919">
        <w:rPr>
          <w:rFonts w:asciiTheme="minorHAnsi" w:hAnsiTheme="minorHAnsi" w:cstheme="minorHAnsi"/>
        </w:rPr>
        <w:t xml:space="preserve"> = </w:t>
      </w:r>
      <w:proofErr w:type="spellStart"/>
      <w:r w:rsidRPr="00687919">
        <w:rPr>
          <w:rFonts w:asciiTheme="minorHAnsi" w:hAnsiTheme="minorHAnsi" w:cstheme="minorHAnsi"/>
        </w:rPr>
        <w:t>stump</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bark</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biomass</w:t>
      </w:r>
      <w:proofErr w:type="spellEnd"/>
      <w:r w:rsidRPr="00687919">
        <w:rPr>
          <w:rFonts w:asciiTheme="minorHAnsi" w:hAnsiTheme="minorHAnsi" w:cstheme="minorHAnsi"/>
        </w:rPr>
        <w:t xml:space="preserve"> (Biomasse Stock </w:t>
      </w:r>
      <w:proofErr w:type="gramStart"/>
      <w:r w:rsidRPr="00687919">
        <w:rPr>
          <w:rFonts w:asciiTheme="minorHAnsi" w:hAnsiTheme="minorHAnsi" w:cstheme="minorHAnsi"/>
        </w:rPr>
        <w:t>Rinde )</w:t>
      </w:r>
      <w:proofErr w:type="gramEnd"/>
    </w:p>
    <w:p w14:paraId="63E0692C" w14:textId="77777777" w:rsidR="00A12F8F" w:rsidRPr="00687919" w:rsidRDefault="00A12F8F" w:rsidP="00A12F8F">
      <w:pPr>
        <w:pStyle w:val="Listenabsatz"/>
        <w:rPr>
          <w:rFonts w:asciiTheme="minorHAnsi" w:hAnsiTheme="minorHAnsi" w:cstheme="minorHAnsi"/>
        </w:rPr>
      </w:pPr>
    </w:p>
    <w:tbl>
      <w:tblPr>
        <w:tblW w:w="10044" w:type="dxa"/>
        <w:tblCellMar>
          <w:left w:w="0" w:type="dxa"/>
          <w:right w:w="0" w:type="dxa"/>
        </w:tblCellMar>
        <w:tblLook w:val="0420" w:firstRow="1" w:lastRow="0" w:firstColumn="0" w:lastColumn="0" w:noHBand="0" w:noVBand="1"/>
      </w:tblPr>
      <w:tblGrid>
        <w:gridCol w:w="1117"/>
        <w:gridCol w:w="394"/>
        <w:gridCol w:w="962"/>
        <w:gridCol w:w="393"/>
        <w:gridCol w:w="1050"/>
        <w:gridCol w:w="394"/>
        <w:gridCol w:w="1304"/>
        <w:gridCol w:w="394"/>
        <w:gridCol w:w="1223"/>
        <w:gridCol w:w="394"/>
        <w:gridCol w:w="989"/>
        <w:gridCol w:w="394"/>
        <w:gridCol w:w="1036"/>
      </w:tblGrid>
      <w:tr w:rsidR="00A12F8F" w:rsidRPr="00A12F8F" w14:paraId="4F032EE5" w14:textId="77777777" w:rsidTr="008177E0">
        <w:trPr>
          <w:trHeight w:val="331"/>
        </w:trPr>
        <w:tc>
          <w:tcPr>
            <w:tcW w:w="1117" w:type="dxa"/>
            <w:tcMar>
              <w:top w:w="72" w:type="dxa"/>
              <w:left w:w="144" w:type="dxa"/>
              <w:bottom w:w="72" w:type="dxa"/>
              <w:right w:w="144" w:type="dxa"/>
            </w:tcMar>
            <w:hideMark/>
          </w:tcPr>
          <w:p w14:paraId="332FABF4"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78BF"/>
                <w:kern w:val="24"/>
                <w:sz w:val="16"/>
                <w:szCs w:val="16"/>
              </w:rPr>
              <w:t xml:space="preserve">GHG </w:t>
            </w:r>
            <w:proofErr w:type="spellStart"/>
            <w:r w:rsidRPr="00A12F8F">
              <w:rPr>
                <w:rFonts w:asciiTheme="minorHAnsi" w:hAnsiTheme="minorHAnsi" w:cstheme="minorHAnsi"/>
                <w:b/>
                <w:bCs/>
                <w:color w:val="0078BF"/>
                <w:kern w:val="24"/>
                <w:sz w:val="16"/>
                <w:szCs w:val="16"/>
              </w:rPr>
              <w:t>swB</w:t>
            </w:r>
            <w:proofErr w:type="spellEnd"/>
          </w:p>
        </w:tc>
        <w:tc>
          <w:tcPr>
            <w:tcW w:w="394" w:type="dxa"/>
            <w:tcMar>
              <w:top w:w="72" w:type="dxa"/>
              <w:left w:w="144" w:type="dxa"/>
              <w:bottom w:w="72" w:type="dxa"/>
              <w:right w:w="144" w:type="dxa"/>
            </w:tcMar>
            <w:hideMark/>
          </w:tcPr>
          <w:p w14:paraId="46E489DB"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 xml:space="preserve">= </w:t>
            </w:r>
          </w:p>
        </w:tc>
        <w:tc>
          <w:tcPr>
            <w:tcW w:w="962" w:type="dxa"/>
            <w:tcMar>
              <w:top w:w="72" w:type="dxa"/>
              <w:left w:w="144" w:type="dxa"/>
              <w:bottom w:w="72" w:type="dxa"/>
              <w:right w:w="144" w:type="dxa"/>
            </w:tcMar>
            <w:hideMark/>
          </w:tcPr>
          <w:p w14:paraId="488964B5"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 xml:space="preserve">GHG </w:t>
            </w:r>
            <w:proofErr w:type="spellStart"/>
            <w:r w:rsidRPr="00A12F8F">
              <w:rPr>
                <w:rFonts w:asciiTheme="minorHAnsi" w:hAnsiTheme="minorHAnsi" w:cstheme="minorHAnsi"/>
                <w:b/>
                <w:bCs/>
                <w:color w:val="000000"/>
                <w:kern w:val="24"/>
                <w:sz w:val="16"/>
                <w:szCs w:val="16"/>
              </w:rPr>
              <w:t>aB</w:t>
            </w:r>
            <w:proofErr w:type="spellEnd"/>
          </w:p>
        </w:tc>
        <w:tc>
          <w:tcPr>
            <w:tcW w:w="393" w:type="dxa"/>
            <w:tcMar>
              <w:top w:w="72" w:type="dxa"/>
              <w:left w:w="144" w:type="dxa"/>
              <w:bottom w:w="72" w:type="dxa"/>
              <w:right w:w="144" w:type="dxa"/>
            </w:tcMar>
            <w:hideMark/>
          </w:tcPr>
          <w:p w14:paraId="59E95EE6"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w:t>
            </w:r>
          </w:p>
        </w:tc>
        <w:tc>
          <w:tcPr>
            <w:tcW w:w="1050" w:type="dxa"/>
            <w:tcMar>
              <w:top w:w="72" w:type="dxa"/>
              <w:left w:w="144" w:type="dxa"/>
              <w:bottom w:w="72" w:type="dxa"/>
              <w:right w:w="144" w:type="dxa"/>
            </w:tcMar>
            <w:hideMark/>
          </w:tcPr>
          <w:p w14:paraId="68EA9404"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w:t>
            </w:r>
            <w:proofErr w:type="spellStart"/>
            <w:r w:rsidRPr="00A12F8F">
              <w:rPr>
                <w:rFonts w:asciiTheme="minorHAnsi" w:hAnsiTheme="minorHAnsi" w:cstheme="minorHAnsi"/>
                <w:b/>
                <w:bCs/>
                <w:color w:val="000000"/>
                <w:kern w:val="24"/>
                <w:sz w:val="16"/>
                <w:szCs w:val="16"/>
              </w:rPr>
              <w:t>TapeS</w:t>
            </w:r>
            <w:proofErr w:type="spellEnd"/>
            <w:r w:rsidRPr="00A12F8F">
              <w:rPr>
                <w:rFonts w:asciiTheme="minorHAnsi" w:hAnsiTheme="minorHAnsi" w:cstheme="minorHAnsi"/>
                <w:b/>
                <w:bCs/>
                <w:color w:val="000000"/>
                <w:kern w:val="24"/>
                <w:sz w:val="16"/>
                <w:szCs w:val="16"/>
              </w:rPr>
              <w:t xml:space="preserve"> </w:t>
            </w:r>
            <w:proofErr w:type="spellStart"/>
            <w:r w:rsidRPr="00A12F8F">
              <w:rPr>
                <w:rFonts w:asciiTheme="minorHAnsi" w:hAnsiTheme="minorHAnsi" w:cstheme="minorHAnsi"/>
                <w:b/>
                <w:bCs/>
                <w:color w:val="000000"/>
                <w:kern w:val="24"/>
                <w:sz w:val="16"/>
                <w:szCs w:val="16"/>
              </w:rPr>
              <w:t>fB</w:t>
            </w:r>
            <w:proofErr w:type="spellEnd"/>
          </w:p>
        </w:tc>
        <w:tc>
          <w:tcPr>
            <w:tcW w:w="394" w:type="dxa"/>
            <w:tcMar>
              <w:top w:w="72" w:type="dxa"/>
              <w:left w:w="144" w:type="dxa"/>
              <w:bottom w:w="72" w:type="dxa"/>
              <w:right w:w="144" w:type="dxa"/>
            </w:tcMar>
            <w:hideMark/>
          </w:tcPr>
          <w:p w14:paraId="0A3D3DF7"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 xml:space="preserve">+ </w:t>
            </w:r>
          </w:p>
        </w:tc>
        <w:tc>
          <w:tcPr>
            <w:tcW w:w="1304" w:type="dxa"/>
            <w:tcMar>
              <w:top w:w="72" w:type="dxa"/>
              <w:left w:w="144" w:type="dxa"/>
              <w:bottom w:w="72" w:type="dxa"/>
              <w:right w:w="144" w:type="dxa"/>
            </w:tcMar>
            <w:hideMark/>
          </w:tcPr>
          <w:p w14:paraId="6A7EDE68"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proofErr w:type="spellStart"/>
            <w:r w:rsidRPr="00A12F8F">
              <w:rPr>
                <w:rFonts w:asciiTheme="minorHAnsi" w:hAnsiTheme="minorHAnsi" w:cstheme="minorHAnsi"/>
                <w:b/>
                <w:bCs/>
                <w:color w:val="000000"/>
                <w:kern w:val="24"/>
                <w:sz w:val="16"/>
                <w:szCs w:val="16"/>
              </w:rPr>
              <w:t>TapeS</w:t>
            </w:r>
            <w:proofErr w:type="spellEnd"/>
            <w:r w:rsidRPr="00A12F8F">
              <w:rPr>
                <w:rFonts w:asciiTheme="minorHAnsi" w:hAnsiTheme="minorHAnsi" w:cstheme="minorHAnsi"/>
                <w:b/>
                <w:bCs/>
                <w:color w:val="000000"/>
                <w:kern w:val="24"/>
                <w:sz w:val="16"/>
                <w:szCs w:val="16"/>
              </w:rPr>
              <w:t xml:space="preserve"> </w:t>
            </w:r>
            <w:proofErr w:type="spellStart"/>
            <w:r w:rsidRPr="00A12F8F">
              <w:rPr>
                <w:rFonts w:asciiTheme="minorHAnsi" w:hAnsiTheme="minorHAnsi" w:cstheme="minorHAnsi"/>
                <w:b/>
                <w:bCs/>
                <w:color w:val="000000"/>
                <w:kern w:val="24"/>
                <w:sz w:val="16"/>
                <w:szCs w:val="16"/>
              </w:rPr>
              <w:t>fwbB</w:t>
            </w:r>
            <w:proofErr w:type="spellEnd"/>
          </w:p>
        </w:tc>
        <w:tc>
          <w:tcPr>
            <w:tcW w:w="394" w:type="dxa"/>
            <w:tcMar>
              <w:top w:w="72" w:type="dxa"/>
              <w:left w:w="144" w:type="dxa"/>
              <w:bottom w:w="72" w:type="dxa"/>
              <w:right w:w="144" w:type="dxa"/>
            </w:tcMar>
            <w:hideMark/>
          </w:tcPr>
          <w:p w14:paraId="20272608"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 xml:space="preserve">+ </w:t>
            </w:r>
          </w:p>
        </w:tc>
        <w:tc>
          <w:tcPr>
            <w:tcW w:w="1223" w:type="dxa"/>
            <w:tcMar>
              <w:top w:w="72" w:type="dxa"/>
              <w:left w:w="144" w:type="dxa"/>
              <w:bottom w:w="72" w:type="dxa"/>
              <w:right w:w="144" w:type="dxa"/>
            </w:tcMar>
            <w:hideMark/>
          </w:tcPr>
          <w:p w14:paraId="18EACA1D"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proofErr w:type="spellStart"/>
            <w:r w:rsidRPr="00A12F8F">
              <w:rPr>
                <w:rFonts w:asciiTheme="minorHAnsi" w:hAnsiTheme="minorHAnsi" w:cstheme="minorHAnsi"/>
                <w:b/>
                <w:bCs/>
                <w:color w:val="000000"/>
                <w:kern w:val="24"/>
                <w:sz w:val="16"/>
                <w:szCs w:val="16"/>
              </w:rPr>
              <w:t>TapeS</w:t>
            </w:r>
            <w:proofErr w:type="spellEnd"/>
            <w:r w:rsidRPr="00A12F8F">
              <w:rPr>
                <w:rFonts w:asciiTheme="minorHAnsi" w:hAnsiTheme="minorHAnsi" w:cstheme="minorHAnsi"/>
                <w:b/>
                <w:bCs/>
                <w:color w:val="000000"/>
                <w:kern w:val="24"/>
                <w:sz w:val="16"/>
                <w:szCs w:val="16"/>
              </w:rPr>
              <w:t xml:space="preserve"> </w:t>
            </w:r>
            <w:proofErr w:type="spellStart"/>
            <w:r w:rsidRPr="00A12F8F">
              <w:rPr>
                <w:rFonts w:asciiTheme="minorHAnsi" w:hAnsiTheme="minorHAnsi" w:cstheme="minorHAnsi"/>
                <w:b/>
                <w:bCs/>
                <w:color w:val="000000"/>
                <w:kern w:val="24"/>
                <w:sz w:val="16"/>
                <w:szCs w:val="16"/>
              </w:rPr>
              <w:t>swbB</w:t>
            </w:r>
            <w:proofErr w:type="spellEnd"/>
          </w:p>
        </w:tc>
        <w:tc>
          <w:tcPr>
            <w:tcW w:w="394" w:type="dxa"/>
            <w:tcMar>
              <w:top w:w="72" w:type="dxa"/>
              <w:left w:w="144" w:type="dxa"/>
              <w:bottom w:w="72" w:type="dxa"/>
              <w:right w:w="144" w:type="dxa"/>
            </w:tcMar>
            <w:hideMark/>
          </w:tcPr>
          <w:p w14:paraId="02587FC6"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7F7F7F"/>
                <w:kern w:val="24"/>
                <w:sz w:val="16"/>
                <w:szCs w:val="16"/>
              </w:rPr>
              <w:t xml:space="preserve">+ </w:t>
            </w:r>
          </w:p>
        </w:tc>
        <w:tc>
          <w:tcPr>
            <w:tcW w:w="989" w:type="dxa"/>
            <w:tcMar>
              <w:top w:w="72" w:type="dxa"/>
              <w:left w:w="144" w:type="dxa"/>
              <w:bottom w:w="72" w:type="dxa"/>
              <w:right w:w="144" w:type="dxa"/>
            </w:tcMar>
            <w:hideMark/>
          </w:tcPr>
          <w:p w14:paraId="182A7C1D"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proofErr w:type="spellStart"/>
            <w:r w:rsidRPr="00A12F8F">
              <w:rPr>
                <w:rFonts w:asciiTheme="minorHAnsi" w:hAnsiTheme="minorHAnsi" w:cstheme="minorHAnsi"/>
                <w:b/>
                <w:bCs/>
                <w:color w:val="7F7F7F"/>
                <w:kern w:val="24"/>
                <w:sz w:val="16"/>
                <w:szCs w:val="16"/>
              </w:rPr>
              <w:t>TapeS</w:t>
            </w:r>
            <w:proofErr w:type="spellEnd"/>
            <w:r w:rsidRPr="00A12F8F">
              <w:rPr>
                <w:rFonts w:asciiTheme="minorHAnsi" w:hAnsiTheme="minorHAnsi" w:cstheme="minorHAnsi"/>
                <w:b/>
                <w:bCs/>
                <w:color w:val="7F7F7F"/>
                <w:kern w:val="24"/>
                <w:sz w:val="16"/>
                <w:szCs w:val="16"/>
              </w:rPr>
              <w:t xml:space="preserve"> </w:t>
            </w:r>
            <w:proofErr w:type="spellStart"/>
            <w:r w:rsidRPr="00A12F8F">
              <w:rPr>
                <w:rFonts w:asciiTheme="minorHAnsi" w:hAnsiTheme="minorHAnsi" w:cstheme="minorHAnsi"/>
                <w:b/>
                <w:bCs/>
                <w:color w:val="7F7F7F"/>
                <w:kern w:val="24"/>
                <w:sz w:val="16"/>
                <w:szCs w:val="16"/>
              </w:rPr>
              <w:t>stB</w:t>
            </w:r>
            <w:proofErr w:type="spellEnd"/>
          </w:p>
        </w:tc>
        <w:tc>
          <w:tcPr>
            <w:tcW w:w="394" w:type="dxa"/>
            <w:tcMar>
              <w:top w:w="72" w:type="dxa"/>
              <w:left w:w="144" w:type="dxa"/>
              <w:bottom w:w="72" w:type="dxa"/>
              <w:right w:w="144" w:type="dxa"/>
            </w:tcMar>
            <w:hideMark/>
          </w:tcPr>
          <w:p w14:paraId="30E82C52"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7F7F7F"/>
                <w:kern w:val="24"/>
                <w:sz w:val="16"/>
                <w:szCs w:val="16"/>
              </w:rPr>
              <w:t xml:space="preserve">+ </w:t>
            </w:r>
          </w:p>
        </w:tc>
        <w:tc>
          <w:tcPr>
            <w:tcW w:w="1036" w:type="dxa"/>
            <w:tcMar>
              <w:top w:w="72" w:type="dxa"/>
              <w:left w:w="144" w:type="dxa"/>
              <w:bottom w:w="72" w:type="dxa"/>
              <w:right w:w="144" w:type="dxa"/>
            </w:tcMar>
            <w:hideMark/>
          </w:tcPr>
          <w:p w14:paraId="55F910B7"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proofErr w:type="spellStart"/>
            <w:r w:rsidRPr="00A12F8F">
              <w:rPr>
                <w:rFonts w:asciiTheme="minorHAnsi" w:hAnsiTheme="minorHAnsi" w:cstheme="minorHAnsi"/>
                <w:b/>
                <w:bCs/>
                <w:color w:val="7F7F7F"/>
                <w:kern w:val="24"/>
                <w:sz w:val="16"/>
                <w:szCs w:val="16"/>
              </w:rPr>
              <w:t>TapeS</w:t>
            </w:r>
            <w:proofErr w:type="spellEnd"/>
            <w:r w:rsidRPr="00A12F8F">
              <w:rPr>
                <w:rFonts w:asciiTheme="minorHAnsi" w:hAnsiTheme="minorHAnsi" w:cstheme="minorHAnsi"/>
                <w:b/>
                <w:bCs/>
                <w:color w:val="7F7F7F"/>
                <w:kern w:val="24"/>
                <w:sz w:val="16"/>
                <w:szCs w:val="16"/>
              </w:rPr>
              <w:t xml:space="preserve"> </w:t>
            </w:r>
            <w:proofErr w:type="spellStart"/>
            <w:r w:rsidRPr="00A12F8F">
              <w:rPr>
                <w:rFonts w:asciiTheme="minorHAnsi" w:hAnsiTheme="minorHAnsi" w:cstheme="minorHAnsi"/>
                <w:b/>
                <w:bCs/>
                <w:color w:val="7F7F7F"/>
                <w:kern w:val="24"/>
                <w:sz w:val="16"/>
                <w:szCs w:val="16"/>
              </w:rPr>
              <w:t>stbB</w:t>
            </w:r>
            <w:proofErr w:type="spellEnd"/>
            <w:r w:rsidRPr="00A12F8F">
              <w:rPr>
                <w:rFonts w:asciiTheme="minorHAnsi" w:hAnsiTheme="minorHAnsi" w:cstheme="minorHAnsi"/>
                <w:b/>
                <w:bCs/>
                <w:color w:val="7F7F7F"/>
                <w:kern w:val="24"/>
                <w:sz w:val="16"/>
                <w:szCs w:val="16"/>
              </w:rPr>
              <w:t>)</w:t>
            </w:r>
          </w:p>
        </w:tc>
      </w:tr>
      <w:tr w:rsidR="00A12F8F" w:rsidRPr="00A12F8F" w14:paraId="4DE481FA" w14:textId="77777777" w:rsidTr="008177E0">
        <w:trPr>
          <w:trHeight w:val="331"/>
        </w:trPr>
        <w:tc>
          <w:tcPr>
            <w:tcW w:w="1117" w:type="dxa"/>
            <w:tcMar>
              <w:top w:w="72" w:type="dxa"/>
              <w:left w:w="144" w:type="dxa"/>
              <w:bottom w:w="72" w:type="dxa"/>
              <w:right w:w="144" w:type="dxa"/>
            </w:tcMar>
            <w:hideMark/>
          </w:tcPr>
          <w:p w14:paraId="482AEF0B" w14:textId="77777777" w:rsidR="00A12F8F" w:rsidRPr="00A12F8F" w:rsidRDefault="00A12F8F" w:rsidP="008177E0">
            <w:pPr>
              <w:suppressAutoHyphens w:val="0"/>
              <w:spacing w:before="0" w:line="240" w:lineRule="auto"/>
              <w:jc w:val="center"/>
              <w:rPr>
                <w:rFonts w:asciiTheme="minorHAnsi" w:hAnsiTheme="minorHAnsi" w:cstheme="minorHAnsi"/>
                <w:b/>
                <w:bCs/>
                <w:color w:val="0078BF"/>
                <w:kern w:val="24"/>
                <w:sz w:val="16"/>
                <w:szCs w:val="16"/>
              </w:rPr>
            </w:pPr>
            <w:r w:rsidRPr="00A12F8F">
              <w:rPr>
                <w:rFonts w:asciiTheme="minorHAnsi" w:hAnsiTheme="minorHAnsi" w:cstheme="minorHAnsi"/>
                <w:noProof/>
                <w:sz w:val="16"/>
                <w:szCs w:val="16"/>
              </w:rPr>
              <mc:AlternateContent>
                <mc:Choice Requires="wps">
                  <w:drawing>
                    <wp:anchor distT="0" distB="0" distL="114300" distR="114300" simplePos="0" relativeHeight="251664384" behindDoc="0" locked="0" layoutInCell="1" allowOverlap="1" wp14:anchorId="3E5833D6" wp14:editId="58C9743A">
                      <wp:simplePos x="0" y="0"/>
                      <wp:positionH relativeFrom="column">
                        <wp:posOffset>231775</wp:posOffset>
                      </wp:positionH>
                      <wp:positionV relativeFrom="paragraph">
                        <wp:posOffset>-8890</wp:posOffset>
                      </wp:positionV>
                      <wp:extent cx="3867150" cy="215900"/>
                      <wp:effectExtent l="0" t="0" r="95250" b="50800"/>
                      <wp:wrapNone/>
                      <wp:docPr id="20" name="Verbinder: gewinkelt 20"/>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67150" cy="215900"/>
                              </a:xfrm>
                              <a:prstGeom prst="bentConnector3">
                                <a:avLst>
                                  <a:gd name="adj1" fmla="val 10065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903641"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20" o:spid="_x0000_s1026" type="#_x0000_t34" style="position:absolute;margin-left:18.25pt;margin-top:-.7pt;width:304.5pt;height:1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" adj="21741" strokecolor="#4472c4 [3204]" strokeweight=".5pt">
                      <v:stroke endarrow="block"/>
                      <o:lock v:ext="edit" shapetype="f"/>
                    </v:shape>
                  </w:pict>
                </mc:Fallback>
              </mc:AlternateContent>
            </w:r>
          </w:p>
        </w:tc>
        <w:tc>
          <w:tcPr>
            <w:tcW w:w="394" w:type="dxa"/>
            <w:tcMar>
              <w:top w:w="72" w:type="dxa"/>
              <w:left w:w="144" w:type="dxa"/>
              <w:bottom w:w="72" w:type="dxa"/>
              <w:right w:w="144" w:type="dxa"/>
            </w:tcMar>
          </w:tcPr>
          <w:p w14:paraId="32214965"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p>
        </w:tc>
        <w:tc>
          <w:tcPr>
            <w:tcW w:w="962" w:type="dxa"/>
            <w:tcMar>
              <w:top w:w="72" w:type="dxa"/>
              <w:left w:w="144" w:type="dxa"/>
              <w:bottom w:w="72" w:type="dxa"/>
              <w:right w:w="144" w:type="dxa"/>
            </w:tcMar>
          </w:tcPr>
          <w:p w14:paraId="42097DB6"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p>
        </w:tc>
        <w:tc>
          <w:tcPr>
            <w:tcW w:w="393" w:type="dxa"/>
            <w:tcMar>
              <w:top w:w="72" w:type="dxa"/>
              <w:left w:w="144" w:type="dxa"/>
              <w:bottom w:w="72" w:type="dxa"/>
              <w:right w:w="144" w:type="dxa"/>
            </w:tcMar>
          </w:tcPr>
          <w:p w14:paraId="012876AE"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p>
        </w:tc>
        <w:tc>
          <w:tcPr>
            <w:tcW w:w="1050" w:type="dxa"/>
            <w:tcMar>
              <w:top w:w="72" w:type="dxa"/>
              <w:left w:w="144" w:type="dxa"/>
              <w:bottom w:w="72" w:type="dxa"/>
              <w:right w:w="144" w:type="dxa"/>
            </w:tcMar>
          </w:tcPr>
          <w:p w14:paraId="085D903C"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p>
        </w:tc>
        <w:tc>
          <w:tcPr>
            <w:tcW w:w="394" w:type="dxa"/>
            <w:tcMar>
              <w:top w:w="72" w:type="dxa"/>
              <w:left w:w="144" w:type="dxa"/>
              <w:bottom w:w="72" w:type="dxa"/>
              <w:right w:w="144" w:type="dxa"/>
            </w:tcMar>
          </w:tcPr>
          <w:p w14:paraId="087308EC"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p>
        </w:tc>
        <w:tc>
          <w:tcPr>
            <w:tcW w:w="1304" w:type="dxa"/>
            <w:tcMar>
              <w:top w:w="72" w:type="dxa"/>
              <w:left w:w="144" w:type="dxa"/>
              <w:bottom w:w="72" w:type="dxa"/>
              <w:right w:w="144" w:type="dxa"/>
            </w:tcMar>
          </w:tcPr>
          <w:p w14:paraId="4029EA69"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p>
        </w:tc>
        <w:tc>
          <w:tcPr>
            <w:tcW w:w="394" w:type="dxa"/>
            <w:tcMar>
              <w:top w:w="72" w:type="dxa"/>
              <w:left w:w="144" w:type="dxa"/>
              <w:bottom w:w="72" w:type="dxa"/>
              <w:right w:w="144" w:type="dxa"/>
            </w:tcMar>
          </w:tcPr>
          <w:p w14:paraId="2312A7D5"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p>
        </w:tc>
        <w:tc>
          <w:tcPr>
            <w:tcW w:w="1223" w:type="dxa"/>
            <w:tcMar>
              <w:top w:w="72" w:type="dxa"/>
              <w:left w:w="144" w:type="dxa"/>
              <w:bottom w:w="72" w:type="dxa"/>
              <w:right w:w="144" w:type="dxa"/>
            </w:tcMar>
          </w:tcPr>
          <w:p w14:paraId="1DBD64E8"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p>
        </w:tc>
        <w:tc>
          <w:tcPr>
            <w:tcW w:w="394" w:type="dxa"/>
            <w:tcMar>
              <w:top w:w="72" w:type="dxa"/>
              <w:left w:w="144" w:type="dxa"/>
              <w:bottom w:w="72" w:type="dxa"/>
              <w:right w:w="144" w:type="dxa"/>
            </w:tcMar>
          </w:tcPr>
          <w:p w14:paraId="05D4D98C" w14:textId="77777777" w:rsidR="00A12F8F" w:rsidRPr="00A12F8F" w:rsidRDefault="00A12F8F" w:rsidP="008177E0">
            <w:pPr>
              <w:suppressAutoHyphens w:val="0"/>
              <w:spacing w:before="0" w:line="240" w:lineRule="auto"/>
              <w:jc w:val="center"/>
              <w:rPr>
                <w:rFonts w:asciiTheme="minorHAnsi" w:hAnsiTheme="minorHAnsi" w:cstheme="minorHAnsi"/>
                <w:b/>
                <w:bCs/>
                <w:color w:val="7F7F7F"/>
                <w:kern w:val="24"/>
                <w:sz w:val="16"/>
                <w:szCs w:val="16"/>
              </w:rPr>
            </w:pPr>
          </w:p>
        </w:tc>
        <w:tc>
          <w:tcPr>
            <w:tcW w:w="989" w:type="dxa"/>
            <w:tcMar>
              <w:top w:w="72" w:type="dxa"/>
              <w:left w:w="144" w:type="dxa"/>
              <w:bottom w:w="72" w:type="dxa"/>
              <w:right w:w="144" w:type="dxa"/>
            </w:tcMar>
          </w:tcPr>
          <w:p w14:paraId="51AA8B5A" w14:textId="77777777" w:rsidR="00A12F8F" w:rsidRPr="00A12F8F" w:rsidRDefault="00A12F8F" w:rsidP="008177E0">
            <w:pPr>
              <w:suppressAutoHyphens w:val="0"/>
              <w:spacing w:before="0" w:line="240" w:lineRule="auto"/>
              <w:jc w:val="center"/>
              <w:rPr>
                <w:rFonts w:asciiTheme="minorHAnsi" w:hAnsiTheme="minorHAnsi" w:cstheme="minorHAnsi"/>
                <w:b/>
                <w:bCs/>
                <w:color w:val="7F7F7F"/>
                <w:kern w:val="24"/>
                <w:sz w:val="16"/>
                <w:szCs w:val="16"/>
              </w:rPr>
            </w:pPr>
          </w:p>
        </w:tc>
        <w:tc>
          <w:tcPr>
            <w:tcW w:w="394" w:type="dxa"/>
            <w:tcMar>
              <w:top w:w="72" w:type="dxa"/>
              <w:left w:w="144" w:type="dxa"/>
              <w:bottom w:w="72" w:type="dxa"/>
              <w:right w:w="144" w:type="dxa"/>
            </w:tcMar>
          </w:tcPr>
          <w:p w14:paraId="16B0DE14" w14:textId="77777777" w:rsidR="00A12F8F" w:rsidRPr="00A12F8F" w:rsidRDefault="00A12F8F" w:rsidP="008177E0">
            <w:pPr>
              <w:suppressAutoHyphens w:val="0"/>
              <w:spacing w:before="0" w:line="240" w:lineRule="auto"/>
              <w:jc w:val="center"/>
              <w:rPr>
                <w:rFonts w:asciiTheme="minorHAnsi" w:hAnsiTheme="minorHAnsi" w:cstheme="minorHAnsi"/>
                <w:b/>
                <w:bCs/>
                <w:color w:val="7F7F7F"/>
                <w:kern w:val="24"/>
                <w:sz w:val="16"/>
                <w:szCs w:val="16"/>
              </w:rPr>
            </w:pPr>
          </w:p>
        </w:tc>
        <w:tc>
          <w:tcPr>
            <w:tcW w:w="1036" w:type="dxa"/>
            <w:tcMar>
              <w:top w:w="72" w:type="dxa"/>
              <w:left w:w="144" w:type="dxa"/>
              <w:bottom w:w="72" w:type="dxa"/>
              <w:right w:w="144" w:type="dxa"/>
            </w:tcMar>
          </w:tcPr>
          <w:p w14:paraId="1A446BB3" w14:textId="77777777" w:rsidR="00A12F8F" w:rsidRPr="00A12F8F" w:rsidRDefault="00A12F8F" w:rsidP="008177E0">
            <w:pPr>
              <w:suppressAutoHyphens w:val="0"/>
              <w:spacing w:before="0" w:line="240" w:lineRule="auto"/>
              <w:jc w:val="center"/>
              <w:rPr>
                <w:rFonts w:asciiTheme="minorHAnsi" w:hAnsiTheme="minorHAnsi" w:cstheme="minorHAnsi"/>
                <w:b/>
                <w:bCs/>
                <w:color w:val="7F7F7F"/>
                <w:kern w:val="24"/>
                <w:sz w:val="16"/>
                <w:szCs w:val="16"/>
              </w:rPr>
            </w:pPr>
          </w:p>
        </w:tc>
      </w:tr>
      <w:tr w:rsidR="00A12F8F" w:rsidRPr="00A12F8F" w14:paraId="5C24F71C" w14:textId="77777777" w:rsidTr="008177E0">
        <w:trPr>
          <w:trHeight w:val="331"/>
        </w:trPr>
        <w:tc>
          <w:tcPr>
            <w:tcW w:w="1117" w:type="dxa"/>
            <w:tcMar>
              <w:top w:w="72" w:type="dxa"/>
              <w:left w:w="144" w:type="dxa"/>
              <w:bottom w:w="72" w:type="dxa"/>
              <w:right w:w="144" w:type="dxa"/>
            </w:tcMar>
            <w:hideMark/>
          </w:tcPr>
          <w:p w14:paraId="525B2664"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7F7F"/>
                <w:kern w:val="24"/>
                <w:sz w:val="16"/>
                <w:szCs w:val="16"/>
              </w:rPr>
              <w:t xml:space="preserve">GHG </w:t>
            </w:r>
            <w:proofErr w:type="spellStart"/>
            <w:r w:rsidRPr="00A12F8F">
              <w:rPr>
                <w:rFonts w:asciiTheme="minorHAnsi" w:hAnsiTheme="minorHAnsi" w:cstheme="minorHAnsi"/>
                <w:b/>
                <w:bCs/>
                <w:color w:val="007F7F"/>
                <w:kern w:val="24"/>
                <w:sz w:val="16"/>
                <w:szCs w:val="16"/>
              </w:rPr>
              <w:t>swbB</w:t>
            </w:r>
            <w:proofErr w:type="spellEnd"/>
          </w:p>
        </w:tc>
        <w:tc>
          <w:tcPr>
            <w:tcW w:w="394" w:type="dxa"/>
            <w:tcMar>
              <w:top w:w="72" w:type="dxa"/>
              <w:left w:w="144" w:type="dxa"/>
              <w:bottom w:w="72" w:type="dxa"/>
              <w:right w:w="144" w:type="dxa"/>
            </w:tcMar>
            <w:hideMark/>
          </w:tcPr>
          <w:p w14:paraId="0DDCAA9D"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 xml:space="preserve">= </w:t>
            </w:r>
          </w:p>
        </w:tc>
        <w:tc>
          <w:tcPr>
            <w:tcW w:w="962" w:type="dxa"/>
            <w:tcMar>
              <w:top w:w="72" w:type="dxa"/>
              <w:left w:w="144" w:type="dxa"/>
              <w:bottom w:w="72" w:type="dxa"/>
              <w:right w:w="144" w:type="dxa"/>
            </w:tcMar>
            <w:hideMark/>
          </w:tcPr>
          <w:p w14:paraId="658A0C2B"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 xml:space="preserve">GHG </w:t>
            </w:r>
            <w:proofErr w:type="spellStart"/>
            <w:r w:rsidRPr="00A12F8F">
              <w:rPr>
                <w:rFonts w:asciiTheme="minorHAnsi" w:hAnsiTheme="minorHAnsi" w:cstheme="minorHAnsi"/>
                <w:b/>
                <w:bCs/>
                <w:color w:val="000000"/>
                <w:kern w:val="24"/>
                <w:sz w:val="16"/>
                <w:szCs w:val="16"/>
              </w:rPr>
              <w:t>aB</w:t>
            </w:r>
            <w:proofErr w:type="spellEnd"/>
          </w:p>
        </w:tc>
        <w:tc>
          <w:tcPr>
            <w:tcW w:w="393" w:type="dxa"/>
            <w:tcMar>
              <w:top w:w="72" w:type="dxa"/>
              <w:left w:w="144" w:type="dxa"/>
              <w:bottom w:w="72" w:type="dxa"/>
              <w:right w:w="144" w:type="dxa"/>
            </w:tcMar>
            <w:hideMark/>
          </w:tcPr>
          <w:p w14:paraId="7C01C43B"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w:t>
            </w:r>
          </w:p>
        </w:tc>
        <w:tc>
          <w:tcPr>
            <w:tcW w:w="1050" w:type="dxa"/>
            <w:tcMar>
              <w:top w:w="72" w:type="dxa"/>
              <w:left w:w="144" w:type="dxa"/>
              <w:bottom w:w="72" w:type="dxa"/>
              <w:right w:w="144" w:type="dxa"/>
            </w:tcMar>
            <w:hideMark/>
          </w:tcPr>
          <w:p w14:paraId="6AD1F9E0"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w:t>
            </w:r>
            <w:proofErr w:type="spellStart"/>
            <w:r w:rsidRPr="00A12F8F">
              <w:rPr>
                <w:rFonts w:asciiTheme="minorHAnsi" w:hAnsiTheme="minorHAnsi" w:cstheme="minorHAnsi"/>
                <w:b/>
                <w:bCs/>
                <w:color w:val="000000"/>
                <w:kern w:val="24"/>
                <w:sz w:val="16"/>
                <w:szCs w:val="16"/>
              </w:rPr>
              <w:t>TapeS</w:t>
            </w:r>
            <w:proofErr w:type="spellEnd"/>
            <w:r w:rsidRPr="00A12F8F">
              <w:rPr>
                <w:rFonts w:asciiTheme="minorHAnsi" w:hAnsiTheme="minorHAnsi" w:cstheme="minorHAnsi"/>
                <w:b/>
                <w:bCs/>
                <w:color w:val="000000"/>
                <w:kern w:val="24"/>
                <w:sz w:val="16"/>
                <w:szCs w:val="16"/>
              </w:rPr>
              <w:t xml:space="preserve"> </w:t>
            </w:r>
            <w:proofErr w:type="spellStart"/>
            <w:r w:rsidRPr="00A12F8F">
              <w:rPr>
                <w:rFonts w:asciiTheme="minorHAnsi" w:hAnsiTheme="minorHAnsi" w:cstheme="minorHAnsi"/>
                <w:b/>
                <w:bCs/>
                <w:color w:val="000000"/>
                <w:kern w:val="24"/>
                <w:sz w:val="16"/>
                <w:szCs w:val="16"/>
              </w:rPr>
              <w:t>fB</w:t>
            </w:r>
            <w:proofErr w:type="spellEnd"/>
          </w:p>
        </w:tc>
        <w:tc>
          <w:tcPr>
            <w:tcW w:w="394" w:type="dxa"/>
            <w:tcMar>
              <w:top w:w="72" w:type="dxa"/>
              <w:left w:w="144" w:type="dxa"/>
              <w:bottom w:w="72" w:type="dxa"/>
              <w:right w:w="144" w:type="dxa"/>
            </w:tcMar>
            <w:hideMark/>
          </w:tcPr>
          <w:p w14:paraId="146BFCB1"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 xml:space="preserve">+ </w:t>
            </w:r>
          </w:p>
        </w:tc>
        <w:tc>
          <w:tcPr>
            <w:tcW w:w="1304" w:type="dxa"/>
            <w:tcMar>
              <w:top w:w="72" w:type="dxa"/>
              <w:left w:w="144" w:type="dxa"/>
              <w:bottom w:w="72" w:type="dxa"/>
              <w:right w:w="144" w:type="dxa"/>
            </w:tcMar>
            <w:hideMark/>
          </w:tcPr>
          <w:p w14:paraId="0DC9BE96"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proofErr w:type="spellStart"/>
            <w:r w:rsidRPr="00A12F8F">
              <w:rPr>
                <w:rFonts w:asciiTheme="minorHAnsi" w:hAnsiTheme="minorHAnsi" w:cstheme="minorHAnsi"/>
                <w:b/>
                <w:bCs/>
                <w:color w:val="000000"/>
                <w:kern w:val="24"/>
                <w:sz w:val="16"/>
                <w:szCs w:val="16"/>
              </w:rPr>
              <w:t>TapeS</w:t>
            </w:r>
            <w:proofErr w:type="spellEnd"/>
            <w:r w:rsidRPr="00A12F8F">
              <w:rPr>
                <w:rFonts w:asciiTheme="minorHAnsi" w:hAnsiTheme="minorHAnsi" w:cstheme="minorHAnsi"/>
                <w:b/>
                <w:bCs/>
                <w:color w:val="000000"/>
                <w:kern w:val="24"/>
                <w:sz w:val="16"/>
                <w:szCs w:val="16"/>
              </w:rPr>
              <w:t xml:space="preserve"> </w:t>
            </w:r>
            <w:proofErr w:type="spellStart"/>
            <w:r w:rsidRPr="00A12F8F">
              <w:rPr>
                <w:rFonts w:asciiTheme="minorHAnsi" w:hAnsiTheme="minorHAnsi" w:cstheme="minorHAnsi"/>
                <w:b/>
                <w:bCs/>
                <w:color w:val="000000"/>
                <w:kern w:val="24"/>
                <w:sz w:val="16"/>
                <w:szCs w:val="16"/>
              </w:rPr>
              <w:t>fwbB</w:t>
            </w:r>
            <w:proofErr w:type="spellEnd"/>
          </w:p>
        </w:tc>
        <w:tc>
          <w:tcPr>
            <w:tcW w:w="394" w:type="dxa"/>
            <w:tcMar>
              <w:top w:w="72" w:type="dxa"/>
              <w:left w:w="144" w:type="dxa"/>
              <w:bottom w:w="72" w:type="dxa"/>
              <w:right w:w="144" w:type="dxa"/>
            </w:tcMar>
            <w:hideMark/>
          </w:tcPr>
          <w:p w14:paraId="0FA14162"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 xml:space="preserve">+ </w:t>
            </w:r>
          </w:p>
        </w:tc>
        <w:tc>
          <w:tcPr>
            <w:tcW w:w="1223" w:type="dxa"/>
            <w:tcMar>
              <w:top w:w="72" w:type="dxa"/>
              <w:left w:w="144" w:type="dxa"/>
              <w:bottom w:w="72" w:type="dxa"/>
              <w:right w:w="144" w:type="dxa"/>
            </w:tcMar>
            <w:hideMark/>
          </w:tcPr>
          <w:p w14:paraId="38560B9E"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78BF"/>
                <w:kern w:val="24"/>
                <w:sz w:val="16"/>
                <w:szCs w:val="16"/>
              </w:rPr>
              <w:t xml:space="preserve">GHG </w:t>
            </w:r>
            <w:proofErr w:type="spellStart"/>
            <w:r w:rsidRPr="00A12F8F">
              <w:rPr>
                <w:rFonts w:asciiTheme="minorHAnsi" w:hAnsiTheme="minorHAnsi" w:cstheme="minorHAnsi"/>
                <w:b/>
                <w:bCs/>
                <w:color w:val="0078BF"/>
                <w:kern w:val="24"/>
                <w:sz w:val="16"/>
                <w:szCs w:val="16"/>
              </w:rPr>
              <w:t>swb</w:t>
            </w:r>
            <w:proofErr w:type="spellEnd"/>
          </w:p>
        </w:tc>
        <w:tc>
          <w:tcPr>
            <w:tcW w:w="394" w:type="dxa"/>
            <w:tcMar>
              <w:top w:w="72" w:type="dxa"/>
              <w:left w:w="144" w:type="dxa"/>
              <w:bottom w:w="72" w:type="dxa"/>
              <w:right w:w="144" w:type="dxa"/>
            </w:tcMar>
            <w:hideMark/>
          </w:tcPr>
          <w:p w14:paraId="58087D05"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7F7F7F"/>
                <w:kern w:val="24"/>
                <w:sz w:val="16"/>
                <w:szCs w:val="16"/>
              </w:rPr>
              <w:t xml:space="preserve">+ </w:t>
            </w:r>
          </w:p>
        </w:tc>
        <w:tc>
          <w:tcPr>
            <w:tcW w:w="989" w:type="dxa"/>
            <w:tcMar>
              <w:top w:w="72" w:type="dxa"/>
              <w:left w:w="144" w:type="dxa"/>
              <w:bottom w:w="72" w:type="dxa"/>
              <w:right w:w="144" w:type="dxa"/>
            </w:tcMar>
            <w:hideMark/>
          </w:tcPr>
          <w:p w14:paraId="58B113BD"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proofErr w:type="spellStart"/>
            <w:r w:rsidRPr="00A12F8F">
              <w:rPr>
                <w:rFonts w:asciiTheme="minorHAnsi" w:hAnsiTheme="minorHAnsi" w:cstheme="minorHAnsi"/>
                <w:b/>
                <w:bCs/>
                <w:color w:val="7F7F7F"/>
                <w:kern w:val="24"/>
                <w:sz w:val="16"/>
                <w:szCs w:val="16"/>
              </w:rPr>
              <w:t>TapeS</w:t>
            </w:r>
            <w:proofErr w:type="spellEnd"/>
            <w:r w:rsidRPr="00A12F8F">
              <w:rPr>
                <w:rFonts w:asciiTheme="minorHAnsi" w:hAnsiTheme="minorHAnsi" w:cstheme="minorHAnsi"/>
                <w:b/>
                <w:bCs/>
                <w:color w:val="7F7F7F"/>
                <w:kern w:val="24"/>
                <w:sz w:val="16"/>
                <w:szCs w:val="16"/>
              </w:rPr>
              <w:t xml:space="preserve"> </w:t>
            </w:r>
            <w:proofErr w:type="spellStart"/>
            <w:r w:rsidRPr="00A12F8F">
              <w:rPr>
                <w:rFonts w:asciiTheme="minorHAnsi" w:hAnsiTheme="minorHAnsi" w:cstheme="minorHAnsi"/>
                <w:b/>
                <w:bCs/>
                <w:color w:val="7F7F7F"/>
                <w:kern w:val="24"/>
                <w:sz w:val="16"/>
                <w:szCs w:val="16"/>
              </w:rPr>
              <w:t>stB</w:t>
            </w:r>
            <w:proofErr w:type="spellEnd"/>
          </w:p>
        </w:tc>
        <w:tc>
          <w:tcPr>
            <w:tcW w:w="394" w:type="dxa"/>
            <w:tcMar>
              <w:top w:w="72" w:type="dxa"/>
              <w:left w:w="144" w:type="dxa"/>
              <w:bottom w:w="72" w:type="dxa"/>
              <w:right w:w="144" w:type="dxa"/>
            </w:tcMar>
            <w:hideMark/>
          </w:tcPr>
          <w:p w14:paraId="1C4F1B38"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7F7F7F"/>
                <w:kern w:val="24"/>
                <w:sz w:val="16"/>
                <w:szCs w:val="16"/>
              </w:rPr>
              <w:t xml:space="preserve">+ </w:t>
            </w:r>
          </w:p>
        </w:tc>
        <w:tc>
          <w:tcPr>
            <w:tcW w:w="1036" w:type="dxa"/>
            <w:tcMar>
              <w:top w:w="72" w:type="dxa"/>
              <w:left w:w="144" w:type="dxa"/>
              <w:bottom w:w="72" w:type="dxa"/>
              <w:right w:w="144" w:type="dxa"/>
            </w:tcMar>
            <w:hideMark/>
          </w:tcPr>
          <w:p w14:paraId="21D3F9DA"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proofErr w:type="spellStart"/>
            <w:r w:rsidRPr="00A12F8F">
              <w:rPr>
                <w:rFonts w:asciiTheme="minorHAnsi" w:hAnsiTheme="minorHAnsi" w:cstheme="minorHAnsi"/>
                <w:b/>
                <w:bCs/>
                <w:color w:val="7F7F7F"/>
                <w:kern w:val="24"/>
                <w:sz w:val="16"/>
                <w:szCs w:val="16"/>
              </w:rPr>
              <w:t>TapeS</w:t>
            </w:r>
            <w:proofErr w:type="spellEnd"/>
            <w:r w:rsidRPr="00A12F8F">
              <w:rPr>
                <w:rFonts w:asciiTheme="minorHAnsi" w:hAnsiTheme="minorHAnsi" w:cstheme="minorHAnsi"/>
                <w:b/>
                <w:bCs/>
                <w:color w:val="7F7F7F"/>
                <w:kern w:val="24"/>
                <w:sz w:val="16"/>
                <w:szCs w:val="16"/>
              </w:rPr>
              <w:t xml:space="preserve"> </w:t>
            </w:r>
            <w:proofErr w:type="spellStart"/>
            <w:r w:rsidRPr="00A12F8F">
              <w:rPr>
                <w:rFonts w:asciiTheme="minorHAnsi" w:hAnsiTheme="minorHAnsi" w:cstheme="minorHAnsi"/>
                <w:b/>
                <w:bCs/>
                <w:color w:val="7F7F7F"/>
                <w:kern w:val="24"/>
                <w:sz w:val="16"/>
                <w:szCs w:val="16"/>
              </w:rPr>
              <w:t>stbB</w:t>
            </w:r>
            <w:proofErr w:type="spellEnd"/>
            <w:r w:rsidRPr="00A12F8F">
              <w:rPr>
                <w:rFonts w:asciiTheme="minorHAnsi" w:hAnsiTheme="minorHAnsi" w:cstheme="minorHAnsi"/>
                <w:b/>
                <w:bCs/>
                <w:color w:val="7F7F7F"/>
                <w:kern w:val="24"/>
                <w:sz w:val="16"/>
                <w:szCs w:val="16"/>
              </w:rPr>
              <w:t>)</w:t>
            </w:r>
          </w:p>
        </w:tc>
      </w:tr>
      <w:tr w:rsidR="00A12F8F" w:rsidRPr="00A12F8F" w14:paraId="5C183A2E" w14:textId="77777777" w:rsidTr="008177E0">
        <w:trPr>
          <w:trHeight w:val="331"/>
        </w:trPr>
        <w:tc>
          <w:tcPr>
            <w:tcW w:w="1117" w:type="dxa"/>
            <w:tcMar>
              <w:top w:w="72" w:type="dxa"/>
              <w:left w:w="144" w:type="dxa"/>
              <w:bottom w:w="72" w:type="dxa"/>
              <w:right w:w="144" w:type="dxa"/>
            </w:tcMar>
          </w:tcPr>
          <w:p w14:paraId="1128E1FD" w14:textId="77777777" w:rsidR="00A12F8F" w:rsidRPr="00A12F8F" w:rsidRDefault="00A12F8F" w:rsidP="008177E0">
            <w:pPr>
              <w:suppressAutoHyphens w:val="0"/>
              <w:spacing w:before="0" w:line="240" w:lineRule="auto"/>
              <w:jc w:val="center"/>
              <w:rPr>
                <w:rFonts w:asciiTheme="minorHAnsi" w:hAnsiTheme="minorHAnsi" w:cstheme="minorHAnsi"/>
                <w:b/>
                <w:bCs/>
                <w:color w:val="007F7F"/>
                <w:kern w:val="24"/>
                <w:sz w:val="16"/>
                <w:szCs w:val="16"/>
              </w:rPr>
            </w:pPr>
          </w:p>
        </w:tc>
        <w:tc>
          <w:tcPr>
            <w:tcW w:w="394" w:type="dxa"/>
            <w:tcMar>
              <w:top w:w="72" w:type="dxa"/>
              <w:left w:w="144" w:type="dxa"/>
              <w:bottom w:w="72" w:type="dxa"/>
              <w:right w:w="144" w:type="dxa"/>
            </w:tcMar>
          </w:tcPr>
          <w:p w14:paraId="68726134"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p>
        </w:tc>
        <w:tc>
          <w:tcPr>
            <w:tcW w:w="962" w:type="dxa"/>
            <w:tcMar>
              <w:top w:w="72" w:type="dxa"/>
              <w:left w:w="144" w:type="dxa"/>
              <w:bottom w:w="72" w:type="dxa"/>
              <w:right w:w="144" w:type="dxa"/>
            </w:tcMar>
            <w:hideMark/>
          </w:tcPr>
          <w:p w14:paraId="0707EDDF"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r w:rsidRPr="00A12F8F">
              <w:rPr>
                <w:rFonts w:asciiTheme="minorHAnsi" w:hAnsiTheme="minorHAnsi" w:cstheme="minorHAnsi"/>
                <w:noProof/>
                <w:sz w:val="16"/>
                <w:szCs w:val="16"/>
              </w:rPr>
              <mc:AlternateContent>
                <mc:Choice Requires="wps">
                  <w:drawing>
                    <wp:anchor distT="0" distB="0" distL="114300" distR="114300" simplePos="0" relativeHeight="251665408" behindDoc="0" locked="0" layoutInCell="1" allowOverlap="1" wp14:anchorId="437CCCF5" wp14:editId="25CF9E75">
                      <wp:simplePos x="0" y="0"/>
                      <wp:positionH relativeFrom="column">
                        <wp:posOffset>-685800</wp:posOffset>
                      </wp:positionH>
                      <wp:positionV relativeFrom="paragraph">
                        <wp:posOffset>-6350</wp:posOffset>
                      </wp:positionV>
                      <wp:extent cx="2749550" cy="241300"/>
                      <wp:effectExtent l="0" t="0" r="88900" b="63500"/>
                      <wp:wrapNone/>
                      <wp:docPr id="21" name="Verbinder: gewinkelt 2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49550" cy="241300"/>
                              </a:xfrm>
                              <a:prstGeom prst="bentConnector3">
                                <a:avLst>
                                  <a:gd name="adj1" fmla="val 10065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E8F079" id="Verbinder: gewinkelt 21" o:spid="_x0000_s1026" type="#_x0000_t34" style="position:absolute;margin-left:-54pt;margin-top:-.5pt;width:216.5pt;height: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" adj="21741" strokecolor="#4472c4 [3204]" strokeweight=".5pt">
                      <v:stroke endarrow="block"/>
                      <o:lock v:ext="edit" shapetype="f"/>
                    </v:shape>
                  </w:pict>
                </mc:Fallback>
              </mc:AlternateContent>
            </w:r>
          </w:p>
        </w:tc>
        <w:tc>
          <w:tcPr>
            <w:tcW w:w="393" w:type="dxa"/>
            <w:tcMar>
              <w:top w:w="72" w:type="dxa"/>
              <w:left w:w="144" w:type="dxa"/>
              <w:bottom w:w="72" w:type="dxa"/>
              <w:right w:w="144" w:type="dxa"/>
            </w:tcMar>
          </w:tcPr>
          <w:p w14:paraId="563D3FA7"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p>
        </w:tc>
        <w:tc>
          <w:tcPr>
            <w:tcW w:w="1050" w:type="dxa"/>
            <w:tcMar>
              <w:top w:w="72" w:type="dxa"/>
              <w:left w:w="144" w:type="dxa"/>
              <w:bottom w:w="72" w:type="dxa"/>
              <w:right w:w="144" w:type="dxa"/>
            </w:tcMar>
          </w:tcPr>
          <w:p w14:paraId="06BFD9FD"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p>
        </w:tc>
        <w:tc>
          <w:tcPr>
            <w:tcW w:w="394" w:type="dxa"/>
            <w:tcMar>
              <w:top w:w="72" w:type="dxa"/>
              <w:left w:w="144" w:type="dxa"/>
              <w:bottom w:w="72" w:type="dxa"/>
              <w:right w:w="144" w:type="dxa"/>
            </w:tcMar>
          </w:tcPr>
          <w:p w14:paraId="091A7D1B"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p>
        </w:tc>
        <w:tc>
          <w:tcPr>
            <w:tcW w:w="1304" w:type="dxa"/>
            <w:tcMar>
              <w:top w:w="72" w:type="dxa"/>
              <w:left w:w="144" w:type="dxa"/>
              <w:bottom w:w="72" w:type="dxa"/>
              <w:right w:w="144" w:type="dxa"/>
            </w:tcMar>
          </w:tcPr>
          <w:p w14:paraId="583E1F24"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p>
        </w:tc>
        <w:tc>
          <w:tcPr>
            <w:tcW w:w="394" w:type="dxa"/>
            <w:tcMar>
              <w:top w:w="72" w:type="dxa"/>
              <w:left w:w="144" w:type="dxa"/>
              <w:bottom w:w="72" w:type="dxa"/>
              <w:right w:w="144" w:type="dxa"/>
            </w:tcMar>
          </w:tcPr>
          <w:p w14:paraId="623D99F8"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p>
        </w:tc>
        <w:tc>
          <w:tcPr>
            <w:tcW w:w="1223" w:type="dxa"/>
            <w:tcMar>
              <w:top w:w="72" w:type="dxa"/>
              <w:left w:w="144" w:type="dxa"/>
              <w:bottom w:w="72" w:type="dxa"/>
              <w:right w:w="144" w:type="dxa"/>
            </w:tcMar>
          </w:tcPr>
          <w:p w14:paraId="70489C87" w14:textId="77777777" w:rsidR="00A12F8F" w:rsidRPr="00A12F8F" w:rsidRDefault="00A12F8F" w:rsidP="008177E0">
            <w:pPr>
              <w:suppressAutoHyphens w:val="0"/>
              <w:spacing w:before="0" w:line="240" w:lineRule="auto"/>
              <w:jc w:val="center"/>
              <w:rPr>
                <w:rFonts w:asciiTheme="minorHAnsi" w:hAnsiTheme="minorHAnsi" w:cstheme="minorHAnsi"/>
                <w:b/>
                <w:bCs/>
                <w:color w:val="0078BF"/>
                <w:kern w:val="24"/>
                <w:sz w:val="16"/>
                <w:szCs w:val="16"/>
              </w:rPr>
            </w:pPr>
          </w:p>
        </w:tc>
        <w:tc>
          <w:tcPr>
            <w:tcW w:w="394" w:type="dxa"/>
            <w:tcMar>
              <w:top w:w="72" w:type="dxa"/>
              <w:left w:w="144" w:type="dxa"/>
              <w:bottom w:w="72" w:type="dxa"/>
              <w:right w:w="144" w:type="dxa"/>
            </w:tcMar>
          </w:tcPr>
          <w:p w14:paraId="2CA9D44A" w14:textId="77777777" w:rsidR="00A12F8F" w:rsidRPr="00A12F8F" w:rsidRDefault="00A12F8F" w:rsidP="008177E0">
            <w:pPr>
              <w:suppressAutoHyphens w:val="0"/>
              <w:spacing w:before="0" w:line="240" w:lineRule="auto"/>
              <w:jc w:val="center"/>
              <w:rPr>
                <w:rFonts w:asciiTheme="minorHAnsi" w:hAnsiTheme="minorHAnsi" w:cstheme="minorHAnsi"/>
                <w:b/>
                <w:bCs/>
                <w:color w:val="7F7F7F"/>
                <w:kern w:val="24"/>
                <w:sz w:val="16"/>
                <w:szCs w:val="16"/>
              </w:rPr>
            </w:pPr>
          </w:p>
        </w:tc>
        <w:tc>
          <w:tcPr>
            <w:tcW w:w="989" w:type="dxa"/>
            <w:tcMar>
              <w:top w:w="72" w:type="dxa"/>
              <w:left w:w="144" w:type="dxa"/>
              <w:bottom w:w="72" w:type="dxa"/>
              <w:right w:w="144" w:type="dxa"/>
            </w:tcMar>
          </w:tcPr>
          <w:p w14:paraId="0A41EE6E" w14:textId="77777777" w:rsidR="00A12F8F" w:rsidRPr="00A12F8F" w:rsidRDefault="00A12F8F" w:rsidP="008177E0">
            <w:pPr>
              <w:suppressAutoHyphens w:val="0"/>
              <w:spacing w:before="0" w:line="240" w:lineRule="auto"/>
              <w:jc w:val="center"/>
              <w:rPr>
                <w:rFonts w:asciiTheme="minorHAnsi" w:hAnsiTheme="minorHAnsi" w:cstheme="minorHAnsi"/>
                <w:b/>
                <w:bCs/>
                <w:color w:val="7F7F7F"/>
                <w:kern w:val="24"/>
                <w:sz w:val="16"/>
                <w:szCs w:val="16"/>
              </w:rPr>
            </w:pPr>
          </w:p>
        </w:tc>
        <w:tc>
          <w:tcPr>
            <w:tcW w:w="394" w:type="dxa"/>
            <w:tcMar>
              <w:top w:w="72" w:type="dxa"/>
              <w:left w:w="144" w:type="dxa"/>
              <w:bottom w:w="72" w:type="dxa"/>
              <w:right w:w="144" w:type="dxa"/>
            </w:tcMar>
          </w:tcPr>
          <w:p w14:paraId="1E64B9BF" w14:textId="77777777" w:rsidR="00A12F8F" w:rsidRPr="00A12F8F" w:rsidRDefault="00A12F8F" w:rsidP="008177E0">
            <w:pPr>
              <w:suppressAutoHyphens w:val="0"/>
              <w:spacing w:before="0" w:line="240" w:lineRule="auto"/>
              <w:jc w:val="center"/>
              <w:rPr>
                <w:rFonts w:asciiTheme="minorHAnsi" w:hAnsiTheme="minorHAnsi" w:cstheme="minorHAnsi"/>
                <w:b/>
                <w:bCs/>
                <w:color w:val="7F7F7F"/>
                <w:kern w:val="24"/>
                <w:sz w:val="16"/>
                <w:szCs w:val="16"/>
              </w:rPr>
            </w:pPr>
          </w:p>
        </w:tc>
        <w:tc>
          <w:tcPr>
            <w:tcW w:w="1036" w:type="dxa"/>
            <w:tcMar>
              <w:top w:w="72" w:type="dxa"/>
              <w:left w:w="144" w:type="dxa"/>
              <w:bottom w:w="72" w:type="dxa"/>
              <w:right w:w="144" w:type="dxa"/>
            </w:tcMar>
          </w:tcPr>
          <w:p w14:paraId="19368851" w14:textId="77777777" w:rsidR="00A12F8F" w:rsidRPr="00A12F8F" w:rsidRDefault="00A12F8F" w:rsidP="008177E0">
            <w:pPr>
              <w:suppressAutoHyphens w:val="0"/>
              <w:spacing w:before="0" w:line="240" w:lineRule="auto"/>
              <w:jc w:val="center"/>
              <w:rPr>
                <w:rFonts w:asciiTheme="minorHAnsi" w:hAnsiTheme="minorHAnsi" w:cstheme="minorHAnsi"/>
                <w:b/>
                <w:bCs/>
                <w:color w:val="7F7F7F"/>
                <w:kern w:val="24"/>
                <w:sz w:val="16"/>
                <w:szCs w:val="16"/>
              </w:rPr>
            </w:pPr>
          </w:p>
        </w:tc>
      </w:tr>
      <w:tr w:rsidR="00A12F8F" w:rsidRPr="00A12F8F" w14:paraId="45C654A6" w14:textId="77777777" w:rsidTr="008177E0">
        <w:trPr>
          <w:trHeight w:val="20"/>
        </w:trPr>
        <w:tc>
          <w:tcPr>
            <w:tcW w:w="1117" w:type="dxa"/>
            <w:tcMar>
              <w:top w:w="72" w:type="dxa"/>
              <w:left w:w="144" w:type="dxa"/>
              <w:bottom w:w="72" w:type="dxa"/>
              <w:right w:w="144" w:type="dxa"/>
            </w:tcMar>
            <w:hideMark/>
          </w:tcPr>
          <w:p w14:paraId="287CDDBD"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5A8E16"/>
                <w:kern w:val="24"/>
                <w:sz w:val="16"/>
                <w:szCs w:val="16"/>
              </w:rPr>
              <w:t xml:space="preserve">GHG </w:t>
            </w:r>
            <w:proofErr w:type="spellStart"/>
            <w:r w:rsidRPr="00A12F8F">
              <w:rPr>
                <w:rFonts w:asciiTheme="minorHAnsi" w:hAnsiTheme="minorHAnsi" w:cstheme="minorHAnsi"/>
                <w:b/>
                <w:bCs/>
                <w:color w:val="5A8E16"/>
                <w:kern w:val="24"/>
                <w:sz w:val="16"/>
                <w:szCs w:val="16"/>
              </w:rPr>
              <w:t>fwbB</w:t>
            </w:r>
            <w:proofErr w:type="spellEnd"/>
          </w:p>
        </w:tc>
        <w:tc>
          <w:tcPr>
            <w:tcW w:w="394" w:type="dxa"/>
            <w:tcMar>
              <w:top w:w="72" w:type="dxa"/>
              <w:left w:w="144" w:type="dxa"/>
              <w:bottom w:w="72" w:type="dxa"/>
              <w:right w:w="144" w:type="dxa"/>
            </w:tcMar>
            <w:hideMark/>
          </w:tcPr>
          <w:p w14:paraId="59536C22"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 xml:space="preserve">= </w:t>
            </w:r>
          </w:p>
        </w:tc>
        <w:tc>
          <w:tcPr>
            <w:tcW w:w="962" w:type="dxa"/>
            <w:tcMar>
              <w:top w:w="72" w:type="dxa"/>
              <w:left w:w="144" w:type="dxa"/>
              <w:bottom w:w="72" w:type="dxa"/>
              <w:right w:w="144" w:type="dxa"/>
            </w:tcMar>
            <w:hideMark/>
          </w:tcPr>
          <w:p w14:paraId="70683156"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 xml:space="preserve">GHG </w:t>
            </w:r>
            <w:proofErr w:type="spellStart"/>
            <w:r w:rsidRPr="00A12F8F">
              <w:rPr>
                <w:rFonts w:asciiTheme="minorHAnsi" w:hAnsiTheme="minorHAnsi" w:cstheme="minorHAnsi"/>
                <w:b/>
                <w:bCs/>
                <w:color w:val="000000"/>
                <w:kern w:val="24"/>
                <w:sz w:val="16"/>
                <w:szCs w:val="16"/>
              </w:rPr>
              <w:t>aB</w:t>
            </w:r>
            <w:proofErr w:type="spellEnd"/>
          </w:p>
        </w:tc>
        <w:tc>
          <w:tcPr>
            <w:tcW w:w="393" w:type="dxa"/>
            <w:tcMar>
              <w:top w:w="72" w:type="dxa"/>
              <w:left w:w="144" w:type="dxa"/>
              <w:bottom w:w="72" w:type="dxa"/>
              <w:right w:w="144" w:type="dxa"/>
            </w:tcMar>
            <w:hideMark/>
          </w:tcPr>
          <w:p w14:paraId="68399A0A"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w:t>
            </w:r>
          </w:p>
        </w:tc>
        <w:tc>
          <w:tcPr>
            <w:tcW w:w="1050" w:type="dxa"/>
            <w:tcMar>
              <w:top w:w="72" w:type="dxa"/>
              <w:left w:w="144" w:type="dxa"/>
              <w:bottom w:w="72" w:type="dxa"/>
              <w:right w:w="144" w:type="dxa"/>
            </w:tcMar>
            <w:hideMark/>
          </w:tcPr>
          <w:p w14:paraId="04D75DC2"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w:t>
            </w:r>
            <w:proofErr w:type="spellStart"/>
            <w:r w:rsidRPr="00A12F8F">
              <w:rPr>
                <w:rFonts w:asciiTheme="minorHAnsi" w:hAnsiTheme="minorHAnsi" w:cstheme="minorHAnsi"/>
                <w:b/>
                <w:bCs/>
                <w:color w:val="000000"/>
                <w:kern w:val="24"/>
                <w:sz w:val="16"/>
                <w:szCs w:val="16"/>
              </w:rPr>
              <w:t>TapeS</w:t>
            </w:r>
            <w:proofErr w:type="spellEnd"/>
            <w:r w:rsidRPr="00A12F8F">
              <w:rPr>
                <w:rFonts w:asciiTheme="minorHAnsi" w:hAnsiTheme="minorHAnsi" w:cstheme="minorHAnsi"/>
                <w:b/>
                <w:bCs/>
                <w:color w:val="000000"/>
                <w:kern w:val="24"/>
                <w:sz w:val="16"/>
                <w:szCs w:val="16"/>
              </w:rPr>
              <w:t xml:space="preserve"> </w:t>
            </w:r>
            <w:proofErr w:type="spellStart"/>
            <w:r w:rsidRPr="00A12F8F">
              <w:rPr>
                <w:rFonts w:asciiTheme="minorHAnsi" w:hAnsiTheme="minorHAnsi" w:cstheme="minorHAnsi"/>
                <w:b/>
                <w:bCs/>
                <w:color w:val="000000"/>
                <w:kern w:val="24"/>
                <w:sz w:val="16"/>
                <w:szCs w:val="16"/>
              </w:rPr>
              <w:t>fB</w:t>
            </w:r>
            <w:proofErr w:type="spellEnd"/>
          </w:p>
        </w:tc>
        <w:tc>
          <w:tcPr>
            <w:tcW w:w="394" w:type="dxa"/>
            <w:tcMar>
              <w:top w:w="72" w:type="dxa"/>
              <w:left w:w="144" w:type="dxa"/>
              <w:bottom w:w="72" w:type="dxa"/>
              <w:right w:w="144" w:type="dxa"/>
            </w:tcMar>
            <w:hideMark/>
          </w:tcPr>
          <w:p w14:paraId="55349313"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 xml:space="preserve">+ </w:t>
            </w:r>
          </w:p>
        </w:tc>
        <w:tc>
          <w:tcPr>
            <w:tcW w:w="1304" w:type="dxa"/>
            <w:tcMar>
              <w:top w:w="72" w:type="dxa"/>
              <w:left w:w="144" w:type="dxa"/>
              <w:bottom w:w="72" w:type="dxa"/>
              <w:right w:w="144" w:type="dxa"/>
            </w:tcMar>
            <w:hideMark/>
          </w:tcPr>
          <w:p w14:paraId="5CFB1133"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7F7F"/>
                <w:kern w:val="24"/>
                <w:sz w:val="16"/>
                <w:szCs w:val="16"/>
              </w:rPr>
              <w:t xml:space="preserve">GHG </w:t>
            </w:r>
            <w:proofErr w:type="spellStart"/>
            <w:r w:rsidRPr="00A12F8F">
              <w:rPr>
                <w:rFonts w:asciiTheme="minorHAnsi" w:hAnsiTheme="minorHAnsi" w:cstheme="minorHAnsi"/>
                <w:b/>
                <w:bCs/>
                <w:color w:val="007F7F"/>
                <w:kern w:val="24"/>
                <w:sz w:val="16"/>
                <w:szCs w:val="16"/>
              </w:rPr>
              <w:t>swbB</w:t>
            </w:r>
            <w:proofErr w:type="spellEnd"/>
          </w:p>
        </w:tc>
        <w:tc>
          <w:tcPr>
            <w:tcW w:w="394" w:type="dxa"/>
            <w:tcMar>
              <w:top w:w="72" w:type="dxa"/>
              <w:left w:w="144" w:type="dxa"/>
              <w:bottom w:w="72" w:type="dxa"/>
              <w:right w:w="144" w:type="dxa"/>
            </w:tcMar>
            <w:hideMark/>
          </w:tcPr>
          <w:p w14:paraId="26CFAE71"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 xml:space="preserve">+ </w:t>
            </w:r>
          </w:p>
        </w:tc>
        <w:tc>
          <w:tcPr>
            <w:tcW w:w="1223" w:type="dxa"/>
            <w:tcMar>
              <w:top w:w="72" w:type="dxa"/>
              <w:left w:w="144" w:type="dxa"/>
              <w:bottom w:w="72" w:type="dxa"/>
              <w:right w:w="144" w:type="dxa"/>
            </w:tcMar>
            <w:hideMark/>
          </w:tcPr>
          <w:p w14:paraId="0863E186"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78BF"/>
                <w:kern w:val="24"/>
                <w:sz w:val="16"/>
                <w:szCs w:val="16"/>
              </w:rPr>
              <w:t xml:space="preserve">GHG </w:t>
            </w:r>
            <w:proofErr w:type="spellStart"/>
            <w:r w:rsidRPr="00A12F8F">
              <w:rPr>
                <w:rFonts w:asciiTheme="minorHAnsi" w:hAnsiTheme="minorHAnsi" w:cstheme="minorHAnsi"/>
                <w:b/>
                <w:bCs/>
                <w:color w:val="0078BF"/>
                <w:kern w:val="24"/>
                <w:sz w:val="16"/>
                <w:szCs w:val="16"/>
              </w:rPr>
              <w:t>swb</w:t>
            </w:r>
            <w:proofErr w:type="spellEnd"/>
            <w:r w:rsidRPr="00A12F8F">
              <w:rPr>
                <w:rFonts w:asciiTheme="minorHAnsi" w:hAnsiTheme="minorHAnsi" w:cstheme="minorHAnsi"/>
                <w:b/>
                <w:bCs/>
                <w:color w:val="0078BF"/>
                <w:kern w:val="24"/>
                <w:sz w:val="16"/>
                <w:szCs w:val="16"/>
              </w:rPr>
              <w:t xml:space="preserve"> </w:t>
            </w:r>
          </w:p>
        </w:tc>
        <w:tc>
          <w:tcPr>
            <w:tcW w:w="394" w:type="dxa"/>
            <w:tcMar>
              <w:top w:w="72" w:type="dxa"/>
              <w:left w:w="144" w:type="dxa"/>
              <w:bottom w:w="72" w:type="dxa"/>
              <w:right w:w="144" w:type="dxa"/>
            </w:tcMar>
            <w:hideMark/>
          </w:tcPr>
          <w:p w14:paraId="7ACF7531"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7F7F7F"/>
                <w:kern w:val="24"/>
                <w:sz w:val="16"/>
                <w:szCs w:val="16"/>
              </w:rPr>
              <w:t xml:space="preserve">+ </w:t>
            </w:r>
          </w:p>
        </w:tc>
        <w:tc>
          <w:tcPr>
            <w:tcW w:w="989" w:type="dxa"/>
            <w:tcMar>
              <w:top w:w="72" w:type="dxa"/>
              <w:left w:w="144" w:type="dxa"/>
              <w:bottom w:w="72" w:type="dxa"/>
              <w:right w:w="144" w:type="dxa"/>
            </w:tcMar>
            <w:hideMark/>
          </w:tcPr>
          <w:p w14:paraId="03CFDCC1"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proofErr w:type="spellStart"/>
            <w:r w:rsidRPr="00A12F8F">
              <w:rPr>
                <w:rFonts w:asciiTheme="minorHAnsi" w:hAnsiTheme="minorHAnsi" w:cstheme="minorHAnsi"/>
                <w:b/>
                <w:bCs/>
                <w:color w:val="7F7F7F"/>
                <w:kern w:val="24"/>
                <w:sz w:val="16"/>
                <w:szCs w:val="16"/>
              </w:rPr>
              <w:t>TapeS</w:t>
            </w:r>
            <w:proofErr w:type="spellEnd"/>
            <w:r w:rsidRPr="00A12F8F">
              <w:rPr>
                <w:rFonts w:asciiTheme="minorHAnsi" w:hAnsiTheme="minorHAnsi" w:cstheme="minorHAnsi"/>
                <w:b/>
                <w:bCs/>
                <w:color w:val="7F7F7F"/>
                <w:kern w:val="24"/>
                <w:sz w:val="16"/>
                <w:szCs w:val="16"/>
              </w:rPr>
              <w:t xml:space="preserve"> </w:t>
            </w:r>
            <w:proofErr w:type="spellStart"/>
            <w:r w:rsidRPr="00A12F8F">
              <w:rPr>
                <w:rFonts w:asciiTheme="minorHAnsi" w:hAnsiTheme="minorHAnsi" w:cstheme="minorHAnsi"/>
                <w:b/>
                <w:bCs/>
                <w:color w:val="7F7F7F"/>
                <w:kern w:val="24"/>
                <w:sz w:val="16"/>
                <w:szCs w:val="16"/>
              </w:rPr>
              <w:t>stB</w:t>
            </w:r>
            <w:proofErr w:type="spellEnd"/>
          </w:p>
        </w:tc>
        <w:tc>
          <w:tcPr>
            <w:tcW w:w="394" w:type="dxa"/>
            <w:tcMar>
              <w:top w:w="72" w:type="dxa"/>
              <w:left w:w="144" w:type="dxa"/>
              <w:bottom w:w="72" w:type="dxa"/>
              <w:right w:w="144" w:type="dxa"/>
            </w:tcMar>
            <w:hideMark/>
          </w:tcPr>
          <w:p w14:paraId="585486A5"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7F7F7F"/>
                <w:kern w:val="24"/>
                <w:sz w:val="16"/>
                <w:szCs w:val="16"/>
              </w:rPr>
              <w:t xml:space="preserve">+ </w:t>
            </w:r>
          </w:p>
        </w:tc>
        <w:tc>
          <w:tcPr>
            <w:tcW w:w="1036" w:type="dxa"/>
            <w:tcMar>
              <w:top w:w="72" w:type="dxa"/>
              <w:left w:w="144" w:type="dxa"/>
              <w:bottom w:w="72" w:type="dxa"/>
              <w:right w:w="144" w:type="dxa"/>
            </w:tcMar>
            <w:hideMark/>
          </w:tcPr>
          <w:p w14:paraId="3DBE3A10"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proofErr w:type="spellStart"/>
            <w:r w:rsidRPr="00A12F8F">
              <w:rPr>
                <w:rFonts w:asciiTheme="minorHAnsi" w:hAnsiTheme="minorHAnsi" w:cstheme="minorHAnsi"/>
                <w:b/>
                <w:bCs/>
                <w:color w:val="7F7F7F"/>
                <w:kern w:val="24"/>
                <w:sz w:val="16"/>
                <w:szCs w:val="16"/>
              </w:rPr>
              <w:t>TapeS</w:t>
            </w:r>
            <w:proofErr w:type="spellEnd"/>
            <w:r w:rsidRPr="00A12F8F">
              <w:rPr>
                <w:rFonts w:asciiTheme="minorHAnsi" w:hAnsiTheme="minorHAnsi" w:cstheme="minorHAnsi"/>
                <w:b/>
                <w:bCs/>
                <w:color w:val="7F7F7F"/>
                <w:kern w:val="24"/>
                <w:sz w:val="16"/>
                <w:szCs w:val="16"/>
              </w:rPr>
              <w:t xml:space="preserve"> </w:t>
            </w:r>
            <w:proofErr w:type="spellStart"/>
            <w:r w:rsidRPr="00A12F8F">
              <w:rPr>
                <w:rFonts w:asciiTheme="minorHAnsi" w:hAnsiTheme="minorHAnsi" w:cstheme="minorHAnsi"/>
                <w:b/>
                <w:bCs/>
                <w:color w:val="7F7F7F"/>
                <w:kern w:val="24"/>
                <w:sz w:val="16"/>
                <w:szCs w:val="16"/>
              </w:rPr>
              <w:t>stbB</w:t>
            </w:r>
            <w:proofErr w:type="spellEnd"/>
            <w:r w:rsidRPr="00A12F8F">
              <w:rPr>
                <w:rFonts w:asciiTheme="minorHAnsi" w:hAnsiTheme="minorHAnsi" w:cstheme="minorHAnsi"/>
                <w:b/>
                <w:bCs/>
                <w:color w:val="7F7F7F"/>
                <w:kern w:val="24"/>
                <w:sz w:val="16"/>
                <w:szCs w:val="16"/>
              </w:rPr>
              <w:t>)</w:t>
            </w:r>
          </w:p>
        </w:tc>
      </w:tr>
      <w:tr w:rsidR="00A12F8F" w:rsidRPr="00A12F8F" w14:paraId="461952E3" w14:textId="77777777" w:rsidTr="008177E0">
        <w:trPr>
          <w:trHeight w:val="331"/>
        </w:trPr>
        <w:tc>
          <w:tcPr>
            <w:tcW w:w="1117" w:type="dxa"/>
            <w:tcMar>
              <w:top w:w="72" w:type="dxa"/>
              <w:left w:w="144" w:type="dxa"/>
              <w:bottom w:w="72" w:type="dxa"/>
              <w:right w:w="144" w:type="dxa"/>
            </w:tcMar>
            <w:hideMark/>
          </w:tcPr>
          <w:p w14:paraId="64AA402A" w14:textId="77777777" w:rsidR="00A12F8F" w:rsidRPr="00A12F8F" w:rsidRDefault="00A12F8F" w:rsidP="008177E0">
            <w:pPr>
              <w:suppressAutoHyphens w:val="0"/>
              <w:spacing w:before="0" w:line="240" w:lineRule="auto"/>
              <w:jc w:val="left"/>
              <w:rPr>
                <w:rFonts w:asciiTheme="minorHAnsi" w:hAnsiTheme="minorHAnsi" w:cstheme="minorHAnsi"/>
                <w:sz w:val="16"/>
                <w:szCs w:val="16"/>
              </w:rPr>
            </w:pPr>
            <w:r w:rsidRPr="00A12F8F">
              <w:rPr>
                <w:rFonts w:asciiTheme="minorHAnsi" w:hAnsiTheme="minorHAnsi" w:cstheme="minorHAnsi"/>
                <w:noProof/>
                <w:sz w:val="16"/>
                <w:szCs w:val="16"/>
              </w:rPr>
              <mc:AlternateContent>
                <mc:Choice Requires="wps">
                  <w:drawing>
                    <wp:anchor distT="0" distB="0" distL="114300" distR="114300" simplePos="0" relativeHeight="251666432" behindDoc="0" locked="0" layoutInCell="1" allowOverlap="1" wp14:anchorId="28FEC4F9" wp14:editId="50D74F76">
                      <wp:simplePos x="0" y="0"/>
                      <wp:positionH relativeFrom="column">
                        <wp:posOffset>342900</wp:posOffset>
                      </wp:positionH>
                      <wp:positionV relativeFrom="paragraph">
                        <wp:posOffset>3810</wp:posOffset>
                      </wp:positionV>
                      <wp:extent cx="1739900" cy="203200"/>
                      <wp:effectExtent l="0" t="0" r="88900" b="63500"/>
                      <wp:wrapNone/>
                      <wp:docPr id="22" name="Verbinder: gewinkelt 22"/>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39900" cy="203200"/>
                              </a:xfrm>
                              <a:prstGeom prst="bentConnector3">
                                <a:avLst>
                                  <a:gd name="adj1" fmla="val 10065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0AD913" id="Verbinder: gewinkelt 22" o:spid="_x0000_s1026" type="#_x0000_t34" style="position:absolute;margin-left:27pt;margin-top:.3pt;width:137pt;height: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" adj="21741" strokecolor="#4472c4 [3204]" strokeweight=".5pt">
                      <v:stroke endarrow="block"/>
                      <o:lock v:ext="edit" shapetype="f"/>
                    </v:shape>
                  </w:pict>
                </mc:Fallback>
              </mc:AlternateContent>
            </w:r>
          </w:p>
        </w:tc>
        <w:tc>
          <w:tcPr>
            <w:tcW w:w="394" w:type="dxa"/>
            <w:tcMar>
              <w:top w:w="72" w:type="dxa"/>
              <w:left w:w="144" w:type="dxa"/>
              <w:bottom w:w="72" w:type="dxa"/>
              <w:right w:w="144" w:type="dxa"/>
            </w:tcMar>
            <w:hideMark/>
          </w:tcPr>
          <w:p w14:paraId="726C7F9E" w14:textId="77777777" w:rsidR="00A12F8F" w:rsidRPr="00A12F8F" w:rsidRDefault="00A12F8F" w:rsidP="008177E0">
            <w:pPr>
              <w:rPr>
                <w:rFonts w:asciiTheme="minorHAnsi" w:hAnsiTheme="minorHAnsi" w:cstheme="minorHAnsi"/>
                <w:sz w:val="16"/>
                <w:szCs w:val="16"/>
              </w:rPr>
            </w:pPr>
          </w:p>
        </w:tc>
        <w:tc>
          <w:tcPr>
            <w:tcW w:w="962" w:type="dxa"/>
            <w:tcMar>
              <w:top w:w="72" w:type="dxa"/>
              <w:left w:w="144" w:type="dxa"/>
              <w:bottom w:w="72" w:type="dxa"/>
              <w:right w:w="144" w:type="dxa"/>
            </w:tcMar>
            <w:hideMark/>
          </w:tcPr>
          <w:p w14:paraId="4768D3F9" w14:textId="77777777" w:rsidR="00A12F8F" w:rsidRPr="00A12F8F" w:rsidRDefault="00A12F8F" w:rsidP="008177E0">
            <w:pPr>
              <w:suppressAutoHyphens w:val="0"/>
              <w:spacing w:before="0" w:line="240" w:lineRule="auto"/>
              <w:jc w:val="left"/>
              <w:rPr>
                <w:rFonts w:asciiTheme="minorHAnsi" w:hAnsiTheme="minorHAnsi" w:cstheme="minorHAnsi"/>
                <w:sz w:val="16"/>
                <w:szCs w:val="16"/>
              </w:rPr>
            </w:pPr>
          </w:p>
        </w:tc>
        <w:tc>
          <w:tcPr>
            <w:tcW w:w="393" w:type="dxa"/>
            <w:tcMar>
              <w:top w:w="72" w:type="dxa"/>
              <w:left w:w="144" w:type="dxa"/>
              <w:bottom w:w="72" w:type="dxa"/>
              <w:right w:w="144" w:type="dxa"/>
            </w:tcMar>
            <w:hideMark/>
          </w:tcPr>
          <w:p w14:paraId="1B98CFCD" w14:textId="77777777" w:rsidR="00A12F8F" w:rsidRPr="00A12F8F" w:rsidRDefault="00A12F8F" w:rsidP="008177E0">
            <w:pPr>
              <w:suppressAutoHyphens w:val="0"/>
              <w:spacing w:before="0" w:line="240" w:lineRule="auto"/>
              <w:jc w:val="left"/>
              <w:rPr>
                <w:rFonts w:asciiTheme="minorHAnsi" w:hAnsiTheme="minorHAnsi" w:cstheme="minorHAnsi"/>
                <w:sz w:val="16"/>
                <w:szCs w:val="16"/>
              </w:rPr>
            </w:pPr>
          </w:p>
        </w:tc>
        <w:tc>
          <w:tcPr>
            <w:tcW w:w="1050" w:type="dxa"/>
            <w:tcMar>
              <w:top w:w="72" w:type="dxa"/>
              <w:left w:w="144" w:type="dxa"/>
              <w:bottom w:w="72" w:type="dxa"/>
              <w:right w:w="144" w:type="dxa"/>
            </w:tcMar>
            <w:hideMark/>
          </w:tcPr>
          <w:p w14:paraId="5068A4DE" w14:textId="77777777" w:rsidR="00A12F8F" w:rsidRPr="00A12F8F" w:rsidRDefault="00A12F8F" w:rsidP="008177E0">
            <w:pPr>
              <w:suppressAutoHyphens w:val="0"/>
              <w:spacing w:before="0" w:line="240" w:lineRule="auto"/>
              <w:jc w:val="left"/>
              <w:rPr>
                <w:rFonts w:asciiTheme="minorHAnsi" w:hAnsiTheme="minorHAnsi" w:cstheme="minorHAnsi"/>
                <w:sz w:val="16"/>
                <w:szCs w:val="16"/>
              </w:rPr>
            </w:pPr>
          </w:p>
        </w:tc>
        <w:tc>
          <w:tcPr>
            <w:tcW w:w="394" w:type="dxa"/>
            <w:tcMar>
              <w:top w:w="72" w:type="dxa"/>
              <w:left w:w="144" w:type="dxa"/>
              <w:bottom w:w="72" w:type="dxa"/>
              <w:right w:w="144" w:type="dxa"/>
            </w:tcMar>
            <w:hideMark/>
          </w:tcPr>
          <w:p w14:paraId="5989B7BB" w14:textId="77777777" w:rsidR="00A12F8F" w:rsidRPr="00A12F8F" w:rsidRDefault="00A12F8F" w:rsidP="008177E0">
            <w:pPr>
              <w:suppressAutoHyphens w:val="0"/>
              <w:spacing w:before="0" w:line="240" w:lineRule="auto"/>
              <w:jc w:val="left"/>
              <w:rPr>
                <w:rFonts w:asciiTheme="minorHAnsi" w:hAnsiTheme="minorHAnsi" w:cstheme="minorHAnsi"/>
                <w:sz w:val="16"/>
                <w:szCs w:val="16"/>
              </w:rPr>
            </w:pPr>
          </w:p>
        </w:tc>
        <w:tc>
          <w:tcPr>
            <w:tcW w:w="1304" w:type="dxa"/>
            <w:tcMar>
              <w:top w:w="72" w:type="dxa"/>
              <w:left w:w="144" w:type="dxa"/>
              <w:bottom w:w="72" w:type="dxa"/>
              <w:right w:w="144" w:type="dxa"/>
            </w:tcMar>
            <w:hideMark/>
          </w:tcPr>
          <w:p w14:paraId="135A6E08" w14:textId="77777777" w:rsidR="00A12F8F" w:rsidRPr="00A12F8F" w:rsidRDefault="00A12F8F" w:rsidP="008177E0">
            <w:pPr>
              <w:suppressAutoHyphens w:val="0"/>
              <w:spacing w:before="0" w:line="240" w:lineRule="auto"/>
              <w:jc w:val="left"/>
              <w:rPr>
                <w:rFonts w:asciiTheme="minorHAnsi" w:hAnsiTheme="minorHAnsi" w:cstheme="minorHAnsi"/>
                <w:sz w:val="16"/>
                <w:szCs w:val="16"/>
              </w:rPr>
            </w:pPr>
          </w:p>
        </w:tc>
        <w:tc>
          <w:tcPr>
            <w:tcW w:w="394" w:type="dxa"/>
            <w:tcMar>
              <w:top w:w="72" w:type="dxa"/>
              <w:left w:w="144" w:type="dxa"/>
              <w:bottom w:w="72" w:type="dxa"/>
              <w:right w:w="144" w:type="dxa"/>
            </w:tcMar>
            <w:hideMark/>
          </w:tcPr>
          <w:p w14:paraId="0F3BEE5E" w14:textId="77777777" w:rsidR="00A12F8F" w:rsidRPr="00A12F8F" w:rsidRDefault="00A12F8F" w:rsidP="008177E0">
            <w:pPr>
              <w:suppressAutoHyphens w:val="0"/>
              <w:spacing w:before="0" w:line="240" w:lineRule="auto"/>
              <w:jc w:val="left"/>
              <w:rPr>
                <w:rFonts w:asciiTheme="minorHAnsi" w:hAnsiTheme="minorHAnsi" w:cstheme="minorHAnsi"/>
                <w:sz w:val="16"/>
                <w:szCs w:val="16"/>
              </w:rPr>
            </w:pPr>
          </w:p>
        </w:tc>
        <w:tc>
          <w:tcPr>
            <w:tcW w:w="1223" w:type="dxa"/>
            <w:tcMar>
              <w:top w:w="72" w:type="dxa"/>
              <w:left w:w="144" w:type="dxa"/>
              <w:bottom w:w="72" w:type="dxa"/>
              <w:right w:w="144" w:type="dxa"/>
            </w:tcMar>
            <w:hideMark/>
          </w:tcPr>
          <w:p w14:paraId="09344E3D" w14:textId="77777777" w:rsidR="00A12F8F" w:rsidRPr="00A12F8F" w:rsidRDefault="00A12F8F" w:rsidP="008177E0">
            <w:pPr>
              <w:suppressAutoHyphens w:val="0"/>
              <w:spacing w:before="0" w:line="240" w:lineRule="auto"/>
              <w:jc w:val="left"/>
              <w:rPr>
                <w:rFonts w:asciiTheme="minorHAnsi" w:hAnsiTheme="minorHAnsi" w:cstheme="minorHAnsi"/>
                <w:sz w:val="16"/>
                <w:szCs w:val="16"/>
              </w:rPr>
            </w:pPr>
          </w:p>
        </w:tc>
        <w:tc>
          <w:tcPr>
            <w:tcW w:w="394" w:type="dxa"/>
            <w:tcMar>
              <w:top w:w="72" w:type="dxa"/>
              <w:left w:w="144" w:type="dxa"/>
              <w:bottom w:w="72" w:type="dxa"/>
              <w:right w:w="144" w:type="dxa"/>
            </w:tcMar>
            <w:hideMark/>
          </w:tcPr>
          <w:p w14:paraId="36AA3594" w14:textId="77777777" w:rsidR="00A12F8F" w:rsidRPr="00A12F8F" w:rsidRDefault="00A12F8F" w:rsidP="008177E0">
            <w:pPr>
              <w:suppressAutoHyphens w:val="0"/>
              <w:spacing w:before="0" w:line="240" w:lineRule="auto"/>
              <w:jc w:val="left"/>
              <w:rPr>
                <w:rFonts w:asciiTheme="minorHAnsi" w:hAnsiTheme="minorHAnsi" w:cstheme="minorHAnsi"/>
                <w:sz w:val="16"/>
                <w:szCs w:val="16"/>
              </w:rPr>
            </w:pPr>
          </w:p>
        </w:tc>
        <w:tc>
          <w:tcPr>
            <w:tcW w:w="989" w:type="dxa"/>
            <w:tcMar>
              <w:top w:w="72" w:type="dxa"/>
              <w:left w:w="144" w:type="dxa"/>
              <w:bottom w:w="72" w:type="dxa"/>
              <w:right w:w="144" w:type="dxa"/>
            </w:tcMar>
            <w:hideMark/>
          </w:tcPr>
          <w:p w14:paraId="3AD64A2E" w14:textId="77777777" w:rsidR="00A12F8F" w:rsidRPr="00A12F8F" w:rsidRDefault="00A12F8F" w:rsidP="008177E0">
            <w:pPr>
              <w:suppressAutoHyphens w:val="0"/>
              <w:spacing w:before="0" w:line="240" w:lineRule="auto"/>
              <w:jc w:val="left"/>
              <w:rPr>
                <w:rFonts w:asciiTheme="minorHAnsi" w:hAnsiTheme="minorHAnsi" w:cstheme="minorHAnsi"/>
                <w:sz w:val="16"/>
                <w:szCs w:val="16"/>
              </w:rPr>
            </w:pPr>
          </w:p>
        </w:tc>
        <w:tc>
          <w:tcPr>
            <w:tcW w:w="394" w:type="dxa"/>
            <w:tcMar>
              <w:top w:w="72" w:type="dxa"/>
              <w:left w:w="144" w:type="dxa"/>
              <w:bottom w:w="72" w:type="dxa"/>
              <w:right w:w="144" w:type="dxa"/>
            </w:tcMar>
            <w:hideMark/>
          </w:tcPr>
          <w:p w14:paraId="49E89144" w14:textId="77777777" w:rsidR="00A12F8F" w:rsidRPr="00A12F8F" w:rsidRDefault="00A12F8F" w:rsidP="008177E0">
            <w:pPr>
              <w:suppressAutoHyphens w:val="0"/>
              <w:spacing w:before="0" w:line="240" w:lineRule="auto"/>
              <w:jc w:val="left"/>
              <w:rPr>
                <w:rFonts w:asciiTheme="minorHAnsi" w:hAnsiTheme="minorHAnsi" w:cstheme="minorHAnsi"/>
                <w:sz w:val="16"/>
                <w:szCs w:val="16"/>
              </w:rPr>
            </w:pPr>
          </w:p>
        </w:tc>
        <w:tc>
          <w:tcPr>
            <w:tcW w:w="1036" w:type="dxa"/>
            <w:tcMar>
              <w:top w:w="72" w:type="dxa"/>
              <w:left w:w="144" w:type="dxa"/>
              <w:bottom w:w="72" w:type="dxa"/>
              <w:right w:w="144" w:type="dxa"/>
            </w:tcMar>
            <w:hideMark/>
          </w:tcPr>
          <w:p w14:paraId="7A19AD46" w14:textId="77777777" w:rsidR="00A12F8F" w:rsidRPr="00A12F8F" w:rsidRDefault="00A12F8F" w:rsidP="008177E0">
            <w:pPr>
              <w:suppressAutoHyphens w:val="0"/>
              <w:spacing w:before="0" w:line="240" w:lineRule="auto"/>
              <w:jc w:val="left"/>
              <w:rPr>
                <w:rFonts w:asciiTheme="minorHAnsi" w:hAnsiTheme="minorHAnsi" w:cstheme="minorHAnsi"/>
                <w:sz w:val="16"/>
                <w:szCs w:val="16"/>
              </w:rPr>
            </w:pPr>
          </w:p>
        </w:tc>
      </w:tr>
      <w:tr w:rsidR="00A12F8F" w:rsidRPr="00A12F8F" w14:paraId="1F036F3A" w14:textId="77777777" w:rsidTr="008177E0">
        <w:trPr>
          <w:trHeight w:val="331"/>
        </w:trPr>
        <w:tc>
          <w:tcPr>
            <w:tcW w:w="1117" w:type="dxa"/>
            <w:tcMar>
              <w:top w:w="72" w:type="dxa"/>
              <w:left w:w="144" w:type="dxa"/>
              <w:bottom w:w="72" w:type="dxa"/>
              <w:right w:w="144" w:type="dxa"/>
            </w:tcMar>
            <w:hideMark/>
          </w:tcPr>
          <w:p w14:paraId="548D9D10"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66C6FF"/>
                <w:kern w:val="24"/>
                <w:sz w:val="16"/>
                <w:szCs w:val="16"/>
              </w:rPr>
              <w:t xml:space="preserve">GHG </w:t>
            </w:r>
            <w:proofErr w:type="spellStart"/>
            <w:r w:rsidRPr="00A12F8F">
              <w:rPr>
                <w:rFonts w:asciiTheme="minorHAnsi" w:hAnsiTheme="minorHAnsi" w:cstheme="minorHAnsi"/>
                <w:b/>
                <w:bCs/>
                <w:color w:val="66C6FF"/>
                <w:kern w:val="24"/>
                <w:sz w:val="16"/>
                <w:szCs w:val="16"/>
              </w:rPr>
              <w:t>fB</w:t>
            </w:r>
            <w:proofErr w:type="spellEnd"/>
          </w:p>
        </w:tc>
        <w:tc>
          <w:tcPr>
            <w:tcW w:w="394" w:type="dxa"/>
            <w:tcMar>
              <w:top w:w="72" w:type="dxa"/>
              <w:left w:w="144" w:type="dxa"/>
              <w:bottom w:w="72" w:type="dxa"/>
              <w:right w:w="144" w:type="dxa"/>
            </w:tcMar>
            <w:hideMark/>
          </w:tcPr>
          <w:p w14:paraId="57CF5D68"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 xml:space="preserve">= </w:t>
            </w:r>
          </w:p>
        </w:tc>
        <w:tc>
          <w:tcPr>
            <w:tcW w:w="962" w:type="dxa"/>
            <w:tcMar>
              <w:top w:w="72" w:type="dxa"/>
              <w:left w:w="144" w:type="dxa"/>
              <w:bottom w:w="72" w:type="dxa"/>
              <w:right w:w="144" w:type="dxa"/>
            </w:tcMar>
            <w:hideMark/>
          </w:tcPr>
          <w:p w14:paraId="493F3C84"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 xml:space="preserve">GHG </w:t>
            </w:r>
            <w:proofErr w:type="spellStart"/>
            <w:r w:rsidRPr="00A12F8F">
              <w:rPr>
                <w:rFonts w:asciiTheme="minorHAnsi" w:hAnsiTheme="minorHAnsi" w:cstheme="minorHAnsi"/>
                <w:b/>
                <w:bCs/>
                <w:color w:val="000000"/>
                <w:kern w:val="24"/>
                <w:sz w:val="16"/>
                <w:szCs w:val="16"/>
              </w:rPr>
              <w:t>aB</w:t>
            </w:r>
            <w:proofErr w:type="spellEnd"/>
          </w:p>
        </w:tc>
        <w:tc>
          <w:tcPr>
            <w:tcW w:w="393" w:type="dxa"/>
            <w:tcMar>
              <w:top w:w="72" w:type="dxa"/>
              <w:left w:w="144" w:type="dxa"/>
              <w:bottom w:w="72" w:type="dxa"/>
              <w:right w:w="144" w:type="dxa"/>
            </w:tcMar>
            <w:hideMark/>
          </w:tcPr>
          <w:p w14:paraId="1A0176B6"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w:t>
            </w:r>
          </w:p>
        </w:tc>
        <w:tc>
          <w:tcPr>
            <w:tcW w:w="1050" w:type="dxa"/>
            <w:tcMar>
              <w:top w:w="72" w:type="dxa"/>
              <w:left w:w="144" w:type="dxa"/>
              <w:bottom w:w="72" w:type="dxa"/>
              <w:right w:w="144" w:type="dxa"/>
            </w:tcMar>
            <w:hideMark/>
          </w:tcPr>
          <w:p w14:paraId="4533E707"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w:t>
            </w:r>
            <w:r w:rsidRPr="00A12F8F">
              <w:rPr>
                <w:rFonts w:asciiTheme="minorHAnsi" w:hAnsiTheme="minorHAnsi" w:cstheme="minorHAnsi"/>
                <w:b/>
                <w:bCs/>
                <w:color w:val="5A8E16"/>
                <w:kern w:val="24"/>
                <w:sz w:val="16"/>
                <w:szCs w:val="16"/>
              </w:rPr>
              <w:t xml:space="preserve">GHG </w:t>
            </w:r>
            <w:proofErr w:type="spellStart"/>
            <w:r w:rsidRPr="00A12F8F">
              <w:rPr>
                <w:rFonts w:asciiTheme="minorHAnsi" w:hAnsiTheme="minorHAnsi" w:cstheme="minorHAnsi"/>
                <w:b/>
                <w:bCs/>
                <w:color w:val="5A8E16"/>
                <w:kern w:val="24"/>
                <w:sz w:val="16"/>
                <w:szCs w:val="16"/>
              </w:rPr>
              <w:t>fwbB</w:t>
            </w:r>
            <w:proofErr w:type="spellEnd"/>
          </w:p>
        </w:tc>
        <w:tc>
          <w:tcPr>
            <w:tcW w:w="394" w:type="dxa"/>
            <w:tcMar>
              <w:top w:w="72" w:type="dxa"/>
              <w:left w:w="144" w:type="dxa"/>
              <w:bottom w:w="72" w:type="dxa"/>
              <w:right w:w="144" w:type="dxa"/>
            </w:tcMar>
            <w:hideMark/>
          </w:tcPr>
          <w:p w14:paraId="7332D93F"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 xml:space="preserve">+ </w:t>
            </w:r>
          </w:p>
        </w:tc>
        <w:tc>
          <w:tcPr>
            <w:tcW w:w="1304" w:type="dxa"/>
            <w:tcMar>
              <w:top w:w="72" w:type="dxa"/>
              <w:left w:w="144" w:type="dxa"/>
              <w:bottom w:w="72" w:type="dxa"/>
              <w:right w:w="144" w:type="dxa"/>
            </w:tcMar>
            <w:hideMark/>
          </w:tcPr>
          <w:p w14:paraId="00C540B3"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7F7F"/>
                <w:kern w:val="24"/>
                <w:sz w:val="16"/>
                <w:szCs w:val="16"/>
              </w:rPr>
              <w:t xml:space="preserve">GHG </w:t>
            </w:r>
            <w:proofErr w:type="spellStart"/>
            <w:r w:rsidRPr="00A12F8F">
              <w:rPr>
                <w:rFonts w:asciiTheme="minorHAnsi" w:hAnsiTheme="minorHAnsi" w:cstheme="minorHAnsi"/>
                <w:b/>
                <w:bCs/>
                <w:color w:val="007F7F"/>
                <w:kern w:val="24"/>
                <w:sz w:val="16"/>
                <w:szCs w:val="16"/>
              </w:rPr>
              <w:t>swbB</w:t>
            </w:r>
            <w:proofErr w:type="spellEnd"/>
          </w:p>
        </w:tc>
        <w:tc>
          <w:tcPr>
            <w:tcW w:w="394" w:type="dxa"/>
            <w:tcMar>
              <w:top w:w="72" w:type="dxa"/>
              <w:left w:w="144" w:type="dxa"/>
              <w:bottom w:w="72" w:type="dxa"/>
              <w:right w:w="144" w:type="dxa"/>
            </w:tcMar>
            <w:hideMark/>
          </w:tcPr>
          <w:p w14:paraId="2A4FBB6A"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0000"/>
                <w:kern w:val="24"/>
                <w:sz w:val="16"/>
                <w:szCs w:val="16"/>
              </w:rPr>
              <w:t xml:space="preserve">+ </w:t>
            </w:r>
          </w:p>
        </w:tc>
        <w:tc>
          <w:tcPr>
            <w:tcW w:w="1223" w:type="dxa"/>
            <w:tcMar>
              <w:top w:w="72" w:type="dxa"/>
              <w:left w:w="144" w:type="dxa"/>
              <w:bottom w:w="72" w:type="dxa"/>
              <w:right w:w="144" w:type="dxa"/>
            </w:tcMar>
            <w:hideMark/>
          </w:tcPr>
          <w:p w14:paraId="4FD5A7AD"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0078BF"/>
                <w:kern w:val="24"/>
                <w:sz w:val="16"/>
                <w:szCs w:val="16"/>
              </w:rPr>
              <w:t xml:space="preserve">GHG </w:t>
            </w:r>
            <w:proofErr w:type="spellStart"/>
            <w:r w:rsidRPr="00A12F8F">
              <w:rPr>
                <w:rFonts w:asciiTheme="minorHAnsi" w:hAnsiTheme="minorHAnsi" w:cstheme="minorHAnsi"/>
                <w:b/>
                <w:bCs/>
                <w:color w:val="0078BF"/>
                <w:kern w:val="24"/>
                <w:sz w:val="16"/>
                <w:szCs w:val="16"/>
              </w:rPr>
              <w:t>swb</w:t>
            </w:r>
            <w:proofErr w:type="spellEnd"/>
            <w:r w:rsidRPr="00A12F8F">
              <w:rPr>
                <w:rFonts w:asciiTheme="minorHAnsi" w:hAnsiTheme="minorHAnsi" w:cstheme="minorHAnsi"/>
                <w:b/>
                <w:bCs/>
                <w:color w:val="0078BF"/>
                <w:kern w:val="24"/>
                <w:sz w:val="16"/>
                <w:szCs w:val="16"/>
              </w:rPr>
              <w:t xml:space="preserve"> </w:t>
            </w:r>
          </w:p>
        </w:tc>
        <w:tc>
          <w:tcPr>
            <w:tcW w:w="394" w:type="dxa"/>
            <w:tcMar>
              <w:top w:w="72" w:type="dxa"/>
              <w:left w:w="144" w:type="dxa"/>
              <w:bottom w:w="72" w:type="dxa"/>
              <w:right w:w="144" w:type="dxa"/>
            </w:tcMar>
            <w:hideMark/>
          </w:tcPr>
          <w:p w14:paraId="528E78D7"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7F7F7F"/>
                <w:kern w:val="24"/>
                <w:sz w:val="16"/>
                <w:szCs w:val="16"/>
              </w:rPr>
              <w:t xml:space="preserve">+ </w:t>
            </w:r>
          </w:p>
        </w:tc>
        <w:tc>
          <w:tcPr>
            <w:tcW w:w="989" w:type="dxa"/>
            <w:tcMar>
              <w:top w:w="72" w:type="dxa"/>
              <w:left w:w="144" w:type="dxa"/>
              <w:bottom w:w="72" w:type="dxa"/>
              <w:right w:w="144" w:type="dxa"/>
            </w:tcMar>
            <w:hideMark/>
          </w:tcPr>
          <w:p w14:paraId="3EBEC24C"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proofErr w:type="spellStart"/>
            <w:r w:rsidRPr="00A12F8F">
              <w:rPr>
                <w:rFonts w:asciiTheme="minorHAnsi" w:hAnsiTheme="minorHAnsi" w:cstheme="minorHAnsi"/>
                <w:b/>
                <w:bCs/>
                <w:color w:val="7F7F7F"/>
                <w:kern w:val="24"/>
                <w:sz w:val="16"/>
                <w:szCs w:val="16"/>
              </w:rPr>
              <w:t>TapeS</w:t>
            </w:r>
            <w:proofErr w:type="spellEnd"/>
            <w:r w:rsidRPr="00A12F8F">
              <w:rPr>
                <w:rFonts w:asciiTheme="minorHAnsi" w:hAnsiTheme="minorHAnsi" w:cstheme="minorHAnsi"/>
                <w:b/>
                <w:bCs/>
                <w:color w:val="7F7F7F"/>
                <w:kern w:val="24"/>
                <w:sz w:val="16"/>
                <w:szCs w:val="16"/>
              </w:rPr>
              <w:t xml:space="preserve"> </w:t>
            </w:r>
            <w:proofErr w:type="spellStart"/>
            <w:r w:rsidRPr="00A12F8F">
              <w:rPr>
                <w:rFonts w:asciiTheme="minorHAnsi" w:hAnsiTheme="minorHAnsi" w:cstheme="minorHAnsi"/>
                <w:b/>
                <w:bCs/>
                <w:color w:val="7F7F7F"/>
                <w:kern w:val="24"/>
                <w:sz w:val="16"/>
                <w:szCs w:val="16"/>
              </w:rPr>
              <w:t>stB</w:t>
            </w:r>
            <w:proofErr w:type="spellEnd"/>
          </w:p>
        </w:tc>
        <w:tc>
          <w:tcPr>
            <w:tcW w:w="394" w:type="dxa"/>
            <w:tcMar>
              <w:top w:w="72" w:type="dxa"/>
              <w:left w:w="144" w:type="dxa"/>
              <w:bottom w:w="72" w:type="dxa"/>
              <w:right w:w="144" w:type="dxa"/>
            </w:tcMar>
            <w:hideMark/>
          </w:tcPr>
          <w:p w14:paraId="3730B08E"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r w:rsidRPr="00A12F8F">
              <w:rPr>
                <w:rFonts w:asciiTheme="minorHAnsi" w:hAnsiTheme="minorHAnsi" w:cstheme="minorHAnsi"/>
                <w:b/>
                <w:bCs/>
                <w:color w:val="7F7F7F"/>
                <w:kern w:val="24"/>
                <w:sz w:val="16"/>
                <w:szCs w:val="16"/>
              </w:rPr>
              <w:t xml:space="preserve">+ </w:t>
            </w:r>
          </w:p>
        </w:tc>
        <w:tc>
          <w:tcPr>
            <w:tcW w:w="1036" w:type="dxa"/>
            <w:tcMar>
              <w:top w:w="72" w:type="dxa"/>
              <w:left w:w="144" w:type="dxa"/>
              <w:bottom w:w="72" w:type="dxa"/>
              <w:right w:w="144" w:type="dxa"/>
            </w:tcMar>
            <w:hideMark/>
          </w:tcPr>
          <w:p w14:paraId="61F21458" w14:textId="77777777" w:rsidR="00A12F8F" w:rsidRPr="00A12F8F" w:rsidRDefault="00A12F8F" w:rsidP="008177E0">
            <w:pPr>
              <w:suppressAutoHyphens w:val="0"/>
              <w:spacing w:before="0" w:line="240" w:lineRule="auto"/>
              <w:jc w:val="center"/>
              <w:rPr>
                <w:rFonts w:asciiTheme="minorHAnsi" w:hAnsiTheme="minorHAnsi" w:cstheme="minorHAnsi"/>
                <w:sz w:val="16"/>
                <w:szCs w:val="16"/>
              </w:rPr>
            </w:pPr>
            <w:proofErr w:type="spellStart"/>
            <w:r w:rsidRPr="00A12F8F">
              <w:rPr>
                <w:rFonts w:asciiTheme="minorHAnsi" w:hAnsiTheme="minorHAnsi" w:cstheme="minorHAnsi"/>
                <w:b/>
                <w:bCs/>
                <w:color w:val="7F7F7F"/>
                <w:kern w:val="24"/>
                <w:sz w:val="16"/>
                <w:szCs w:val="16"/>
              </w:rPr>
              <w:t>TapeS</w:t>
            </w:r>
            <w:proofErr w:type="spellEnd"/>
            <w:r w:rsidRPr="00A12F8F">
              <w:rPr>
                <w:rFonts w:asciiTheme="minorHAnsi" w:hAnsiTheme="minorHAnsi" w:cstheme="minorHAnsi"/>
                <w:b/>
                <w:bCs/>
                <w:color w:val="7F7F7F"/>
                <w:kern w:val="24"/>
                <w:sz w:val="16"/>
                <w:szCs w:val="16"/>
              </w:rPr>
              <w:t xml:space="preserve"> </w:t>
            </w:r>
            <w:proofErr w:type="spellStart"/>
            <w:r w:rsidRPr="00A12F8F">
              <w:rPr>
                <w:rFonts w:asciiTheme="minorHAnsi" w:hAnsiTheme="minorHAnsi" w:cstheme="minorHAnsi"/>
                <w:b/>
                <w:bCs/>
                <w:color w:val="7F7F7F"/>
                <w:kern w:val="24"/>
                <w:sz w:val="16"/>
                <w:szCs w:val="16"/>
              </w:rPr>
              <w:t>stbB</w:t>
            </w:r>
            <w:proofErr w:type="spellEnd"/>
            <w:r w:rsidRPr="00A12F8F">
              <w:rPr>
                <w:rFonts w:asciiTheme="minorHAnsi" w:hAnsiTheme="minorHAnsi" w:cstheme="minorHAnsi"/>
                <w:b/>
                <w:bCs/>
                <w:color w:val="7F7F7F"/>
                <w:kern w:val="24"/>
                <w:sz w:val="16"/>
                <w:szCs w:val="16"/>
              </w:rPr>
              <w:t>)</w:t>
            </w:r>
          </w:p>
        </w:tc>
      </w:tr>
      <w:tr w:rsidR="00A12F8F" w:rsidRPr="00A12F8F" w14:paraId="1B2767F1" w14:textId="77777777" w:rsidTr="008177E0">
        <w:trPr>
          <w:trHeight w:val="331"/>
        </w:trPr>
        <w:tc>
          <w:tcPr>
            <w:tcW w:w="1117" w:type="dxa"/>
            <w:tcMar>
              <w:top w:w="72" w:type="dxa"/>
              <w:left w:w="144" w:type="dxa"/>
              <w:bottom w:w="72" w:type="dxa"/>
              <w:right w:w="144" w:type="dxa"/>
            </w:tcMar>
          </w:tcPr>
          <w:p w14:paraId="61CED631" w14:textId="77777777" w:rsidR="00A12F8F" w:rsidRPr="00A12F8F" w:rsidRDefault="00A12F8F" w:rsidP="008177E0">
            <w:pPr>
              <w:suppressAutoHyphens w:val="0"/>
              <w:spacing w:before="0" w:line="240" w:lineRule="auto"/>
              <w:jc w:val="center"/>
              <w:rPr>
                <w:rFonts w:asciiTheme="minorHAnsi" w:hAnsiTheme="minorHAnsi" w:cstheme="minorHAnsi"/>
                <w:b/>
                <w:bCs/>
                <w:color w:val="66C6FF"/>
                <w:kern w:val="24"/>
                <w:sz w:val="16"/>
                <w:szCs w:val="16"/>
              </w:rPr>
            </w:pPr>
          </w:p>
        </w:tc>
        <w:tc>
          <w:tcPr>
            <w:tcW w:w="394" w:type="dxa"/>
            <w:tcMar>
              <w:top w:w="72" w:type="dxa"/>
              <w:left w:w="144" w:type="dxa"/>
              <w:bottom w:w="72" w:type="dxa"/>
              <w:right w:w="144" w:type="dxa"/>
            </w:tcMar>
            <w:hideMark/>
          </w:tcPr>
          <w:p w14:paraId="56FBF2A3"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r w:rsidRPr="00A12F8F">
              <w:rPr>
                <w:rFonts w:asciiTheme="minorHAnsi" w:hAnsiTheme="minorHAnsi" w:cstheme="minorHAnsi"/>
                <w:noProof/>
                <w:sz w:val="16"/>
                <w:szCs w:val="16"/>
              </w:rPr>
              <mc:AlternateContent>
                <mc:Choice Requires="wps">
                  <w:drawing>
                    <wp:anchor distT="0" distB="0" distL="114300" distR="114300" simplePos="0" relativeHeight="251667456" behindDoc="0" locked="0" layoutInCell="1" allowOverlap="1" wp14:anchorId="6F1034E3" wp14:editId="5BC9CC31">
                      <wp:simplePos x="0" y="0"/>
                      <wp:positionH relativeFrom="column">
                        <wp:posOffset>-394970</wp:posOffset>
                      </wp:positionH>
                      <wp:positionV relativeFrom="paragraph">
                        <wp:posOffset>-35560</wp:posOffset>
                      </wp:positionV>
                      <wp:extent cx="895350" cy="317500"/>
                      <wp:effectExtent l="0" t="0" r="76200" b="63500"/>
                      <wp:wrapNone/>
                      <wp:docPr id="23" name="Verbinder: gewinkelt 23"/>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95350" cy="317500"/>
                              </a:xfrm>
                              <a:prstGeom prst="bentConnector3">
                                <a:avLst>
                                  <a:gd name="adj1" fmla="val 10065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C04B29" id="Verbinder: gewinkelt 23" o:spid="_x0000_s1026" type="#_x0000_t34" style="position:absolute;margin-left:-31.1pt;margin-top:-2.8pt;width:70.5pt;height: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" adj="21741" strokecolor="#4472c4 [3204]" strokeweight=".5pt">
                      <v:stroke endarrow="block"/>
                      <o:lock v:ext="edit" shapetype="f"/>
                    </v:shape>
                  </w:pict>
                </mc:Fallback>
              </mc:AlternateContent>
            </w:r>
          </w:p>
        </w:tc>
        <w:tc>
          <w:tcPr>
            <w:tcW w:w="962" w:type="dxa"/>
            <w:tcMar>
              <w:top w:w="72" w:type="dxa"/>
              <w:left w:w="144" w:type="dxa"/>
              <w:bottom w:w="72" w:type="dxa"/>
              <w:right w:w="144" w:type="dxa"/>
            </w:tcMar>
          </w:tcPr>
          <w:p w14:paraId="1A983314"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p>
        </w:tc>
        <w:tc>
          <w:tcPr>
            <w:tcW w:w="393" w:type="dxa"/>
            <w:tcMar>
              <w:top w:w="72" w:type="dxa"/>
              <w:left w:w="144" w:type="dxa"/>
              <w:bottom w:w="72" w:type="dxa"/>
              <w:right w:w="144" w:type="dxa"/>
            </w:tcMar>
          </w:tcPr>
          <w:p w14:paraId="5BEC5444"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p>
        </w:tc>
        <w:tc>
          <w:tcPr>
            <w:tcW w:w="1050" w:type="dxa"/>
            <w:tcMar>
              <w:top w:w="72" w:type="dxa"/>
              <w:left w:w="144" w:type="dxa"/>
              <w:bottom w:w="72" w:type="dxa"/>
              <w:right w:w="144" w:type="dxa"/>
            </w:tcMar>
          </w:tcPr>
          <w:p w14:paraId="146991EB"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p>
        </w:tc>
        <w:tc>
          <w:tcPr>
            <w:tcW w:w="394" w:type="dxa"/>
            <w:tcMar>
              <w:top w:w="72" w:type="dxa"/>
              <w:left w:w="144" w:type="dxa"/>
              <w:bottom w:w="72" w:type="dxa"/>
              <w:right w:w="144" w:type="dxa"/>
            </w:tcMar>
          </w:tcPr>
          <w:p w14:paraId="310F9659"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p>
        </w:tc>
        <w:tc>
          <w:tcPr>
            <w:tcW w:w="1304" w:type="dxa"/>
            <w:tcMar>
              <w:top w:w="72" w:type="dxa"/>
              <w:left w:w="144" w:type="dxa"/>
              <w:bottom w:w="72" w:type="dxa"/>
              <w:right w:w="144" w:type="dxa"/>
            </w:tcMar>
          </w:tcPr>
          <w:p w14:paraId="3E07B417" w14:textId="77777777" w:rsidR="00A12F8F" w:rsidRPr="00A12F8F" w:rsidRDefault="00A12F8F" w:rsidP="008177E0">
            <w:pPr>
              <w:suppressAutoHyphens w:val="0"/>
              <w:spacing w:before="0" w:line="240" w:lineRule="auto"/>
              <w:jc w:val="center"/>
              <w:rPr>
                <w:rFonts w:asciiTheme="minorHAnsi" w:hAnsiTheme="minorHAnsi" w:cstheme="minorHAnsi"/>
                <w:b/>
                <w:bCs/>
                <w:color w:val="007F7F"/>
                <w:kern w:val="24"/>
                <w:sz w:val="16"/>
                <w:szCs w:val="16"/>
              </w:rPr>
            </w:pPr>
          </w:p>
        </w:tc>
        <w:tc>
          <w:tcPr>
            <w:tcW w:w="394" w:type="dxa"/>
            <w:tcMar>
              <w:top w:w="72" w:type="dxa"/>
              <w:left w:w="144" w:type="dxa"/>
              <w:bottom w:w="72" w:type="dxa"/>
              <w:right w:w="144" w:type="dxa"/>
            </w:tcMar>
          </w:tcPr>
          <w:p w14:paraId="4894B570"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p>
        </w:tc>
        <w:tc>
          <w:tcPr>
            <w:tcW w:w="1223" w:type="dxa"/>
            <w:tcMar>
              <w:top w:w="72" w:type="dxa"/>
              <w:left w:w="144" w:type="dxa"/>
              <w:bottom w:w="72" w:type="dxa"/>
              <w:right w:w="144" w:type="dxa"/>
            </w:tcMar>
          </w:tcPr>
          <w:p w14:paraId="0C0176C9" w14:textId="77777777" w:rsidR="00A12F8F" w:rsidRPr="00A12F8F" w:rsidRDefault="00A12F8F" w:rsidP="008177E0">
            <w:pPr>
              <w:suppressAutoHyphens w:val="0"/>
              <w:spacing w:before="0" w:line="240" w:lineRule="auto"/>
              <w:jc w:val="center"/>
              <w:rPr>
                <w:rFonts w:asciiTheme="minorHAnsi" w:hAnsiTheme="minorHAnsi" w:cstheme="minorHAnsi"/>
                <w:b/>
                <w:bCs/>
                <w:color w:val="0078BF"/>
                <w:kern w:val="24"/>
                <w:sz w:val="16"/>
                <w:szCs w:val="16"/>
              </w:rPr>
            </w:pPr>
          </w:p>
        </w:tc>
        <w:tc>
          <w:tcPr>
            <w:tcW w:w="394" w:type="dxa"/>
            <w:tcMar>
              <w:top w:w="72" w:type="dxa"/>
              <w:left w:w="144" w:type="dxa"/>
              <w:bottom w:w="72" w:type="dxa"/>
              <w:right w:w="144" w:type="dxa"/>
            </w:tcMar>
          </w:tcPr>
          <w:p w14:paraId="2F36C27B" w14:textId="77777777" w:rsidR="00A12F8F" w:rsidRPr="00A12F8F" w:rsidRDefault="00A12F8F" w:rsidP="008177E0">
            <w:pPr>
              <w:suppressAutoHyphens w:val="0"/>
              <w:spacing w:before="0" w:line="240" w:lineRule="auto"/>
              <w:jc w:val="center"/>
              <w:rPr>
                <w:rFonts w:asciiTheme="minorHAnsi" w:hAnsiTheme="minorHAnsi" w:cstheme="minorHAnsi"/>
                <w:b/>
                <w:bCs/>
                <w:color w:val="7F7F7F"/>
                <w:kern w:val="24"/>
                <w:sz w:val="16"/>
                <w:szCs w:val="16"/>
              </w:rPr>
            </w:pPr>
          </w:p>
        </w:tc>
        <w:tc>
          <w:tcPr>
            <w:tcW w:w="989" w:type="dxa"/>
            <w:tcMar>
              <w:top w:w="72" w:type="dxa"/>
              <w:left w:w="144" w:type="dxa"/>
              <w:bottom w:w="72" w:type="dxa"/>
              <w:right w:w="144" w:type="dxa"/>
            </w:tcMar>
          </w:tcPr>
          <w:p w14:paraId="62CFAAC5" w14:textId="77777777" w:rsidR="00A12F8F" w:rsidRPr="00A12F8F" w:rsidRDefault="00A12F8F" w:rsidP="008177E0">
            <w:pPr>
              <w:suppressAutoHyphens w:val="0"/>
              <w:spacing w:before="0" w:line="240" w:lineRule="auto"/>
              <w:jc w:val="center"/>
              <w:rPr>
                <w:rFonts w:asciiTheme="minorHAnsi" w:hAnsiTheme="minorHAnsi" w:cstheme="minorHAnsi"/>
                <w:b/>
                <w:bCs/>
                <w:color w:val="7F7F7F"/>
                <w:kern w:val="24"/>
                <w:sz w:val="16"/>
                <w:szCs w:val="16"/>
              </w:rPr>
            </w:pPr>
          </w:p>
        </w:tc>
        <w:tc>
          <w:tcPr>
            <w:tcW w:w="394" w:type="dxa"/>
            <w:tcMar>
              <w:top w:w="72" w:type="dxa"/>
              <w:left w:w="144" w:type="dxa"/>
              <w:bottom w:w="72" w:type="dxa"/>
              <w:right w:w="144" w:type="dxa"/>
            </w:tcMar>
          </w:tcPr>
          <w:p w14:paraId="53D72959" w14:textId="77777777" w:rsidR="00A12F8F" w:rsidRPr="00A12F8F" w:rsidRDefault="00A12F8F" w:rsidP="008177E0">
            <w:pPr>
              <w:suppressAutoHyphens w:val="0"/>
              <w:spacing w:before="0" w:line="240" w:lineRule="auto"/>
              <w:jc w:val="center"/>
              <w:rPr>
                <w:rFonts w:asciiTheme="minorHAnsi" w:hAnsiTheme="minorHAnsi" w:cstheme="minorHAnsi"/>
                <w:b/>
                <w:bCs/>
                <w:color w:val="7F7F7F"/>
                <w:kern w:val="24"/>
                <w:sz w:val="16"/>
                <w:szCs w:val="16"/>
              </w:rPr>
            </w:pPr>
          </w:p>
        </w:tc>
        <w:tc>
          <w:tcPr>
            <w:tcW w:w="1036" w:type="dxa"/>
            <w:tcMar>
              <w:top w:w="72" w:type="dxa"/>
              <w:left w:w="144" w:type="dxa"/>
              <w:bottom w:w="72" w:type="dxa"/>
              <w:right w:w="144" w:type="dxa"/>
            </w:tcMar>
          </w:tcPr>
          <w:p w14:paraId="005A16C0" w14:textId="77777777" w:rsidR="00A12F8F" w:rsidRPr="00A12F8F" w:rsidRDefault="00A12F8F" w:rsidP="008177E0">
            <w:pPr>
              <w:suppressAutoHyphens w:val="0"/>
              <w:spacing w:before="0" w:line="240" w:lineRule="auto"/>
              <w:jc w:val="center"/>
              <w:rPr>
                <w:rFonts w:asciiTheme="minorHAnsi" w:hAnsiTheme="minorHAnsi" w:cstheme="minorHAnsi"/>
                <w:b/>
                <w:bCs/>
                <w:color w:val="7F7F7F"/>
                <w:kern w:val="24"/>
                <w:sz w:val="16"/>
                <w:szCs w:val="16"/>
              </w:rPr>
            </w:pPr>
          </w:p>
        </w:tc>
      </w:tr>
      <w:tr w:rsidR="00A12F8F" w:rsidRPr="00A12F8F" w14:paraId="18638E56" w14:textId="77777777" w:rsidTr="008177E0">
        <w:trPr>
          <w:trHeight w:val="331"/>
        </w:trPr>
        <w:tc>
          <w:tcPr>
            <w:tcW w:w="1117" w:type="dxa"/>
            <w:tcMar>
              <w:top w:w="72" w:type="dxa"/>
              <w:left w:w="144" w:type="dxa"/>
              <w:bottom w:w="72" w:type="dxa"/>
              <w:right w:w="144" w:type="dxa"/>
            </w:tcMar>
            <w:hideMark/>
          </w:tcPr>
          <w:p w14:paraId="51CB5820" w14:textId="77777777" w:rsidR="00A12F8F" w:rsidRPr="00A12F8F" w:rsidRDefault="00A12F8F" w:rsidP="008177E0">
            <w:pPr>
              <w:suppressAutoHyphens w:val="0"/>
              <w:spacing w:before="0" w:line="240" w:lineRule="auto"/>
              <w:jc w:val="center"/>
              <w:rPr>
                <w:rFonts w:asciiTheme="minorHAnsi" w:hAnsiTheme="minorHAnsi" w:cstheme="minorHAnsi"/>
                <w:b/>
                <w:bCs/>
                <w:color w:val="66C6FF"/>
                <w:kern w:val="24"/>
                <w:sz w:val="16"/>
                <w:szCs w:val="16"/>
              </w:rPr>
            </w:pPr>
            <w:r w:rsidRPr="00A12F8F">
              <w:rPr>
                <w:rFonts w:asciiTheme="minorHAnsi" w:hAnsiTheme="minorHAnsi" w:cstheme="minorHAnsi"/>
                <w:b/>
                <w:bCs/>
                <w:color w:val="000000" w:themeColor="text1"/>
                <w:kern w:val="24"/>
                <w:sz w:val="16"/>
                <w:szCs w:val="16"/>
              </w:rPr>
              <w:t>GHG ab</w:t>
            </w:r>
          </w:p>
        </w:tc>
        <w:tc>
          <w:tcPr>
            <w:tcW w:w="394" w:type="dxa"/>
            <w:tcMar>
              <w:top w:w="72" w:type="dxa"/>
              <w:left w:w="144" w:type="dxa"/>
              <w:bottom w:w="72" w:type="dxa"/>
              <w:right w:w="144" w:type="dxa"/>
            </w:tcMar>
            <w:hideMark/>
          </w:tcPr>
          <w:p w14:paraId="0100A81C"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r w:rsidRPr="00A12F8F">
              <w:rPr>
                <w:rFonts w:asciiTheme="minorHAnsi" w:hAnsiTheme="minorHAnsi" w:cstheme="minorHAnsi"/>
                <w:b/>
                <w:bCs/>
                <w:color w:val="000000" w:themeColor="text1"/>
                <w:kern w:val="24"/>
                <w:sz w:val="16"/>
                <w:szCs w:val="16"/>
              </w:rPr>
              <w:t xml:space="preserve">= </w:t>
            </w:r>
          </w:p>
        </w:tc>
        <w:tc>
          <w:tcPr>
            <w:tcW w:w="962" w:type="dxa"/>
            <w:tcMar>
              <w:top w:w="72" w:type="dxa"/>
              <w:left w:w="144" w:type="dxa"/>
              <w:bottom w:w="72" w:type="dxa"/>
              <w:right w:w="144" w:type="dxa"/>
            </w:tcMar>
            <w:hideMark/>
          </w:tcPr>
          <w:p w14:paraId="113DDD8B"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r w:rsidRPr="00A12F8F">
              <w:rPr>
                <w:rFonts w:asciiTheme="minorHAnsi" w:hAnsiTheme="minorHAnsi" w:cstheme="minorHAnsi"/>
                <w:b/>
                <w:bCs/>
                <w:color w:val="66C6FF"/>
                <w:kern w:val="24"/>
                <w:sz w:val="16"/>
                <w:szCs w:val="16"/>
              </w:rPr>
              <w:t xml:space="preserve">GHG </w:t>
            </w:r>
            <w:proofErr w:type="spellStart"/>
            <w:r w:rsidRPr="00A12F8F">
              <w:rPr>
                <w:rFonts w:asciiTheme="minorHAnsi" w:hAnsiTheme="minorHAnsi" w:cstheme="minorHAnsi"/>
                <w:b/>
                <w:bCs/>
                <w:color w:val="66C6FF"/>
                <w:kern w:val="24"/>
                <w:sz w:val="16"/>
                <w:szCs w:val="16"/>
              </w:rPr>
              <w:t>fB</w:t>
            </w:r>
            <w:proofErr w:type="spellEnd"/>
          </w:p>
        </w:tc>
        <w:tc>
          <w:tcPr>
            <w:tcW w:w="393" w:type="dxa"/>
            <w:tcMar>
              <w:top w:w="72" w:type="dxa"/>
              <w:left w:w="144" w:type="dxa"/>
              <w:bottom w:w="72" w:type="dxa"/>
              <w:right w:w="144" w:type="dxa"/>
            </w:tcMar>
            <w:hideMark/>
          </w:tcPr>
          <w:p w14:paraId="0D68C6C9"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r w:rsidRPr="00A12F8F">
              <w:rPr>
                <w:rFonts w:asciiTheme="minorHAnsi" w:hAnsiTheme="minorHAnsi" w:cstheme="minorHAnsi"/>
                <w:b/>
                <w:bCs/>
                <w:color w:val="000000" w:themeColor="text1"/>
                <w:kern w:val="24"/>
                <w:sz w:val="16"/>
                <w:szCs w:val="16"/>
              </w:rPr>
              <w:t>+</w:t>
            </w:r>
          </w:p>
        </w:tc>
        <w:tc>
          <w:tcPr>
            <w:tcW w:w="1050" w:type="dxa"/>
            <w:tcMar>
              <w:top w:w="72" w:type="dxa"/>
              <w:left w:w="144" w:type="dxa"/>
              <w:bottom w:w="72" w:type="dxa"/>
              <w:right w:w="144" w:type="dxa"/>
            </w:tcMar>
            <w:hideMark/>
          </w:tcPr>
          <w:p w14:paraId="079ECF39"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r w:rsidRPr="00A12F8F">
              <w:rPr>
                <w:rFonts w:asciiTheme="minorHAnsi" w:hAnsiTheme="minorHAnsi" w:cstheme="minorHAnsi"/>
                <w:b/>
                <w:bCs/>
                <w:color w:val="000000"/>
                <w:kern w:val="24"/>
                <w:sz w:val="16"/>
                <w:szCs w:val="16"/>
              </w:rPr>
              <w:t>(</w:t>
            </w:r>
            <w:r w:rsidRPr="00A12F8F">
              <w:rPr>
                <w:rFonts w:asciiTheme="minorHAnsi" w:hAnsiTheme="minorHAnsi" w:cstheme="minorHAnsi"/>
                <w:b/>
                <w:bCs/>
                <w:color w:val="5A8E16"/>
                <w:kern w:val="24"/>
                <w:sz w:val="16"/>
                <w:szCs w:val="16"/>
              </w:rPr>
              <w:t xml:space="preserve">GHG </w:t>
            </w:r>
            <w:proofErr w:type="spellStart"/>
            <w:r w:rsidRPr="00A12F8F">
              <w:rPr>
                <w:rFonts w:asciiTheme="minorHAnsi" w:hAnsiTheme="minorHAnsi" w:cstheme="minorHAnsi"/>
                <w:b/>
                <w:bCs/>
                <w:color w:val="5A8E16"/>
                <w:kern w:val="24"/>
                <w:sz w:val="16"/>
                <w:szCs w:val="16"/>
              </w:rPr>
              <w:t>fwbB</w:t>
            </w:r>
            <w:proofErr w:type="spellEnd"/>
          </w:p>
        </w:tc>
        <w:tc>
          <w:tcPr>
            <w:tcW w:w="394" w:type="dxa"/>
            <w:tcMar>
              <w:top w:w="72" w:type="dxa"/>
              <w:left w:w="144" w:type="dxa"/>
              <w:bottom w:w="72" w:type="dxa"/>
              <w:right w:w="144" w:type="dxa"/>
            </w:tcMar>
            <w:hideMark/>
          </w:tcPr>
          <w:p w14:paraId="72807065"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r w:rsidRPr="00A12F8F">
              <w:rPr>
                <w:rFonts w:asciiTheme="minorHAnsi" w:hAnsiTheme="minorHAnsi" w:cstheme="minorHAnsi"/>
                <w:b/>
                <w:bCs/>
                <w:color w:val="000000" w:themeColor="text1"/>
                <w:kern w:val="24"/>
                <w:sz w:val="16"/>
                <w:szCs w:val="16"/>
              </w:rPr>
              <w:t>+</w:t>
            </w:r>
          </w:p>
        </w:tc>
        <w:tc>
          <w:tcPr>
            <w:tcW w:w="1304" w:type="dxa"/>
            <w:tcMar>
              <w:top w:w="72" w:type="dxa"/>
              <w:left w:w="144" w:type="dxa"/>
              <w:bottom w:w="72" w:type="dxa"/>
              <w:right w:w="144" w:type="dxa"/>
            </w:tcMar>
            <w:hideMark/>
          </w:tcPr>
          <w:p w14:paraId="4464BB1B" w14:textId="77777777" w:rsidR="00A12F8F" w:rsidRPr="00A12F8F" w:rsidRDefault="00A12F8F" w:rsidP="008177E0">
            <w:pPr>
              <w:suppressAutoHyphens w:val="0"/>
              <w:spacing w:before="0" w:line="240" w:lineRule="auto"/>
              <w:jc w:val="center"/>
              <w:rPr>
                <w:rFonts w:asciiTheme="minorHAnsi" w:hAnsiTheme="minorHAnsi" w:cstheme="minorHAnsi"/>
                <w:b/>
                <w:bCs/>
                <w:color w:val="007F7F"/>
                <w:kern w:val="24"/>
                <w:sz w:val="16"/>
                <w:szCs w:val="16"/>
              </w:rPr>
            </w:pPr>
            <w:r w:rsidRPr="00A12F8F">
              <w:rPr>
                <w:rFonts w:asciiTheme="minorHAnsi" w:hAnsiTheme="minorHAnsi" w:cstheme="minorHAnsi"/>
                <w:b/>
                <w:bCs/>
                <w:color w:val="007F7F"/>
                <w:kern w:val="24"/>
                <w:sz w:val="16"/>
                <w:szCs w:val="16"/>
              </w:rPr>
              <w:t xml:space="preserve">GHG </w:t>
            </w:r>
            <w:proofErr w:type="spellStart"/>
            <w:r w:rsidRPr="00A12F8F">
              <w:rPr>
                <w:rFonts w:asciiTheme="minorHAnsi" w:hAnsiTheme="minorHAnsi" w:cstheme="minorHAnsi"/>
                <w:b/>
                <w:bCs/>
                <w:color w:val="007F7F"/>
                <w:kern w:val="24"/>
                <w:sz w:val="16"/>
                <w:szCs w:val="16"/>
              </w:rPr>
              <w:t>swbB</w:t>
            </w:r>
            <w:proofErr w:type="spellEnd"/>
          </w:p>
        </w:tc>
        <w:tc>
          <w:tcPr>
            <w:tcW w:w="394" w:type="dxa"/>
            <w:tcMar>
              <w:top w:w="72" w:type="dxa"/>
              <w:left w:w="144" w:type="dxa"/>
              <w:bottom w:w="72" w:type="dxa"/>
              <w:right w:w="144" w:type="dxa"/>
            </w:tcMar>
            <w:hideMark/>
          </w:tcPr>
          <w:p w14:paraId="676AC5F6" w14:textId="77777777" w:rsidR="00A12F8F" w:rsidRPr="00A12F8F" w:rsidRDefault="00A12F8F" w:rsidP="008177E0">
            <w:pPr>
              <w:suppressAutoHyphens w:val="0"/>
              <w:spacing w:before="0" w:line="240" w:lineRule="auto"/>
              <w:jc w:val="center"/>
              <w:rPr>
                <w:rFonts w:asciiTheme="minorHAnsi" w:hAnsiTheme="minorHAnsi" w:cstheme="minorHAnsi"/>
                <w:b/>
                <w:bCs/>
                <w:color w:val="000000"/>
                <w:kern w:val="24"/>
                <w:sz w:val="16"/>
                <w:szCs w:val="16"/>
              </w:rPr>
            </w:pPr>
            <w:r w:rsidRPr="00A12F8F">
              <w:rPr>
                <w:rFonts w:asciiTheme="minorHAnsi" w:hAnsiTheme="minorHAnsi" w:cstheme="minorHAnsi"/>
                <w:b/>
                <w:bCs/>
                <w:color w:val="000000" w:themeColor="text1"/>
                <w:kern w:val="24"/>
                <w:sz w:val="16"/>
                <w:szCs w:val="16"/>
              </w:rPr>
              <w:t>+</w:t>
            </w:r>
          </w:p>
        </w:tc>
        <w:tc>
          <w:tcPr>
            <w:tcW w:w="1223" w:type="dxa"/>
            <w:tcMar>
              <w:top w:w="72" w:type="dxa"/>
              <w:left w:w="144" w:type="dxa"/>
              <w:bottom w:w="72" w:type="dxa"/>
              <w:right w:w="144" w:type="dxa"/>
            </w:tcMar>
            <w:hideMark/>
          </w:tcPr>
          <w:p w14:paraId="06394F54" w14:textId="77777777" w:rsidR="00A12F8F" w:rsidRPr="00A12F8F" w:rsidRDefault="00A12F8F" w:rsidP="008177E0">
            <w:pPr>
              <w:suppressAutoHyphens w:val="0"/>
              <w:spacing w:before="0" w:line="240" w:lineRule="auto"/>
              <w:jc w:val="center"/>
              <w:rPr>
                <w:rFonts w:asciiTheme="minorHAnsi" w:hAnsiTheme="minorHAnsi" w:cstheme="minorHAnsi"/>
                <w:b/>
                <w:bCs/>
                <w:color w:val="0078BF"/>
                <w:kern w:val="24"/>
                <w:sz w:val="16"/>
                <w:szCs w:val="16"/>
              </w:rPr>
            </w:pPr>
            <w:r w:rsidRPr="00A12F8F">
              <w:rPr>
                <w:rFonts w:asciiTheme="minorHAnsi" w:hAnsiTheme="minorHAnsi" w:cstheme="minorHAnsi"/>
                <w:b/>
                <w:bCs/>
                <w:color w:val="0078BF"/>
                <w:kern w:val="24"/>
                <w:sz w:val="16"/>
                <w:szCs w:val="16"/>
              </w:rPr>
              <w:t xml:space="preserve">GHG </w:t>
            </w:r>
            <w:proofErr w:type="spellStart"/>
            <w:r w:rsidRPr="00A12F8F">
              <w:rPr>
                <w:rFonts w:asciiTheme="minorHAnsi" w:hAnsiTheme="minorHAnsi" w:cstheme="minorHAnsi"/>
                <w:b/>
                <w:bCs/>
                <w:color w:val="0078BF"/>
                <w:kern w:val="24"/>
                <w:sz w:val="16"/>
                <w:szCs w:val="16"/>
              </w:rPr>
              <w:t>swb</w:t>
            </w:r>
            <w:proofErr w:type="spellEnd"/>
          </w:p>
        </w:tc>
        <w:tc>
          <w:tcPr>
            <w:tcW w:w="394" w:type="dxa"/>
            <w:tcMar>
              <w:top w:w="72" w:type="dxa"/>
              <w:left w:w="144" w:type="dxa"/>
              <w:bottom w:w="72" w:type="dxa"/>
              <w:right w:w="144" w:type="dxa"/>
            </w:tcMar>
            <w:hideMark/>
          </w:tcPr>
          <w:p w14:paraId="5FA4FEA3" w14:textId="77777777" w:rsidR="00A12F8F" w:rsidRPr="00A12F8F" w:rsidRDefault="00A12F8F" w:rsidP="008177E0">
            <w:pPr>
              <w:suppressAutoHyphens w:val="0"/>
              <w:spacing w:before="0" w:line="240" w:lineRule="auto"/>
              <w:jc w:val="center"/>
              <w:rPr>
                <w:rFonts w:asciiTheme="minorHAnsi" w:hAnsiTheme="minorHAnsi" w:cstheme="minorHAnsi"/>
                <w:b/>
                <w:bCs/>
                <w:color w:val="7F7F7F"/>
                <w:kern w:val="24"/>
                <w:sz w:val="16"/>
                <w:szCs w:val="16"/>
              </w:rPr>
            </w:pPr>
            <w:r w:rsidRPr="00A12F8F">
              <w:rPr>
                <w:rFonts w:asciiTheme="minorHAnsi" w:hAnsiTheme="minorHAnsi" w:cstheme="minorHAnsi"/>
                <w:b/>
                <w:bCs/>
                <w:color w:val="767171" w:themeColor="background2" w:themeShade="80"/>
                <w:kern w:val="24"/>
                <w:sz w:val="16"/>
                <w:szCs w:val="16"/>
              </w:rPr>
              <w:t xml:space="preserve">+ </w:t>
            </w:r>
          </w:p>
        </w:tc>
        <w:tc>
          <w:tcPr>
            <w:tcW w:w="989" w:type="dxa"/>
            <w:tcMar>
              <w:top w:w="72" w:type="dxa"/>
              <w:left w:w="144" w:type="dxa"/>
              <w:bottom w:w="72" w:type="dxa"/>
              <w:right w:w="144" w:type="dxa"/>
            </w:tcMar>
            <w:hideMark/>
          </w:tcPr>
          <w:p w14:paraId="57C9AB19" w14:textId="77777777" w:rsidR="00A12F8F" w:rsidRPr="00A12F8F" w:rsidRDefault="00A12F8F" w:rsidP="008177E0">
            <w:pPr>
              <w:suppressAutoHyphens w:val="0"/>
              <w:spacing w:before="0" w:line="240" w:lineRule="auto"/>
              <w:jc w:val="center"/>
              <w:rPr>
                <w:rFonts w:asciiTheme="minorHAnsi" w:hAnsiTheme="minorHAnsi" w:cstheme="minorHAnsi"/>
                <w:b/>
                <w:bCs/>
                <w:color w:val="7F7F7F"/>
                <w:kern w:val="24"/>
                <w:sz w:val="16"/>
                <w:szCs w:val="16"/>
              </w:rPr>
            </w:pPr>
            <w:proofErr w:type="spellStart"/>
            <w:r w:rsidRPr="00A12F8F">
              <w:rPr>
                <w:rFonts w:asciiTheme="minorHAnsi" w:hAnsiTheme="minorHAnsi" w:cstheme="minorHAnsi"/>
                <w:b/>
                <w:bCs/>
                <w:color w:val="7F7F7F" w:themeColor="text1" w:themeTint="80"/>
                <w:kern w:val="24"/>
                <w:sz w:val="16"/>
                <w:szCs w:val="16"/>
              </w:rPr>
              <w:t>TapeS</w:t>
            </w:r>
            <w:proofErr w:type="spellEnd"/>
            <w:r w:rsidRPr="00A12F8F">
              <w:rPr>
                <w:rFonts w:asciiTheme="minorHAnsi" w:hAnsiTheme="minorHAnsi" w:cstheme="minorHAnsi"/>
                <w:b/>
                <w:bCs/>
                <w:color w:val="767171" w:themeColor="background2" w:themeShade="80"/>
                <w:kern w:val="24"/>
                <w:sz w:val="16"/>
                <w:szCs w:val="16"/>
              </w:rPr>
              <w:t xml:space="preserve"> </w:t>
            </w:r>
            <w:proofErr w:type="spellStart"/>
            <w:r w:rsidRPr="00A12F8F">
              <w:rPr>
                <w:rFonts w:asciiTheme="minorHAnsi" w:hAnsiTheme="minorHAnsi" w:cstheme="minorHAnsi"/>
                <w:b/>
                <w:bCs/>
                <w:color w:val="767171" w:themeColor="background2" w:themeShade="80"/>
                <w:kern w:val="24"/>
                <w:sz w:val="16"/>
                <w:szCs w:val="16"/>
              </w:rPr>
              <w:t>stB</w:t>
            </w:r>
            <w:proofErr w:type="spellEnd"/>
          </w:p>
        </w:tc>
        <w:tc>
          <w:tcPr>
            <w:tcW w:w="394" w:type="dxa"/>
            <w:tcMar>
              <w:top w:w="72" w:type="dxa"/>
              <w:left w:w="144" w:type="dxa"/>
              <w:bottom w:w="72" w:type="dxa"/>
              <w:right w:w="144" w:type="dxa"/>
            </w:tcMar>
            <w:hideMark/>
          </w:tcPr>
          <w:p w14:paraId="6EB5CFE5" w14:textId="77777777" w:rsidR="00A12F8F" w:rsidRPr="00A12F8F" w:rsidRDefault="00A12F8F" w:rsidP="008177E0">
            <w:pPr>
              <w:suppressAutoHyphens w:val="0"/>
              <w:spacing w:before="0" w:line="240" w:lineRule="auto"/>
              <w:jc w:val="center"/>
              <w:rPr>
                <w:rFonts w:asciiTheme="minorHAnsi" w:hAnsiTheme="minorHAnsi" w:cstheme="minorHAnsi"/>
                <w:b/>
                <w:bCs/>
                <w:color w:val="7F7F7F"/>
                <w:kern w:val="24"/>
                <w:sz w:val="16"/>
                <w:szCs w:val="16"/>
              </w:rPr>
            </w:pPr>
            <w:r w:rsidRPr="00A12F8F">
              <w:rPr>
                <w:rFonts w:asciiTheme="minorHAnsi" w:hAnsiTheme="minorHAnsi" w:cstheme="minorHAnsi"/>
                <w:b/>
                <w:bCs/>
                <w:color w:val="767171" w:themeColor="background2" w:themeShade="80"/>
                <w:kern w:val="24"/>
                <w:sz w:val="16"/>
                <w:szCs w:val="16"/>
              </w:rPr>
              <w:t xml:space="preserve">+ </w:t>
            </w:r>
          </w:p>
        </w:tc>
        <w:tc>
          <w:tcPr>
            <w:tcW w:w="1036" w:type="dxa"/>
            <w:tcMar>
              <w:top w:w="72" w:type="dxa"/>
              <w:left w:w="144" w:type="dxa"/>
              <w:bottom w:w="72" w:type="dxa"/>
              <w:right w:w="144" w:type="dxa"/>
            </w:tcMar>
            <w:hideMark/>
          </w:tcPr>
          <w:p w14:paraId="4FF58105" w14:textId="77777777" w:rsidR="00A12F8F" w:rsidRPr="00A12F8F" w:rsidRDefault="00A12F8F" w:rsidP="008177E0">
            <w:pPr>
              <w:suppressAutoHyphens w:val="0"/>
              <w:spacing w:before="0" w:line="240" w:lineRule="auto"/>
              <w:jc w:val="center"/>
              <w:rPr>
                <w:rFonts w:asciiTheme="minorHAnsi" w:hAnsiTheme="minorHAnsi" w:cstheme="minorHAnsi"/>
                <w:b/>
                <w:bCs/>
                <w:color w:val="7F7F7F"/>
                <w:kern w:val="24"/>
                <w:sz w:val="16"/>
                <w:szCs w:val="16"/>
              </w:rPr>
            </w:pPr>
            <w:proofErr w:type="spellStart"/>
            <w:r w:rsidRPr="00A12F8F">
              <w:rPr>
                <w:rFonts w:asciiTheme="minorHAnsi" w:hAnsiTheme="minorHAnsi" w:cstheme="minorHAnsi"/>
                <w:b/>
                <w:bCs/>
                <w:color w:val="7F7F7F" w:themeColor="text1" w:themeTint="80"/>
                <w:kern w:val="24"/>
                <w:sz w:val="16"/>
                <w:szCs w:val="16"/>
              </w:rPr>
              <w:t>TapeS</w:t>
            </w:r>
            <w:proofErr w:type="spellEnd"/>
            <w:r w:rsidRPr="00A12F8F">
              <w:rPr>
                <w:rFonts w:asciiTheme="minorHAnsi" w:hAnsiTheme="minorHAnsi" w:cstheme="minorHAnsi"/>
                <w:b/>
                <w:bCs/>
                <w:color w:val="767171" w:themeColor="background2" w:themeShade="80"/>
                <w:kern w:val="24"/>
                <w:sz w:val="16"/>
                <w:szCs w:val="16"/>
              </w:rPr>
              <w:t xml:space="preserve"> </w:t>
            </w:r>
            <w:proofErr w:type="spellStart"/>
            <w:r w:rsidRPr="00A12F8F">
              <w:rPr>
                <w:rFonts w:asciiTheme="minorHAnsi" w:hAnsiTheme="minorHAnsi" w:cstheme="minorHAnsi"/>
                <w:b/>
                <w:bCs/>
                <w:color w:val="767171" w:themeColor="background2" w:themeShade="80"/>
                <w:kern w:val="24"/>
                <w:sz w:val="16"/>
                <w:szCs w:val="16"/>
              </w:rPr>
              <w:t>stbB</w:t>
            </w:r>
            <w:proofErr w:type="spellEnd"/>
          </w:p>
        </w:tc>
      </w:tr>
    </w:tbl>
    <w:p w14:paraId="077ECE99" w14:textId="30F61E34" w:rsidR="00E73BA3" w:rsidRDefault="00E73BA3" w:rsidP="00D16E43">
      <w:r>
        <w:t xml:space="preserve">Ein Vergleich der Biomasse </w:t>
      </w:r>
      <w:r w:rsidR="00D16E43">
        <w:t>in den</w:t>
      </w:r>
      <w:r>
        <w:t xml:space="preserve"> drei Methoden </w:t>
      </w:r>
      <w:r w:rsidR="00D16E43">
        <w:t xml:space="preserve">zeigte deutlich, dass die Funktionen von </w:t>
      </w:r>
      <w:proofErr w:type="spellStart"/>
      <w:r w:rsidR="00D16E43">
        <w:t>Vondernach</w:t>
      </w:r>
      <w:proofErr w:type="spellEnd"/>
      <w:r w:rsidR="00D16E43">
        <w:t xml:space="preserve"> die Biomasse deutlich überschätzen im Vergleich zu den Ergebnissen der BWI &amp; THG Funktionen. Dies würde im </w:t>
      </w:r>
      <w:proofErr w:type="spellStart"/>
      <w:r w:rsidR="00D16E43">
        <w:t>Verlgeich</w:t>
      </w:r>
      <w:proofErr w:type="spellEnd"/>
      <w:r w:rsidR="00D16E43">
        <w:t xml:space="preserve"> mit vorrangegangenen Kohlenstoffinventuren zu deutlichen Sprüngen im Vorrat geführt. Die Methode wurde damit verworfen. </w:t>
      </w:r>
      <w:r w:rsidR="00A12F8F">
        <w:t xml:space="preserve">Der Vergleich pro Plot bzw. pro Baumart pro Plot wird in den folgenden Graphiken dargestellt: </w:t>
      </w:r>
    </w:p>
    <w:p w14:paraId="4FB057FA" w14:textId="77777777" w:rsidR="00D16E43" w:rsidRDefault="00D16E43" w:rsidP="00E73BA3">
      <w:pPr>
        <w:pStyle w:val="Liste-1"/>
        <w:numPr>
          <w:ilvl w:val="0"/>
          <w:numId w:val="0"/>
        </w:numPr>
        <w:ind w:left="281" w:hanging="281"/>
      </w:pPr>
    </w:p>
    <w:p w14:paraId="2583DE7D" w14:textId="63A7126D" w:rsidR="00D16E43" w:rsidRDefault="00D16E43" w:rsidP="00E73BA3">
      <w:pPr>
        <w:pStyle w:val="Liste-1"/>
        <w:numPr>
          <w:ilvl w:val="0"/>
          <w:numId w:val="0"/>
        </w:numPr>
        <w:ind w:left="281" w:hanging="281"/>
      </w:pPr>
      <w:r>
        <w:rPr>
          <w:noProof/>
        </w:rPr>
        <w:lastRenderedPageBreak/>
        <w:drawing>
          <wp:inline distT="0" distB="0" distL="0" distR="0" wp14:anchorId="009002CE" wp14:editId="40F5EB8B">
            <wp:extent cx="6052185" cy="3011805"/>
            <wp:effectExtent l="0" t="0" r="5715"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52185" cy="3011805"/>
                    </a:xfrm>
                    <a:prstGeom prst="rect">
                      <a:avLst/>
                    </a:prstGeom>
                  </pic:spPr>
                </pic:pic>
              </a:graphicData>
            </a:graphic>
          </wp:inline>
        </w:drawing>
      </w:r>
    </w:p>
    <w:p w14:paraId="1B7ACCFF" w14:textId="4A731B5A" w:rsidR="00B64EE5" w:rsidRDefault="00B64EE5" w:rsidP="00E73BA3">
      <w:pPr>
        <w:pStyle w:val="Liste-1"/>
        <w:numPr>
          <w:ilvl w:val="0"/>
          <w:numId w:val="0"/>
        </w:numPr>
        <w:ind w:left="281" w:hanging="281"/>
      </w:pPr>
      <w:r>
        <w:rPr>
          <w:noProof/>
        </w:rPr>
        <w:drawing>
          <wp:inline distT="0" distB="0" distL="0" distR="0" wp14:anchorId="3CED2888" wp14:editId="1ECE992E">
            <wp:extent cx="6052185" cy="3011805"/>
            <wp:effectExtent l="0" t="0" r="5715"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52185" cy="3011805"/>
                    </a:xfrm>
                    <a:prstGeom prst="rect">
                      <a:avLst/>
                    </a:prstGeom>
                  </pic:spPr>
                </pic:pic>
              </a:graphicData>
            </a:graphic>
          </wp:inline>
        </w:drawing>
      </w:r>
    </w:p>
    <w:p w14:paraId="105B12A4" w14:textId="77777777" w:rsidR="00F72DA0" w:rsidRPr="00E33A6F" w:rsidRDefault="00F72DA0" w:rsidP="00F72DA0">
      <w:pPr>
        <w:pStyle w:val="Listenabsatz"/>
        <w:spacing w:before="100" w:beforeAutospacing="1" w:after="142" w:line="276" w:lineRule="auto"/>
        <w:ind w:left="848"/>
        <w:rPr>
          <w:rStyle w:val="Hyperlink"/>
          <w:rFonts w:asciiTheme="minorHAnsi" w:hAnsiTheme="minorHAnsi" w:cstheme="minorHAnsi"/>
          <w:color w:val="000000"/>
        </w:rPr>
      </w:pPr>
    </w:p>
    <w:p w14:paraId="308F6767" w14:textId="528B25B4" w:rsidR="00126A26" w:rsidRDefault="00126A26" w:rsidP="00126A26">
      <w:pPr>
        <w:pStyle w:val="Liste-1"/>
        <w:numPr>
          <w:ilvl w:val="0"/>
          <w:numId w:val="0"/>
        </w:numPr>
        <w:ind w:left="281" w:hanging="281"/>
      </w:pPr>
    </w:p>
    <w:p w14:paraId="0030B4DC" w14:textId="77777777" w:rsidR="00126A26" w:rsidRDefault="00126A26" w:rsidP="00126A26">
      <w:pPr>
        <w:pStyle w:val="Liste-1"/>
        <w:numPr>
          <w:ilvl w:val="0"/>
          <w:numId w:val="0"/>
        </w:numPr>
        <w:ind w:left="564"/>
      </w:pPr>
    </w:p>
    <w:p w14:paraId="04D11C8B" w14:textId="2C509A29" w:rsidR="004431DE" w:rsidRDefault="001A172F" w:rsidP="009355AE">
      <w:r>
        <w:rPr>
          <w:noProof/>
        </w:rPr>
        <w:lastRenderedPageBreak/>
        <w:drawing>
          <wp:inline distT="0" distB="0" distL="0" distR="0" wp14:anchorId="43534F08" wp14:editId="104E70F8">
            <wp:extent cx="6052185" cy="3011805"/>
            <wp:effectExtent l="0" t="0" r="5715"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52185" cy="3011805"/>
                    </a:xfrm>
                    <a:prstGeom prst="rect">
                      <a:avLst/>
                    </a:prstGeom>
                  </pic:spPr>
                </pic:pic>
              </a:graphicData>
            </a:graphic>
          </wp:inline>
        </w:drawing>
      </w:r>
    </w:p>
    <w:p w14:paraId="0667BD7F" w14:textId="54DD7086" w:rsidR="00A572BD" w:rsidRDefault="001A172F" w:rsidP="009355AE">
      <w:r>
        <w:t xml:space="preserve">Demnach blieb </w:t>
      </w:r>
      <w:proofErr w:type="gramStart"/>
      <w:r>
        <w:t>der genauer Vergleich</w:t>
      </w:r>
      <w:proofErr w:type="gramEnd"/>
      <w:r>
        <w:t xml:space="preserve"> zwischen vollständiger Kompartimentierung durch TapeS und schrittweise nachträglicher Kompartimentierung durch BWI&amp;THG und TapeS. </w:t>
      </w:r>
    </w:p>
    <w:p w14:paraId="4E32B825" w14:textId="0ACF39C3" w:rsidR="00A572BD" w:rsidRDefault="00A572BD" w:rsidP="009355AE">
      <w:r>
        <w:rPr>
          <w:noProof/>
        </w:rPr>
        <w:drawing>
          <wp:inline distT="0" distB="0" distL="0" distR="0" wp14:anchorId="4AE7AAE8" wp14:editId="3462480F">
            <wp:extent cx="6052185" cy="3011805"/>
            <wp:effectExtent l="0" t="0" r="5715"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52185" cy="3011805"/>
                    </a:xfrm>
                    <a:prstGeom prst="rect">
                      <a:avLst/>
                    </a:prstGeom>
                  </pic:spPr>
                </pic:pic>
              </a:graphicData>
            </a:graphic>
          </wp:inline>
        </w:drawing>
      </w:r>
    </w:p>
    <w:p w14:paraId="7E32283D" w14:textId="3F324401" w:rsidR="001A172F" w:rsidRDefault="00AF1F69" w:rsidP="009355AE">
      <w:r>
        <w:t xml:space="preserve">Vor- und Nachteile </w:t>
      </w:r>
      <w:proofErr w:type="gramStart"/>
      <w:r>
        <w:t>des jeweiligen Ansatz</w:t>
      </w:r>
      <w:proofErr w:type="gramEnd"/>
      <w:r>
        <w:t xml:space="preserve"> werden in der folgenden Tabelle aufgelistet: </w:t>
      </w:r>
    </w:p>
    <w:tbl>
      <w:tblPr>
        <w:tblStyle w:val="Tabellenraster"/>
        <w:tblW w:w="9827" w:type="dxa"/>
        <w:tblLook w:val="04A0" w:firstRow="1" w:lastRow="0" w:firstColumn="1" w:lastColumn="0" w:noHBand="0" w:noVBand="1"/>
      </w:tblPr>
      <w:tblGrid>
        <w:gridCol w:w="1079"/>
        <w:gridCol w:w="4161"/>
        <w:gridCol w:w="4587"/>
      </w:tblGrid>
      <w:tr w:rsidR="008177E0" w14:paraId="4E0C10CF" w14:textId="77777777" w:rsidTr="001D0D18">
        <w:trPr>
          <w:trHeight w:val="404"/>
        </w:trPr>
        <w:tc>
          <w:tcPr>
            <w:tcW w:w="1079" w:type="dxa"/>
          </w:tcPr>
          <w:p w14:paraId="6ABFD1AD" w14:textId="77777777" w:rsidR="008177E0" w:rsidRDefault="008177E0" w:rsidP="009355AE"/>
        </w:tc>
        <w:tc>
          <w:tcPr>
            <w:tcW w:w="4161" w:type="dxa"/>
          </w:tcPr>
          <w:p w14:paraId="5BDBCE96" w14:textId="2C8DECEE" w:rsidR="008177E0" w:rsidRDefault="00E1083E" w:rsidP="00E1083E">
            <w:pPr>
              <w:ind w:firstLine="708"/>
            </w:pPr>
            <w:r>
              <w:t xml:space="preserve">Vorteile </w:t>
            </w:r>
          </w:p>
        </w:tc>
        <w:tc>
          <w:tcPr>
            <w:tcW w:w="4587" w:type="dxa"/>
          </w:tcPr>
          <w:p w14:paraId="1A912A2F" w14:textId="435C3453" w:rsidR="008177E0" w:rsidRDefault="00E1083E" w:rsidP="009355AE">
            <w:r>
              <w:t>Nachteile</w:t>
            </w:r>
          </w:p>
        </w:tc>
      </w:tr>
      <w:tr w:rsidR="008177E0" w14:paraId="5AD00BE2" w14:textId="77777777" w:rsidTr="001D0D18">
        <w:trPr>
          <w:trHeight w:val="841"/>
        </w:trPr>
        <w:tc>
          <w:tcPr>
            <w:tcW w:w="1079" w:type="dxa"/>
          </w:tcPr>
          <w:p w14:paraId="3FEDB6D5" w14:textId="1238E64C" w:rsidR="008177E0" w:rsidRDefault="00E1083E" w:rsidP="009355AE">
            <w:r>
              <w:t>BWI&amp;THG und TapeS</w:t>
            </w:r>
          </w:p>
        </w:tc>
        <w:tc>
          <w:tcPr>
            <w:tcW w:w="4161" w:type="dxa"/>
          </w:tcPr>
          <w:p w14:paraId="186CAE30" w14:textId="77777777" w:rsidR="00E1083E" w:rsidRDefault="005650FF" w:rsidP="00E1083E">
            <w:pPr>
              <w:pStyle w:val="Liste-1"/>
            </w:pPr>
            <w:r w:rsidRPr="00E1083E">
              <w:t>Geringste Unterschiede in der Berechnung der Gesamtbiomasse bestehen zwischen GHGI &amp; TapeS</w:t>
            </w:r>
          </w:p>
          <w:p w14:paraId="06AAC6E7" w14:textId="348DB8D1" w:rsidR="00D12D78" w:rsidRPr="00E1083E" w:rsidRDefault="005650FF" w:rsidP="001D0D18">
            <w:pPr>
              <w:pStyle w:val="Liste-1"/>
              <w:numPr>
                <w:ilvl w:val="0"/>
                <w:numId w:val="25"/>
              </w:numPr>
            </w:pPr>
            <w:r w:rsidRPr="00E1083E">
              <w:t>Prinzipiell ist schrittweise Berechnung der Kompartiment Biomasse über GHGI Funktionen &amp; TapeS möglich</w:t>
            </w:r>
          </w:p>
          <w:p w14:paraId="1D8BD6DB" w14:textId="242E67C5" w:rsidR="008177E0" w:rsidRDefault="005650FF" w:rsidP="001D0D18">
            <w:pPr>
              <w:pStyle w:val="Liste-1"/>
            </w:pPr>
            <w:r w:rsidRPr="00E1083E">
              <w:lastRenderedPageBreak/>
              <w:t>Vergleichbarkeit der Gesamtbiomasse &amp; Kohlenstoffgehalte mit anderen GHGI bleibt</w:t>
            </w:r>
          </w:p>
        </w:tc>
        <w:tc>
          <w:tcPr>
            <w:tcW w:w="4587" w:type="dxa"/>
          </w:tcPr>
          <w:p w14:paraId="2806F642" w14:textId="4147B3AD" w:rsidR="00E1083E" w:rsidRDefault="00E1083E" w:rsidP="00E1083E">
            <w:pPr>
              <w:pStyle w:val="Liste-1"/>
            </w:pPr>
            <w:r w:rsidRPr="00E1083E">
              <w:lastRenderedPageBreak/>
              <w:t xml:space="preserve">Ein Kompartiment wird dabei systematisch unterschätzt („Rest“) </w:t>
            </w:r>
          </w:p>
          <w:p w14:paraId="7533A034" w14:textId="77777777" w:rsidR="00E1083E" w:rsidRPr="00E1083E" w:rsidRDefault="00E1083E" w:rsidP="00E1083E">
            <w:pPr>
              <w:pStyle w:val="Liste-1"/>
            </w:pPr>
            <w:r w:rsidRPr="00E1083E">
              <w:t>für einzelne kleindimensionierte Bäume bleiben negative Derbholzmassen</w:t>
            </w:r>
          </w:p>
          <w:p w14:paraId="76C4C12C" w14:textId="77777777" w:rsidR="00E1083E" w:rsidRPr="00E1083E" w:rsidRDefault="00E1083E" w:rsidP="00E1083E">
            <w:pPr>
              <w:pStyle w:val="Liste-1"/>
              <w:numPr>
                <w:ilvl w:val="0"/>
                <w:numId w:val="0"/>
              </w:numPr>
              <w:ind w:left="281" w:hanging="281"/>
            </w:pPr>
          </w:p>
          <w:p w14:paraId="18BE625B" w14:textId="77777777" w:rsidR="008177E0" w:rsidRDefault="008177E0" w:rsidP="009355AE"/>
        </w:tc>
      </w:tr>
      <w:tr w:rsidR="008177E0" w14:paraId="0ED79EF9" w14:textId="77777777" w:rsidTr="001D0D18">
        <w:trPr>
          <w:trHeight w:val="2461"/>
        </w:trPr>
        <w:tc>
          <w:tcPr>
            <w:tcW w:w="1079" w:type="dxa"/>
          </w:tcPr>
          <w:p w14:paraId="7A64BA3C" w14:textId="1C415A7B" w:rsidR="008177E0" w:rsidRDefault="00E1083E" w:rsidP="009355AE">
            <w:r>
              <w:t>TapeS</w:t>
            </w:r>
          </w:p>
        </w:tc>
        <w:tc>
          <w:tcPr>
            <w:tcW w:w="4161" w:type="dxa"/>
          </w:tcPr>
          <w:p w14:paraId="5A552754" w14:textId="248B9E62" w:rsidR="001D0D18" w:rsidRPr="001D0D18" w:rsidRDefault="005650FF" w:rsidP="001D0D18">
            <w:pPr>
              <w:pStyle w:val="Liste-1"/>
            </w:pPr>
            <w:r w:rsidRPr="001D0D18">
              <w:t>Sieht mehr Artengruppen vor</w:t>
            </w:r>
            <w:r w:rsidR="001D0D18">
              <w:t xml:space="preserve">, daher </w:t>
            </w:r>
            <w:r w:rsidR="001D0D18" w:rsidRPr="001D0D18">
              <w:t>Berechnung evtl. genauer</w:t>
            </w:r>
          </w:p>
          <w:p w14:paraId="37FCA037" w14:textId="77777777" w:rsidR="001D0D18" w:rsidRDefault="005650FF" w:rsidP="001D0D18">
            <w:pPr>
              <w:pStyle w:val="Liste-1"/>
            </w:pPr>
            <w:r w:rsidRPr="001D0D18">
              <w:t xml:space="preserve">Nächste GHGI &amp; BWI werden mit TapeS ausgewertet </w:t>
            </w:r>
          </w:p>
          <w:p w14:paraId="2384FAEF" w14:textId="77777777" w:rsidR="008177E0" w:rsidRDefault="005650FF" w:rsidP="001D0D18">
            <w:pPr>
              <w:pStyle w:val="Liste-1"/>
              <w:numPr>
                <w:ilvl w:val="0"/>
                <w:numId w:val="25"/>
              </w:numPr>
            </w:pPr>
            <w:r w:rsidRPr="001D0D18">
              <w:t>Vergleichbarkeit mit zukünftigen C- &amp; N-Inventuren gegeben</w:t>
            </w:r>
          </w:p>
          <w:p w14:paraId="05498789" w14:textId="1BB85867" w:rsidR="001D0D18" w:rsidRDefault="001D0D18" w:rsidP="001D0D18">
            <w:pPr>
              <w:pStyle w:val="Liste-1"/>
              <w:numPr>
                <w:ilvl w:val="0"/>
                <w:numId w:val="0"/>
              </w:numPr>
              <w:ind w:left="281" w:hanging="281"/>
            </w:pPr>
          </w:p>
        </w:tc>
        <w:tc>
          <w:tcPr>
            <w:tcW w:w="4587" w:type="dxa"/>
          </w:tcPr>
          <w:p w14:paraId="6326119D" w14:textId="77777777" w:rsidR="001D0D18" w:rsidRPr="001D0D18" w:rsidRDefault="001D0D18" w:rsidP="001D0D18">
            <w:pPr>
              <w:pStyle w:val="Liste-1"/>
            </w:pPr>
            <w:r w:rsidRPr="001D0D18">
              <w:t>Vergleichbarkeit mit Vergangen GHGI &amp; BWI eingeschränkt</w:t>
            </w:r>
          </w:p>
          <w:p w14:paraId="032EF85B" w14:textId="16AE91BB" w:rsidR="001D0D18" w:rsidRDefault="001D0D18" w:rsidP="001D0D18">
            <w:pPr>
              <w:pStyle w:val="Liste-1"/>
            </w:pPr>
            <w:r w:rsidRPr="001D0D18">
              <w:t>Auswertungsalgorithmus ist</w:t>
            </w:r>
            <w:r>
              <w:t xml:space="preserve"> </w:t>
            </w:r>
            <w:r w:rsidRPr="001D0D18">
              <w:t xml:space="preserve">abhängig von </w:t>
            </w:r>
            <w:proofErr w:type="spellStart"/>
            <w:r w:rsidRPr="001D0D18">
              <w:t>TapeS</w:t>
            </w:r>
            <w:proofErr w:type="spellEnd"/>
            <w:r w:rsidRPr="001D0D18">
              <w:t xml:space="preserve"> </w:t>
            </w:r>
            <w:proofErr w:type="spellStart"/>
            <w:r w:rsidRPr="001D0D18">
              <w:t>package</w:t>
            </w:r>
            <w:proofErr w:type="spellEnd"/>
            <w:r w:rsidRPr="001D0D18">
              <w:t xml:space="preserve"> </w:t>
            </w:r>
          </w:p>
          <w:p w14:paraId="70E1506F" w14:textId="4F210B80" w:rsidR="008177E0" w:rsidRDefault="001D0D18" w:rsidP="001D0D18">
            <w:pPr>
              <w:pStyle w:val="Liste-1"/>
            </w:pPr>
            <w:r>
              <w:t xml:space="preserve">Einheitlichkeit der Berechnung eingeschränkt, da </w:t>
            </w:r>
            <w:r w:rsidRPr="001D0D18">
              <w:t>Verjüngung</w:t>
            </w:r>
            <w:r>
              <w:t xml:space="preserve"> und unterirdische Biomasse weiterhin mit BWI&amp;THGI</w:t>
            </w:r>
            <w:r w:rsidRPr="001D0D18">
              <w:t xml:space="preserve"> Funktionen berechnet</w:t>
            </w:r>
            <w:r>
              <w:t xml:space="preserve"> werden</w:t>
            </w:r>
            <w:r w:rsidRPr="001D0D18">
              <w:t xml:space="preserve"> </w:t>
            </w:r>
          </w:p>
        </w:tc>
      </w:tr>
    </w:tbl>
    <w:p w14:paraId="77351F12" w14:textId="391DE986" w:rsidR="00055B48" w:rsidRPr="00687919" w:rsidRDefault="002426B5" w:rsidP="00055B48">
      <w:pPr>
        <w:rPr>
          <w:rFonts w:asciiTheme="minorHAnsi" w:hAnsiTheme="minorHAnsi" w:cstheme="minorHAnsi"/>
        </w:rPr>
      </w:pPr>
      <w:r>
        <w:t>N</w:t>
      </w:r>
      <w:r w:rsidR="00055B48" w:rsidRPr="00687919">
        <w:rPr>
          <w:rFonts w:asciiTheme="minorHAnsi" w:hAnsiTheme="minorHAnsi" w:cstheme="minorHAnsi"/>
        </w:rPr>
        <w:t>ach</w:t>
      </w:r>
      <w:r w:rsidR="007B1B06">
        <w:rPr>
          <w:rFonts w:asciiTheme="minorHAnsi" w:hAnsiTheme="minorHAnsi" w:cstheme="minorHAnsi"/>
        </w:rPr>
        <w:t xml:space="preserve"> </w:t>
      </w:r>
      <w:r>
        <w:rPr>
          <w:rFonts w:asciiTheme="minorHAnsi" w:hAnsiTheme="minorHAnsi" w:cstheme="minorHAnsi"/>
        </w:rPr>
        <w:t>genaueren Vergleichen der Biomasse in den beiden Berechnungsmethoden und unter</w:t>
      </w:r>
      <w:r w:rsidR="00055B48">
        <w:rPr>
          <w:rFonts w:asciiTheme="minorHAnsi" w:hAnsiTheme="minorHAnsi" w:cstheme="minorHAnsi"/>
        </w:rPr>
        <w:t xml:space="preserve"> </w:t>
      </w:r>
      <w:r w:rsidR="00055B48" w:rsidRPr="00687919">
        <w:rPr>
          <w:rFonts w:asciiTheme="minorHAnsi" w:hAnsiTheme="minorHAnsi" w:cstheme="minorHAnsi"/>
        </w:rPr>
        <w:t xml:space="preserve">Rücksprache mit Nicole Wellbrock und dem </w:t>
      </w:r>
      <w:proofErr w:type="spellStart"/>
      <w:r w:rsidR="00055B48" w:rsidRPr="00687919">
        <w:rPr>
          <w:rFonts w:asciiTheme="minorHAnsi" w:hAnsiTheme="minorHAnsi" w:cstheme="minorHAnsi"/>
        </w:rPr>
        <w:t>Momok</w:t>
      </w:r>
      <w:proofErr w:type="spellEnd"/>
      <w:r w:rsidR="00055B48" w:rsidRPr="00687919">
        <w:rPr>
          <w:rFonts w:asciiTheme="minorHAnsi" w:hAnsiTheme="minorHAnsi" w:cstheme="minorHAnsi"/>
        </w:rPr>
        <w:t xml:space="preserve"> Team </w:t>
      </w:r>
      <w:r>
        <w:rPr>
          <w:rFonts w:asciiTheme="minorHAnsi" w:hAnsiTheme="minorHAnsi" w:cstheme="minorHAnsi"/>
        </w:rPr>
        <w:t xml:space="preserve">wurde sich schlussendlich für die vollständige eine </w:t>
      </w:r>
      <w:proofErr w:type="spellStart"/>
      <w:r w:rsidR="00055B48" w:rsidRPr="00687919">
        <w:rPr>
          <w:rFonts w:asciiTheme="minorHAnsi" w:hAnsiTheme="minorHAnsi" w:cstheme="minorHAnsi"/>
        </w:rPr>
        <w:t>Biomassene</w:t>
      </w:r>
      <w:r w:rsidR="00771882">
        <w:rPr>
          <w:rFonts w:asciiTheme="minorHAnsi" w:hAnsiTheme="minorHAnsi" w:cstheme="minorHAnsi"/>
        </w:rPr>
        <w:t>n</w:t>
      </w:r>
      <w:r w:rsidR="00055B48" w:rsidRPr="00687919">
        <w:rPr>
          <w:rFonts w:asciiTheme="minorHAnsi" w:hAnsiTheme="minorHAnsi" w:cstheme="minorHAnsi"/>
        </w:rPr>
        <w:t>brechnung</w:t>
      </w:r>
      <w:proofErr w:type="spellEnd"/>
      <w:r w:rsidR="00055B48" w:rsidRPr="00687919">
        <w:rPr>
          <w:rFonts w:asciiTheme="minorHAnsi" w:hAnsiTheme="minorHAnsi" w:cstheme="minorHAnsi"/>
        </w:rPr>
        <w:t xml:space="preserve"> sowie die Kompartimentierung </w:t>
      </w:r>
      <w:r>
        <w:rPr>
          <w:rFonts w:asciiTheme="minorHAnsi" w:hAnsiTheme="minorHAnsi" w:cstheme="minorHAnsi"/>
        </w:rPr>
        <w:t>über</w:t>
      </w:r>
      <w:r w:rsidR="00055B48" w:rsidRPr="00687919">
        <w:rPr>
          <w:rFonts w:asciiTheme="minorHAnsi" w:hAnsiTheme="minorHAnsi" w:cstheme="minorHAnsi"/>
        </w:rPr>
        <w:t xml:space="preserve"> TapeS </w:t>
      </w:r>
      <w:r>
        <w:rPr>
          <w:rFonts w:asciiTheme="minorHAnsi" w:hAnsiTheme="minorHAnsi" w:cstheme="minorHAnsi"/>
        </w:rPr>
        <w:t>entschieden</w:t>
      </w:r>
      <w:r w:rsidR="00055B48" w:rsidRPr="00687919">
        <w:rPr>
          <w:rFonts w:asciiTheme="minorHAnsi" w:hAnsiTheme="minorHAnsi" w:cstheme="minorHAnsi"/>
        </w:rPr>
        <w:t>. Ein Kombinierter Ansatz wie</w:t>
      </w:r>
      <w:r>
        <w:rPr>
          <w:rFonts w:asciiTheme="minorHAnsi" w:hAnsiTheme="minorHAnsi" w:cstheme="minorHAnsi"/>
        </w:rPr>
        <w:t xml:space="preserve"> </w:t>
      </w:r>
      <w:proofErr w:type="gramStart"/>
      <w:r w:rsidR="00055B48" w:rsidRPr="00687919">
        <w:rPr>
          <w:rFonts w:asciiTheme="minorHAnsi" w:hAnsiTheme="minorHAnsi" w:cstheme="minorHAnsi"/>
        </w:rPr>
        <w:t>aus  GHGI</w:t>
      </w:r>
      <w:proofErr w:type="gramEnd"/>
      <w:r w:rsidR="00055B48" w:rsidRPr="00687919">
        <w:rPr>
          <w:rFonts w:asciiTheme="minorHAnsi" w:hAnsiTheme="minorHAnsi" w:cstheme="minorHAnsi"/>
        </w:rPr>
        <w:t xml:space="preserve"> Formeln für die </w:t>
      </w:r>
      <w:r w:rsidRPr="00687919">
        <w:rPr>
          <w:rFonts w:asciiTheme="minorHAnsi" w:hAnsiTheme="minorHAnsi" w:cstheme="minorHAnsi"/>
        </w:rPr>
        <w:t>gesamte</w:t>
      </w:r>
      <w:r w:rsidR="00055B48" w:rsidRPr="00687919">
        <w:rPr>
          <w:rFonts w:asciiTheme="minorHAnsi" w:hAnsiTheme="minorHAnsi" w:cstheme="minorHAnsi"/>
        </w:rPr>
        <w:t xml:space="preserve"> Biomasse und TapeS </w:t>
      </w:r>
      <w:r w:rsidRPr="00687919">
        <w:rPr>
          <w:rFonts w:asciiTheme="minorHAnsi" w:hAnsiTheme="minorHAnsi" w:cstheme="minorHAnsi"/>
        </w:rPr>
        <w:t>Kompartimenten</w:t>
      </w:r>
      <w:r w:rsidR="00055B48" w:rsidRPr="00687919">
        <w:rPr>
          <w:rFonts w:asciiTheme="minorHAnsi" w:hAnsiTheme="minorHAnsi" w:cstheme="minorHAnsi"/>
        </w:rPr>
        <w:t xml:space="preserve"> wird nicht angewendet </w:t>
      </w:r>
    </w:p>
    <w:p w14:paraId="3B8BA491" w14:textId="68F3BFAA" w:rsidR="00055B48" w:rsidRPr="00213C88" w:rsidRDefault="00055B48" w:rsidP="00055B48">
      <w:pPr>
        <w:rPr>
          <w:rFonts w:asciiTheme="minorHAnsi" w:hAnsiTheme="minorHAnsi" w:cstheme="minorHAnsi"/>
        </w:rPr>
      </w:pPr>
      <w:r w:rsidRPr="00687919">
        <w:rPr>
          <w:rFonts w:asciiTheme="minorHAnsi" w:hAnsiTheme="minorHAnsi" w:cstheme="minorHAnsi"/>
        </w:rPr>
        <w:t xml:space="preserve">Die Biomasse von </w:t>
      </w:r>
      <w:r w:rsidR="002426B5">
        <w:rPr>
          <w:rFonts w:asciiTheme="minorHAnsi" w:hAnsiTheme="minorHAnsi" w:cstheme="minorHAnsi"/>
        </w:rPr>
        <w:t>Bäumen</w:t>
      </w:r>
      <w:r w:rsidRPr="00687919">
        <w:rPr>
          <w:rFonts w:asciiTheme="minorHAnsi" w:hAnsiTheme="minorHAnsi" w:cstheme="minorHAnsi"/>
        </w:rPr>
        <w:t xml:space="preserve"> der </w:t>
      </w:r>
      <w:r w:rsidR="002426B5" w:rsidRPr="00687919">
        <w:rPr>
          <w:rFonts w:asciiTheme="minorHAnsi" w:hAnsiTheme="minorHAnsi" w:cstheme="minorHAnsi"/>
        </w:rPr>
        <w:t>Verjüngung</w:t>
      </w:r>
      <w:r w:rsidRPr="00687919">
        <w:rPr>
          <w:rFonts w:asciiTheme="minorHAnsi" w:hAnsiTheme="minorHAnsi" w:cstheme="minorHAnsi"/>
        </w:rPr>
        <w:t xml:space="preserve"> </w:t>
      </w:r>
      <w:r w:rsidR="002426B5">
        <w:rPr>
          <w:rFonts w:asciiTheme="minorHAnsi" w:hAnsiTheme="minorHAnsi" w:cstheme="minorHAnsi"/>
        </w:rPr>
        <w:t xml:space="preserve">mit einer Höhe unter 1.3m sowie die Biomasse </w:t>
      </w:r>
      <w:r w:rsidRPr="00687919">
        <w:rPr>
          <w:rFonts w:asciiTheme="minorHAnsi" w:hAnsiTheme="minorHAnsi" w:cstheme="minorHAnsi"/>
        </w:rPr>
        <w:t xml:space="preserve">des Totholzes, ebenso wie die unterirdische Biomasse des </w:t>
      </w:r>
      <w:r w:rsidR="002426B5" w:rsidRPr="00687919">
        <w:rPr>
          <w:rFonts w:asciiTheme="minorHAnsi" w:hAnsiTheme="minorHAnsi" w:cstheme="minorHAnsi"/>
        </w:rPr>
        <w:t>L</w:t>
      </w:r>
      <w:r w:rsidR="002426B5">
        <w:rPr>
          <w:rFonts w:asciiTheme="minorHAnsi" w:hAnsiTheme="minorHAnsi" w:cstheme="minorHAnsi"/>
        </w:rPr>
        <w:t>e</w:t>
      </w:r>
      <w:r w:rsidR="002426B5" w:rsidRPr="00687919">
        <w:rPr>
          <w:rFonts w:asciiTheme="minorHAnsi" w:hAnsiTheme="minorHAnsi" w:cstheme="minorHAnsi"/>
        </w:rPr>
        <w:t>benden</w:t>
      </w:r>
      <w:r w:rsidRPr="00687919">
        <w:rPr>
          <w:rFonts w:asciiTheme="minorHAnsi" w:hAnsiTheme="minorHAnsi" w:cstheme="minorHAnsi"/>
        </w:rPr>
        <w:t xml:space="preserve"> Altbestandes </w:t>
      </w:r>
      <w:proofErr w:type="spellStart"/>
      <w:r w:rsidRPr="00687919">
        <w:rPr>
          <w:rFonts w:asciiTheme="minorHAnsi" w:hAnsiTheme="minorHAnsi" w:cstheme="minorHAnsi"/>
        </w:rPr>
        <w:t>un</w:t>
      </w:r>
      <w:proofErr w:type="spellEnd"/>
      <w:r w:rsidRPr="00687919">
        <w:rPr>
          <w:rFonts w:asciiTheme="minorHAnsi" w:hAnsiTheme="minorHAnsi" w:cstheme="minorHAnsi"/>
        </w:rPr>
        <w:t xml:space="preserve"> der </w:t>
      </w:r>
      <w:r w:rsidR="002426B5" w:rsidRPr="00687919">
        <w:rPr>
          <w:rFonts w:asciiTheme="minorHAnsi" w:hAnsiTheme="minorHAnsi" w:cstheme="minorHAnsi"/>
        </w:rPr>
        <w:t>Verjüngung</w:t>
      </w:r>
      <w:r w:rsidRPr="00687919">
        <w:rPr>
          <w:rFonts w:asciiTheme="minorHAnsi" w:hAnsiTheme="minorHAnsi" w:cstheme="minorHAnsi"/>
        </w:rPr>
        <w:t xml:space="preserve"> über 1.3m Höhe werden jedoch weiterhin über </w:t>
      </w:r>
      <w:r w:rsidR="002426B5">
        <w:rPr>
          <w:rFonts w:asciiTheme="minorHAnsi" w:hAnsiTheme="minorHAnsi" w:cstheme="minorHAnsi"/>
        </w:rPr>
        <w:t>BWI&amp;THGI</w:t>
      </w:r>
      <w:r w:rsidRPr="00687919">
        <w:rPr>
          <w:rFonts w:asciiTheme="minorHAnsi" w:hAnsiTheme="minorHAnsi" w:cstheme="minorHAnsi"/>
        </w:rPr>
        <w:t xml:space="preserve"> </w:t>
      </w:r>
      <w:r w:rsidR="002426B5" w:rsidRPr="00687919">
        <w:rPr>
          <w:rFonts w:asciiTheme="minorHAnsi" w:hAnsiTheme="minorHAnsi" w:cstheme="minorHAnsi"/>
        </w:rPr>
        <w:t>Formeln</w:t>
      </w:r>
      <w:r w:rsidRPr="00687919">
        <w:rPr>
          <w:rFonts w:asciiTheme="minorHAnsi" w:hAnsiTheme="minorHAnsi" w:cstheme="minorHAnsi"/>
        </w:rPr>
        <w:t xml:space="preserve"> </w:t>
      </w:r>
      <w:r w:rsidR="002426B5">
        <w:rPr>
          <w:rFonts w:asciiTheme="minorHAnsi" w:hAnsiTheme="minorHAnsi" w:cstheme="minorHAnsi"/>
        </w:rPr>
        <w:t>s</w:t>
      </w:r>
      <w:r w:rsidRPr="00687919">
        <w:rPr>
          <w:rFonts w:asciiTheme="minorHAnsi" w:hAnsiTheme="minorHAnsi" w:cstheme="minorHAnsi"/>
        </w:rPr>
        <w:t xml:space="preserve">tattfinden, da es für die </w:t>
      </w:r>
      <w:r w:rsidR="002426B5" w:rsidRPr="00687919">
        <w:rPr>
          <w:rFonts w:asciiTheme="minorHAnsi" w:hAnsiTheme="minorHAnsi" w:cstheme="minorHAnsi"/>
        </w:rPr>
        <w:t>genannten</w:t>
      </w:r>
      <w:r w:rsidRPr="00687919">
        <w:rPr>
          <w:rFonts w:asciiTheme="minorHAnsi" w:hAnsiTheme="minorHAnsi" w:cstheme="minorHAnsi"/>
        </w:rPr>
        <w:t xml:space="preserve"> </w:t>
      </w:r>
      <w:r w:rsidR="002426B5" w:rsidRPr="00687919">
        <w:rPr>
          <w:rFonts w:asciiTheme="minorHAnsi" w:hAnsiTheme="minorHAnsi" w:cstheme="minorHAnsi"/>
        </w:rPr>
        <w:t>Bestandes Komponenten</w:t>
      </w:r>
      <w:r w:rsidRPr="00687919">
        <w:rPr>
          <w:rFonts w:asciiTheme="minorHAnsi" w:hAnsiTheme="minorHAnsi" w:cstheme="minorHAnsi"/>
        </w:rPr>
        <w:t xml:space="preserve"> keine </w:t>
      </w:r>
      <w:r w:rsidR="002426B5" w:rsidRPr="00687919">
        <w:rPr>
          <w:rFonts w:asciiTheme="minorHAnsi" w:hAnsiTheme="minorHAnsi" w:cstheme="minorHAnsi"/>
        </w:rPr>
        <w:t>Funktionen</w:t>
      </w:r>
      <w:r w:rsidRPr="00687919">
        <w:rPr>
          <w:rFonts w:asciiTheme="minorHAnsi" w:hAnsiTheme="minorHAnsi" w:cstheme="minorHAnsi"/>
        </w:rPr>
        <w:t xml:space="preserve"> in TapeS gibt. </w:t>
      </w:r>
    </w:p>
    <w:p w14:paraId="4AC8DAEE" w14:textId="77777777" w:rsidR="004E200E" w:rsidRPr="00E33A6F" w:rsidRDefault="004E200E" w:rsidP="001D0D18">
      <w:pPr>
        <w:pStyle w:val="berschrift3"/>
        <w:numPr>
          <w:ilvl w:val="2"/>
          <w:numId w:val="9"/>
        </w:numPr>
        <w:rPr>
          <w:rFonts w:asciiTheme="minorHAnsi" w:hAnsiTheme="minorHAnsi" w:cstheme="minorHAnsi"/>
        </w:rPr>
      </w:pPr>
      <w:bookmarkStart w:id="3" w:name="_Ref136430117"/>
      <w:bookmarkStart w:id="4" w:name="_Toc137711750"/>
      <w:r w:rsidRPr="00687919">
        <w:rPr>
          <w:rFonts w:asciiTheme="minorHAnsi" w:hAnsiTheme="minorHAnsi" w:cstheme="minorHAnsi"/>
        </w:rPr>
        <w:t>Schätzen fehlender Höhen</w:t>
      </w:r>
      <w:bookmarkEnd w:id="3"/>
      <w:bookmarkEnd w:id="4"/>
    </w:p>
    <w:p w14:paraId="1683B3E8" w14:textId="77777777" w:rsidR="004E200E" w:rsidRPr="00687919" w:rsidRDefault="004E200E" w:rsidP="004E200E">
      <w:pPr>
        <w:rPr>
          <w:rFonts w:asciiTheme="minorHAnsi" w:hAnsiTheme="minorHAnsi" w:cstheme="minorHAnsi"/>
          <w:sz w:val="24"/>
          <w:szCs w:val="24"/>
        </w:rPr>
      </w:pPr>
      <w:r w:rsidRPr="00687919">
        <w:rPr>
          <w:rFonts w:asciiTheme="minorHAnsi" w:hAnsiTheme="minorHAnsi" w:cstheme="minorHAnsi"/>
        </w:rPr>
        <w:t xml:space="preserve">Fehlende Höhen werden über verschiedene selbst-gefittete nichtlineare Modelle pro Baumart und Plot geschätzt, welche </w:t>
      </w:r>
      <w:r>
        <w:rPr>
          <w:rFonts w:asciiTheme="minorHAnsi" w:hAnsiTheme="minorHAnsi" w:cstheme="minorHAnsi"/>
        </w:rPr>
        <w:t>a</w:t>
      </w:r>
      <w:r w:rsidRPr="00687919">
        <w:rPr>
          <w:rFonts w:asciiTheme="minorHAnsi" w:hAnsiTheme="minorHAnsi" w:cstheme="minorHAnsi"/>
        </w:rPr>
        <w:t xml:space="preserve">bhängig von der Modellgüte durch nichtlineare Modelle pro Baumart über alle Plots hinweg bzw. Einheitshöhenkurven von SLOBODA und CURTIS ergänzt werden. Die Koeffizienten der selbst-gefitteten nichtlinearen Modelle werden mittels der </w:t>
      </w:r>
      <w:proofErr w:type="spellStart"/>
      <w:proofErr w:type="gramStart"/>
      <w:r w:rsidRPr="00687919">
        <w:rPr>
          <w:rFonts w:asciiTheme="minorHAnsi" w:hAnsiTheme="minorHAnsi" w:cstheme="minorHAnsi"/>
        </w:rPr>
        <w:t>nls</w:t>
      </w:r>
      <w:proofErr w:type="spellEnd"/>
      <w:r w:rsidRPr="00687919">
        <w:rPr>
          <w:rFonts w:asciiTheme="minorHAnsi" w:hAnsiTheme="minorHAnsi" w:cstheme="minorHAnsi"/>
        </w:rPr>
        <w:t>(</w:t>
      </w:r>
      <w:proofErr w:type="gramEnd"/>
      <w:r w:rsidRPr="00687919">
        <w:rPr>
          <w:rFonts w:asciiTheme="minorHAnsi" w:hAnsiTheme="minorHAnsi" w:cstheme="minorHAnsi"/>
        </w:rPr>
        <w:t xml:space="preserve">) Funktion  (y = b0 * (1 - </w:t>
      </w:r>
      <w:proofErr w:type="spellStart"/>
      <w:r w:rsidRPr="00687919">
        <w:rPr>
          <w:rFonts w:asciiTheme="minorHAnsi" w:hAnsiTheme="minorHAnsi" w:cstheme="minorHAnsi"/>
        </w:rPr>
        <w:t>exp</w:t>
      </w:r>
      <w:proofErr w:type="spellEnd"/>
      <w:r w:rsidRPr="00687919">
        <w:rPr>
          <w:rFonts w:asciiTheme="minorHAnsi" w:hAnsiTheme="minorHAnsi" w:cstheme="minorHAnsi"/>
        </w:rPr>
        <w:t xml:space="preserve">( -b1 * </w:t>
      </w:r>
      <w:proofErr w:type="spellStart"/>
      <w:r w:rsidRPr="00687919">
        <w:rPr>
          <w:rFonts w:asciiTheme="minorHAnsi" w:hAnsiTheme="minorHAnsi" w:cstheme="minorHAnsi"/>
        </w:rPr>
        <w:t>DBH_cm</w:t>
      </w:r>
      <w:proofErr w:type="spellEnd"/>
      <w:r w:rsidRPr="00687919">
        <w:rPr>
          <w:rFonts w:asciiTheme="minorHAnsi" w:hAnsiTheme="minorHAnsi" w:cstheme="minorHAnsi"/>
        </w:rPr>
        <w:t>))^b2)) des R Paketes „</w:t>
      </w:r>
      <w:proofErr w:type="spellStart"/>
      <w:r w:rsidRPr="00687919">
        <w:rPr>
          <w:rFonts w:asciiTheme="minorHAnsi" w:hAnsiTheme="minorHAnsi" w:cstheme="minorHAnsi"/>
        </w:rPr>
        <w:t>forestmangr</w:t>
      </w:r>
      <w:proofErr w:type="spellEnd"/>
      <w:r w:rsidRPr="00687919">
        <w:rPr>
          <w:rFonts w:asciiTheme="minorHAnsi" w:hAnsiTheme="minorHAnsi" w:cstheme="minorHAnsi"/>
        </w:rPr>
        <w:t>“ pro Baumart und Plot bzw. pro Baumart für alle Plots in einem Datenset zusammengefasst. </w:t>
      </w:r>
    </w:p>
    <w:p w14:paraId="55997DC8" w14:textId="77777777" w:rsidR="004E200E" w:rsidRPr="00687919" w:rsidRDefault="004E200E" w:rsidP="004E200E">
      <w:pPr>
        <w:rPr>
          <w:rFonts w:asciiTheme="minorHAnsi" w:hAnsiTheme="minorHAnsi" w:cstheme="minorHAnsi"/>
          <w:sz w:val="24"/>
          <w:szCs w:val="24"/>
        </w:rPr>
      </w:pPr>
      <w:r w:rsidRPr="00687919">
        <w:rPr>
          <w:rFonts w:asciiTheme="minorHAnsi" w:hAnsiTheme="minorHAnsi" w:cstheme="minorHAnsi"/>
        </w:rPr>
        <w:t xml:space="preserve">Die Modellauswahl erfolgt </w:t>
      </w:r>
      <w:proofErr w:type="gramStart"/>
      <w:r w:rsidRPr="00687919">
        <w:rPr>
          <w:rFonts w:asciiTheme="minorHAnsi" w:hAnsiTheme="minorHAnsi" w:cstheme="minorHAnsi"/>
        </w:rPr>
        <w:t>nach folgenden</w:t>
      </w:r>
      <w:proofErr w:type="gramEnd"/>
      <w:r w:rsidRPr="00687919">
        <w:rPr>
          <w:rFonts w:asciiTheme="minorHAnsi" w:hAnsiTheme="minorHAnsi" w:cstheme="minorHAnsi"/>
        </w:rPr>
        <w:t xml:space="preserve"> Kriterien: </w:t>
      </w:r>
    </w:p>
    <w:p w14:paraId="7C7B4BD4" w14:textId="77777777" w:rsidR="004E200E" w:rsidRPr="00687919" w:rsidRDefault="004E200E" w:rsidP="001D0D18">
      <w:pPr>
        <w:pStyle w:val="Liste-1"/>
        <w:numPr>
          <w:ilvl w:val="0"/>
          <w:numId w:val="10"/>
        </w:numPr>
        <w:rPr>
          <w:rFonts w:asciiTheme="minorHAnsi" w:hAnsiTheme="minorHAnsi" w:cstheme="minorHAnsi"/>
        </w:rPr>
      </w:pPr>
      <w:r w:rsidRPr="00687919">
        <w:rPr>
          <w:rFonts w:asciiTheme="minorHAnsi" w:hAnsiTheme="minorHAnsi" w:cstheme="minorHAnsi"/>
        </w:rPr>
        <w:t xml:space="preserve">Berechnung der Höhe mittels selbst-gefitteten </w:t>
      </w:r>
      <w:proofErr w:type="spellStart"/>
      <w:r w:rsidRPr="00687919">
        <w:rPr>
          <w:rFonts w:asciiTheme="minorHAnsi" w:hAnsiTheme="minorHAnsi" w:cstheme="minorHAnsi"/>
        </w:rPr>
        <w:t>nls</w:t>
      </w:r>
      <w:proofErr w:type="spellEnd"/>
      <w:r w:rsidRPr="00687919">
        <w:rPr>
          <w:rFonts w:asciiTheme="minorHAnsi" w:hAnsiTheme="minorHAnsi" w:cstheme="minorHAnsi"/>
        </w:rPr>
        <w:t xml:space="preserve"> pro Baumart und Plot: </w:t>
      </w:r>
    </w:p>
    <w:p w14:paraId="2118EC9E" w14:textId="77777777" w:rsidR="004E200E" w:rsidRPr="00687919" w:rsidRDefault="004E200E" w:rsidP="004E200E">
      <w:pPr>
        <w:pStyle w:val="Liste-2"/>
        <w:ind w:left="2127" w:hanging="567"/>
        <w:rPr>
          <w:rFonts w:asciiTheme="minorHAnsi" w:hAnsiTheme="minorHAnsi" w:cstheme="minorHAnsi"/>
        </w:rPr>
      </w:pPr>
      <w:r w:rsidRPr="00687919">
        <w:rPr>
          <w:rFonts w:asciiTheme="minorHAnsi" w:hAnsiTheme="minorHAnsi" w:cstheme="minorHAnsi"/>
        </w:rPr>
        <w:t xml:space="preserve">Wenn mindestens </w:t>
      </w:r>
      <w:commentRangeStart w:id="5"/>
      <w:commentRangeStart w:id="6"/>
      <w:r w:rsidRPr="00687919">
        <w:rPr>
          <w:rFonts w:asciiTheme="minorHAnsi" w:hAnsiTheme="minorHAnsi" w:cstheme="minorHAnsi"/>
        </w:rPr>
        <w:t xml:space="preserve">3 Höhenmessungen </w:t>
      </w:r>
      <w:commentRangeEnd w:id="5"/>
      <w:r w:rsidRPr="00687919">
        <w:rPr>
          <w:rStyle w:val="Kommentarzeichen"/>
          <w:rFonts w:asciiTheme="minorHAnsi" w:hAnsiTheme="minorHAnsi" w:cstheme="minorHAnsi"/>
        </w:rPr>
        <w:commentReference w:id="5"/>
      </w:r>
      <w:commentRangeEnd w:id="6"/>
      <w:r w:rsidRPr="00687919">
        <w:rPr>
          <w:rStyle w:val="Kommentarzeichen"/>
          <w:rFonts w:asciiTheme="minorHAnsi" w:hAnsiTheme="minorHAnsi" w:cstheme="minorHAnsi"/>
        </w:rPr>
        <w:commentReference w:id="6"/>
      </w:r>
      <w:r w:rsidRPr="00687919">
        <w:rPr>
          <w:rFonts w:asciiTheme="minorHAnsi" w:hAnsiTheme="minorHAnsi" w:cstheme="minorHAnsi"/>
        </w:rPr>
        <w:t>pro Baumart und Plot vorhanden sind,</w:t>
      </w:r>
    </w:p>
    <w:p w14:paraId="543A32C1" w14:textId="77777777" w:rsidR="004E200E" w:rsidRPr="00687919" w:rsidRDefault="004E200E" w:rsidP="004E200E">
      <w:pPr>
        <w:pStyle w:val="Liste-2"/>
        <w:ind w:left="2127" w:hanging="567"/>
        <w:rPr>
          <w:rFonts w:asciiTheme="minorHAnsi" w:hAnsiTheme="minorHAnsi" w:cstheme="minorHAnsi"/>
        </w:rPr>
      </w:pPr>
      <w:r w:rsidRPr="00687919">
        <w:rPr>
          <w:rFonts w:asciiTheme="minorHAnsi" w:hAnsiTheme="minorHAnsi" w:cstheme="minorHAnsi"/>
        </w:rPr>
        <w:t>keine Höhe für den jeweiligen Baum gemessen wurde und</w:t>
      </w:r>
    </w:p>
    <w:p w14:paraId="57B9E948" w14:textId="77777777" w:rsidR="004E200E" w:rsidRPr="00687919" w:rsidRDefault="004E200E" w:rsidP="004E200E">
      <w:pPr>
        <w:pStyle w:val="Liste-2"/>
        <w:ind w:left="2127" w:hanging="567"/>
        <w:rPr>
          <w:rFonts w:asciiTheme="minorHAnsi" w:hAnsiTheme="minorHAnsi" w:cstheme="minorHAnsi"/>
        </w:rPr>
      </w:pPr>
      <w:r w:rsidRPr="00687919">
        <w:rPr>
          <w:rFonts w:asciiTheme="minorHAnsi" w:hAnsiTheme="minorHAnsi" w:cstheme="minorHAnsi"/>
        </w:rPr>
        <w:t xml:space="preserve">das </w:t>
      </w:r>
      <w:commentRangeStart w:id="7"/>
      <w:r w:rsidRPr="00687919">
        <w:rPr>
          <w:rFonts w:asciiTheme="minorHAnsi" w:hAnsiTheme="minorHAnsi" w:cstheme="minorHAnsi"/>
        </w:rPr>
        <w:t>R2</w:t>
      </w:r>
      <w:commentRangeEnd w:id="7"/>
      <w:r w:rsidRPr="00687919">
        <w:rPr>
          <w:rStyle w:val="Kommentarzeichen"/>
          <w:rFonts w:asciiTheme="minorHAnsi" w:hAnsiTheme="minorHAnsi" w:cstheme="minorHAnsi"/>
        </w:rPr>
        <w:commentReference w:id="7"/>
      </w:r>
      <w:r w:rsidRPr="00687919">
        <w:rPr>
          <w:rFonts w:asciiTheme="minorHAnsi" w:hAnsiTheme="minorHAnsi" w:cstheme="minorHAnsi"/>
        </w:rPr>
        <w:t xml:space="preserve"> des entsprechenden Modells über 0.7 liegt, </w:t>
      </w:r>
      <w:proofErr w:type="gramStart"/>
      <w:r w:rsidRPr="00687919">
        <w:rPr>
          <w:rFonts w:asciiTheme="minorHAnsi" w:hAnsiTheme="minorHAnsi" w:cstheme="minorHAnsi"/>
          <w:highlight w:val="yellow"/>
        </w:rPr>
        <w:t>§  Die</w:t>
      </w:r>
      <w:proofErr w:type="gramEnd"/>
      <w:r w:rsidRPr="00687919">
        <w:rPr>
          <w:rFonts w:asciiTheme="minorHAnsi" w:hAnsiTheme="minorHAnsi" w:cstheme="minorHAnsi"/>
          <w:highlight w:val="yellow"/>
        </w:rPr>
        <w:t xml:space="preserve"> Entscheidung für die Grenze R2 = 0,7 basiert auf:….</w:t>
      </w:r>
      <w:r w:rsidRPr="00687919">
        <w:rPr>
          <w:rFonts w:asciiTheme="minorHAnsi" w:hAnsiTheme="minorHAnsi" w:cstheme="minorHAnsi"/>
        </w:rPr>
        <w:t> </w:t>
      </w:r>
    </w:p>
    <w:p w14:paraId="123760D3" w14:textId="77777777" w:rsidR="004E200E" w:rsidRPr="00687919" w:rsidRDefault="004E200E" w:rsidP="004E200E">
      <w:pPr>
        <w:pStyle w:val="Liste-2"/>
        <w:ind w:left="2127" w:hanging="567"/>
        <w:rPr>
          <w:rFonts w:asciiTheme="minorHAnsi" w:hAnsiTheme="minorHAnsi" w:cstheme="minorHAnsi"/>
        </w:rPr>
      </w:pPr>
      <w:r w:rsidRPr="00687919">
        <w:rPr>
          <w:rFonts w:asciiTheme="minorHAnsi" w:hAnsiTheme="minorHAnsi" w:cstheme="minorHAnsi"/>
        </w:rPr>
        <w:t xml:space="preserve">und es kein ein generelleres, selbst-gefittetes Model (pro Art aber über alle </w:t>
      </w:r>
      <w:proofErr w:type="gramStart"/>
      <w:r w:rsidRPr="00687919">
        <w:rPr>
          <w:rFonts w:asciiTheme="minorHAnsi" w:hAnsiTheme="minorHAnsi" w:cstheme="minorHAnsi"/>
        </w:rPr>
        <w:t>Plots)  für</w:t>
      </w:r>
      <w:proofErr w:type="gramEnd"/>
      <w:r w:rsidRPr="00687919">
        <w:rPr>
          <w:rFonts w:asciiTheme="minorHAnsi" w:hAnsiTheme="minorHAnsi" w:cstheme="minorHAnsi"/>
        </w:rPr>
        <w:t xml:space="preserve"> die entsprechende Baumart gibt, dessen R2 höher ist.</w:t>
      </w:r>
    </w:p>
    <w:p w14:paraId="718A472E" w14:textId="77777777" w:rsidR="004E200E" w:rsidRPr="00687919" w:rsidRDefault="004E200E" w:rsidP="004E200E">
      <w:pPr>
        <w:pStyle w:val="Liste-2"/>
        <w:numPr>
          <w:ilvl w:val="0"/>
          <w:numId w:val="0"/>
        </w:numPr>
        <w:ind w:left="284" w:hanging="284"/>
        <w:rPr>
          <w:rFonts w:asciiTheme="minorHAnsi" w:hAnsiTheme="minorHAnsi" w:cstheme="minorHAnsi"/>
        </w:rPr>
      </w:pPr>
    </w:p>
    <w:p w14:paraId="60D9A951" w14:textId="77777777" w:rsidR="004E200E" w:rsidRPr="00E33A6F" w:rsidRDefault="004E200E" w:rsidP="004E200E">
      <w:pPr>
        <w:pStyle w:val="Liste-1"/>
        <w:numPr>
          <w:ilvl w:val="0"/>
          <w:numId w:val="2"/>
        </w:numPr>
        <w:rPr>
          <w:rFonts w:asciiTheme="minorHAnsi" w:hAnsiTheme="minorHAnsi" w:cstheme="minorHAnsi"/>
        </w:rPr>
      </w:pPr>
      <w:r w:rsidRPr="00E33A6F">
        <w:rPr>
          <w:rFonts w:asciiTheme="minorHAnsi" w:hAnsiTheme="minorHAnsi" w:cstheme="minorHAnsi"/>
        </w:rPr>
        <w:t xml:space="preserve">Die Berechnung der Höhe mittels selbst-gefitteten </w:t>
      </w:r>
      <w:proofErr w:type="spellStart"/>
      <w:r w:rsidRPr="00E33A6F">
        <w:rPr>
          <w:rFonts w:asciiTheme="minorHAnsi" w:hAnsiTheme="minorHAnsi" w:cstheme="minorHAnsi"/>
        </w:rPr>
        <w:t>nls</w:t>
      </w:r>
      <w:proofErr w:type="spellEnd"/>
      <w:r w:rsidRPr="00E33A6F">
        <w:rPr>
          <w:rFonts w:asciiTheme="minorHAnsi" w:hAnsiTheme="minorHAnsi" w:cstheme="minorHAnsi"/>
        </w:rPr>
        <w:t xml:space="preserve"> pro Baumart, unabhängig vom Standort </w:t>
      </w:r>
      <w:proofErr w:type="gramStart"/>
      <w:r w:rsidRPr="00E33A6F">
        <w:rPr>
          <w:rFonts w:asciiTheme="minorHAnsi" w:hAnsiTheme="minorHAnsi" w:cstheme="minorHAnsi"/>
        </w:rPr>
        <w:t>erfolgt</w:t>
      </w:r>
      <w:proofErr w:type="gramEnd"/>
      <w:r w:rsidRPr="00E33A6F">
        <w:rPr>
          <w:rFonts w:asciiTheme="minorHAnsi" w:hAnsiTheme="minorHAnsi" w:cstheme="minorHAnsi"/>
        </w:rPr>
        <w:t xml:space="preserve"> wenn: </w:t>
      </w:r>
    </w:p>
    <w:p w14:paraId="19418123" w14:textId="77777777" w:rsidR="004E200E" w:rsidRPr="00687919" w:rsidRDefault="004E200E" w:rsidP="004E200E">
      <w:pPr>
        <w:pStyle w:val="Liste-2"/>
        <w:ind w:left="2127" w:hanging="567"/>
        <w:rPr>
          <w:rFonts w:asciiTheme="minorHAnsi" w:hAnsiTheme="minorHAnsi" w:cstheme="minorHAnsi"/>
        </w:rPr>
      </w:pPr>
      <w:r w:rsidRPr="00687919">
        <w:rPr>
          <w:rFonts w:asciiTheme="minorHAnsi" w:hAnsiTheme="minorHAnsi" w:cstheme="minorHAnsi"/>
        </w:rPr>
        <w:t>Wenn mindestens 3 Höhenmessungen pro Baumart vorhanden sind</w:t>
      </w:r>
    </w:p>
    <w:p w14:paraId="0103E719" w14:textId="77777777" w:rsidR="004E200E" w:rsidRPr="00687919" w:rsidRDefault="004E200E" w:rsidP="004E200E">
      <w:pPr>
        <w:pStyle w:val="Liste-2"/>
        <w:ind w:left="2127" w:hanging="567"/>
        <w:rPr>
          <w:rFonts w:asciiTheme="minorHAnsi" w:hAnsiTheme="minorHAnsi" w:cstheme="minorHAnsi"/>
        </w:rPr>
      </w:pPr>
      <w:r w:rsidRPr="00687919">
        <w:rPr>
          <w:rFonts w:asciiTheme="minorHAnsi" w:hAnsiTheme="minorHAnsi" w:cstheme="minorHAnsi"/>
        </w:rPr>
        <w:t>Keine Höhe für den jeweiligen Baum gemessen wurde</w:t>
      </w:r>
    </w:p>
    <w:p w14:paraId="0DC55339" w14:textId="77777777" w:rsidR="004E200E" w:rsidRPr="00687919" w:rsidRDefault="004E200E" w:rsidP="004E200E">
      <w:pPr>
        <w:pStyle w:val="Liste-2"/>
        <w:ind w:left="2127" w:hanging="567"/>
        <w:rPr>
          <w:rFonts w:asciiTheme="minorHAnsi" w:hAnsiTheme="minorHAnsi" w:cstheme="minorHAnsi"/>
        </w:rPr>
      </w:pPr>
      <w:r w:rsidRPr="00687919">
        <w:rPr>
          <w:rFonts w:asciiTheme="minorHAnsi" w:hAnsiTheme="minorHAnsi" w:cstheme="minorHAnsi"/>
        </w:rPr>
        <w:t>Es kein Modell pro Baumart und Plot für den entsprechenden Baum gibt (</w:t>
      </w:r>
      <w:proofErr w:type="gramStart"/>
      <w:r w:rsidRPr="00687919">
        <w:rPr>
          <w:rFonts w:asciiTheme="minorHAnsi" w:hAnsiTheme="minorHAnsi" w:cstheme="minorHAnsi"/>
        </w:rPr>
        <w:t>e.g.</w:t>
      </w:r>
      <w:proofErr w:type="gramEnd"/>
      <w:r w:rsidRPr="00687919">
        <w:rPr>
          <w:rFonts w:asciiTheme="minorHAnsi" w:hAnsiTheme="minorHAnsi" w:cstheme="minorHAnsi"/>
        </w:rPr>
        <w:t xml:space="preserve"> weil weniger als 3 Höhenmessungen pro Art und Plot verfügbar sind und so kein art- und </w:t>
      </w:r>
      <w:proofErr w:type="spellStart"/>
      <w:r w:rsidRPr="00687919">
        <w:rPr>
          <w:rFonts w:asciiTheme="minorHAnsi" w:hAnsiTheme="minorHAnsi" w:cstheme="minorHAnsi"/>
        </w:rPr>
        <w:t>plot</w:t>
      </w:r>
      <w:proofErr w:type="spellEnd"/>
      <w:r w:rsidRPr="00687919">
        <w:rPr>
          <w:rFonts w:asciiTheme="minorHAnsi" w:hAnsiTheme="minorHAnsi" w:cstheme="minorHAnsi"/>
        </w:rPr>
        <w:t>-spezifisches Modell gefittet werden konnte)</w:t>
      </w:r>
    </w:p>
    <w:p w14:paraId="66165A78" w14:textId="77777777" w:rsidR="004E200E" w:rsidRPr="00687919" w:rsidRDefault="004E200E" w:rsidP="004E200E">
      <w:pPr>
        <w:pStyle w:val="Liste-2"/>
        <w:ind w:left="2127" w:hanging="567"/>
        <w:rPr>
          <w:rFonts w:asciiTheme="minorHAnsi" w:hAnsiTheme="minorHAnsi" w:cstheme="minorHAnsi"/>
        </w:rPr>
      </w:pPr>
      <w:r w:rsidRPr="00687919">
        <w:rPr>
          <w:rFonts w:asciiTheme="minorHAnsi" w:hAnsiTheme="minorHAnsi" w:cstheme="minorHAnsi"/>
        </w:rPr>
        <w:lastRenderedPageBreak/>
        <w:t>Das R2 des Modells pro Baumart höher ist als das eines zur Auswahl stehenden Modells pro Baumart und Plot</w:t>
      </w:r>
    </w:p>
    <w:p w14:paraId="02998BBF" w14:textId="77777777" w:rsidR="004E200E" w:rsidRPr="00687919" w:rsidRDefault="004E200E" w:rsidP="004E200E">
      <w:pPr>
        <w:pStyle w:val="Liste-2"/>
        <w:ind w:left="2127" w:hanging="567"/>
        <w:rPr>
          <w:rFonts w:asciiTheme="minorHAnsi" w:hAnsiTheme="minorHAnsi" w:cstheme="minorHAnsi"/>
        </w:rPr>
      </w:pPr>
      <w:r w:rsidRPr="00687919">
        <w:rPr>
          <w:rFonts w:asciiTheme="minorHAnsi" w:hAnsiTheme="minorHAnsi" w:cstheme="minorHAnsi"/>
        </w:rPr>
        <w:t>Das R2 des Modells pro Baumart über alle Plots Höher als &lt; 0.70 ist</w:t>
      </w:r>
      <w:proofErr w:type="gramStart"/>
      <w:r w:rsidRPr="00687919">
        <w:rPr>
          <w:rFonts w:asciiTheme="minorHAnsi" w:hAnsiTheme="minorHAnsi" w:cstheme="minorHAnsi"/>
          <w:highlight w:val="yellow"/>
        </w:rPr>
        <w:t>§  Die</w:t>
      </w:r>
      <w:proofErr w:type="gramEnd"/>
      <w:r w:rsidRPr="00687919">
        <w:rPr>
          <w:rFonts w:asciiTheme="minorHAnsi" w:hAnsiTheme="minorHAnsi" w:cstheme="minorHAnsi"/>
          <w:highlight w:val="yellow"/>
        </w:rPr>
        <w:t xml:space="preserve"> Entscheidung für die Grenze R2 = 0,7 basiert auf:….</w:t>
      </w:r>
      <w:r w:rsidRPr="00687919">
        <w:rPr>
          <w:rFonts w:asciiTheme="minorHAnsi" w:hAnsiTheme="minorHAnsi" w:cstheme="minorHAnsi"/>
        </w:rPr>
        <w:t> </w:t>
      </w:r>
    </w:p>
    <w:p w14:paraId="5792C799" w14:textId="77777777" w:rsidR="004E200E" w:rsidRPr="00687919" w:rsidRDefault="004E200E" w:rsidP="004E200E">
      <w:pPr>
        <w:pStyle w:val="Liste-2"/>
        <w:numPr>
          <w:ilvl w:val="0"/>
          <w:numId w:val="0"/>
        </w:numPr>
        <w:ind w:left="2127"/>
        <w:rPr>
          <w:rFonts w:asciiTheme="minorHAnsi" w:hAnsiTheme="minorHAnsi" w:cstheme="minorHAnsi"/>
        </w:rPr>
      </w:pPr>
    </w:p>
    <w:p w14:paraId="35000EAE" w14:textId="77777777" w:rsidR="004E200E" w:rsidRPr="00E33A6F" w:rsidRDefault="004E200E" w:rsidP="004E200E">
      <w:pPr>
        <w:pStyle w:val="Liste-1"/>
        <w:numPr>
          <w:ilvl w:val="0"/>
          <w:numId w:val="2"/>
        </w:numPr>
        <w:rPr>
          <w:rFonts w:asciiTheme="minorHAnsi" w:hAnsiTheme="minorHAnsi" w:cstheme="minorHAnsi"/>
        </w:rPr>
      </w:pPr>
      <w:r w:rsidRPr="00E33A6F">
        <w:rPr>
          <w:rFonts w:asciiTheme="minorHAnsi" w:hAnsiTheme="minorHAnsi" w:cstheme="minorHAnsi"/>
        </w:rPr>
        <w:t xml:space="preserve">Die Einheitshöhenkurven Funktionen gemäß SLOBODA wird </w:t>
      </w:r>
      <w:proofErr w:type="gramStart"/>
      <w:r w:rsidRPr="00E33A6F">
        <w:rPr>
          <w:rFonts w:asciiTheme="minorHAnsi" w:hAnsiTheme="minorHAnsi" w:cstheme="minorHAnsi"/>
        </w:rPr>
        <w:t>verwendet</w:t>
      </w:r>
      <w:proofErr w:type="gramEnd"/>
      <w:r w:rsidRPr="00E33A6F">
        <w:rPr>
          <w:rFonts w:asciiTheme="minorHAnsi" w:hAnsiTheme="minorHAnsi" w:cstheme="minorHAnsi"/>
        </w:rPr>
        <w:t xml:space="preserve"> wenn: </w:t>
      </w:r>
    </w:p>
    <w:p w14:paraId="5E3FE860" w14:textId="77777777" w:rsidR="004E200E" w:rsidRPr="00687919" w:rsidRDefault="004E200E" w:rsidP="004E200E">
      <w:pPr>
        <w:pStyle w:val="Liste-1"/>
        <w:numPr>
          <w:ilvl w:val="1"/>
          <w:numId w:val="2"/>
        </w:numPr>
        <w:rPr>
          <w:rFonts w:asciiTheme="minorHAnsi" w:hAnsiTheme="minorHAnsi" w:cstheme="minorHAnsi"/>
        </w:rPr>
      </w:pPr>
      <w:r w:rsidRPr="00687919">
        <w:rPr>
          <w:rFonts w:asciiTheme="minorHAnsi" w:hAnsiTheme="minorHAnsi" w:cstheme="minorHAnsi"/>
        </w:rPr>
        <w:t>Keine Höhe für diesen Baum gemessen wurde</w:t>
      </w:r>
    </w:p>
    <w:p w14:paraId="54C2896F" w14:textId="77777777" w:rsidR="004E200E" w:rsidRPr="00687919" w:rsidRDefault="004E200E" w:rsidP="004E200E">
      <w:pPr>
        <w:pStyle w:val="Liste-1"/>
        <w:numPr>
          <w:ilvl w:val="1"/>
          <w:numId w:val="2"/>
        </w:numPr>
        <w:rPr>
          <w:rFonts w:asciiTheme="minorHAnsi" w:hAnsiTheme="minorHAnsi" w:cstheme="minorHAnsi"/>
        </w:rPr>
      </w:pPr>
      <w:r w:rsidRPr="00687919">
        <w:rPr>
          <w:rFonts w:asciiTheme="minorHAnsi" w:hAnsiTheme="minorHAnsi" w:cstheme="minorHAnsi"/>
        </w:rPr>
        <w:t> Pro Baumart und Plot ein Durchmesser des Grundflächenmittelstammes und die Höhe des Grundflächenmittelstammes verfügbar sind, da diese die Eingangsgrößen für die Funktion darstellen </w:t>
      </w:r>
    </w:p>
    <w:p w14:paraId="461F4A01" w14:textId="77777777" w:rsidR="004E200E" w:rsidRPr="00687919" w:rsidRDefault="004E200E" w:rsidP="004E200E">
      <w:pPr>
        <w:pStyle w:val="Liste-1"/>
        <w:numPr>
          <w:ilvl w:val="1"/>
          <w:numId w:val="2"/>
        </w:numPr>
        <w:rPr>
          <w:rFonts w:asciiTheme="minorHAnsi" w:hAnsiTheme="minorHAnsi" w:cstheme="minorHAnsi"/>
        </w:rPr>
      </w:pPr>
      <w:r w:rsidRPr="00687919">
        <w:rPr>
          <w:rFonts w:asciiTheme="minorHAnsi" w:hAnsiTheme="minorHAnsi" w:cstheme="minorHAnsi"/>
        </w:rPr>
        <w:t> Kein selbst-gefittetes Model (weder pro Art &amp; Plot, noch pro Art über alle Plots) vorhanden ist</w:t>
      </w:r>
    </w:p>
    <w:p w14:paraId="3966EAAC" w14:textId="77777777" w:rsidR="004E200E" w:rsidRPr="00687919" w:rsidRDefault="004E200E" w:rsidP="004E200E">
      <w:pPr>
        <w:pStyle w:val="Liste-1"/>
        <w:numPr>
          <w:ilvl w:val="1"/>
          <w:numId w:val="2"/>
        </w:numPr>
        <w:rPr>
          <w:rFonts w:asciiTheme="minorHAnsi" w:hAnsiTheme="minorHAnsi" w:cstheme="minorHAnsi"/>
        </w:rPr>
      </w:pPr>
      <w:r w:rsidRPr="00687919">
        <w:rPr>
          <w:rFonts w:asciiTheme="minorHAnsi" w:hAnsiTheme="minorHAnsi" w:cstheme="minorHAnsi"/>
        </w:rPr>
        <w:t> Das R2 des selbst-gefitteten Models &lt; 0.70 ist </w:t>
      </w:r>
    </w:p>
    <w:p w14:paraId="3C4587F3" w14:textId="77777777" w:rsidR="004E200E" w:rsidRPr="00687919" w:rsidRDefault="004E200E" w:rsidP="004E200E">
      <w:pPr>
        <w:pStyle w:val="Liste-1"/>
        <w:numPr>
          <w:ilvl w:val="1"/>
          <w:numId w:val="2"/>
        </w:numPr>
        <w:rPr>
          <w:rFonts w:asciiTheme="minorHAnsi" w:hAnsiTheme="minorHAnsi" w:cstheme="minorHAnsi"/>
        </w:rPr>
      </w:pPr>
      <w:r w:rsidRPr="00687919">
        <w:rPr>
          <w:rFonts w:asciiTheme="minorHAnsi" w:hAnsiTheme="minorHAnsi" w:cstheme="minorHAnsi"/>
        </w:rPr>
        <w:t xml:space="preserve"> Die Einheitshöhenkurven Funktionen gemäß CURTIS wird </w:t>
      </w:r>
      <w:proofErr w:type="gramStart"/>
      <w:r w:rsidRPr="00687919">
        <w:rPr>
          <w:rFonts w:asciiTheme="minorHAnsi" w:hAnsiTheme="minorHAnsi" w:cstheme="minorHAnsi"/>
        </w:rPr>
        <w:t>verwendet</w:t>
      </w:r>
      <w:proofErr w:type="gramEnd"/>
      <w:r w:rsidRPr="00687919">
        <w:rPr>
          <w:rFonts w:asciiTheme="minorHAnsi" w:hAnsiTheme="minorHAnsi" w:cstheme="minorHAnsi"/>
        </w:rPr>
        <w:t xml:space="preserve"> wenn: </w:t>
      </w:r>
    </w:p>
    <w:p w14:paraId="527D4959" w14:textId="77777777" w:rsidR="004E200E" w:rsidRPr="00687919" w:rsidRDefault="004E200E" w:rsidP="004E200E">
      <w:pPr>
        <w:pStyle w:val="Liste-1"/>
        <w:numPr>
          <w:ilvl w:val="1"/>
          <w:numId w:val="2"/>
        </w:numPr>
        <w:rPr>
          <w:rFonts w:asciiTheme="minorHAnsi" w:hAnsiTheme="minorHAnsi" w:cstheme="minorHAnsi"/>
        </w:rPr>
      </w:pPr>
      <w:r w:rsidRPr="00687919">
        <w:rPr>
          <w:rFonts w:asciiTheme="minorHAnsi" w:hAnsiTheme="minorHAnsi" w:cstheme="minorHAnsi"/>
        </w:rPr>
        <w:t>Keine Höhe für diesen Baum gemessen wurde</w:t>
      </w:r>
    </w:p>
    <w:p w14:paraId="2B73AD88" w14:textId="77777777" w:rsidR="004E200E" w:rsidRPr="00687919" w:rsidRDefault="004E200E" w:rsidP="004E200E">
      <w:pPr>
        <w:pStyle w:val="Liste-1"/>
        <w:numPr>
          <w:ilvl w:val="1"/>
          <w:numId w:val="2"/>
        </w:numPr>
        <w:rPr>
          <w:rFonts w:asciiTheme="minorHAnsi" w:hAnsiTheme="minorHAnsi" w:cstheme="minorHAnsi"/>
        </w:rPr>
      </w:pPr>
      <w:r w:rsidRPr="00687919">
        <w:rPr>
          <w:rFonts w:asciiTheme="minorHAnsi" w:hAnsiTheme="minorHAnsi" w:cstheme="minorHAnsi"/>
        </w:rPr>
        <w:t>Pro Baumart und Plot kein Durchmesser des Grundflächenmittelstammes und die Höhe des Grundflächenmittelstammes verfügbar sind, sodass die Input Variablen für die Einheitshöhenkurvenfunktion von SLOBODA nicht anwendbar sind</w:t>
      </w:r>
    </w:p>
    <w:p w14:paraId="0FD4F7DA" w14:textId="77777777" w:rsidR="004E200E" w:rsidRPr="00687919" w:rsidRDefault="004E200E" w:rsidP="004E200E">
      <w:pPr>
        <w:pStyle w:val="Liste-1"/>
        <w:numPr>
          <w:ilvl w:val="1"/>
          <w:numId w:val="2"/>
        </w:numPr>
        <w:rPr>
          <w:rFonts w:asciiTheme="minorHAnsi" w:hAnsiTheme="minorHAnsi" w:cstheme="minorHAnsi"/>
        </w:rPr>
      </w:pPr>
      <w:r w:rsidRPr="00687919">
        <w:rPr>
          <w:rFonts w:asciiTheme="minorHAnsi" w:hAnsiTheme="minorHAnsi" w:cstheme="minorHAnsi"/>
        </w:rPr>
        <w:t>Kein selbst-gefittetes Model (weder pro Art &amp; Plot, noch pro Art über alle Plots) vorhanden ist</w:t>
      </w:r>
    </w:p>
    <w:p w14:paraId="78351792" w14:textId="77777777" w:rsidR="004E200E" w:rsidRPr="00687919" w:rsidRDefault="004E200E" w:rsidP="004E200E">
      <w:pPr>
        <w:pStyle w:val="Liste-1"/>
        <w:numPr>
          <w:ilvl w:val="1"/>
          <w:numId w:val="2"/>
        </w:numPr>
        <w:rPr>
          <w:rFonts w:asciiTheme="minorHAnsi" w:hAnsiTheme="minorHAnsi" w:cstheme="minorHAnsi"/>
        </w:rPr>
      </w:pPr>
      <w:r w:rsidRPr="00687919">
        <w:rPr>
          <w:rFonts w:asciiTheme="minorHAnsi" w:hAnsiTheme="minorHAnsi" w:cstheme="minorHAnsi"/>
        </w:rPr>
        <w:t>Das R2 des selbst-gefitteten Models &lt; 0.70 ist </w:t>
      </w:r>
    </w:p>
    <w:p w14:paraId="27D630C7" w14:textId="77777777" w:rsidR="004E200E" w:rsidRPr="00687919" w:rsidRDefault="004E200E" w:rsidP="004E200E">
      <w:pPr>
        <w:rPr>
          <w:rFonts w:asciiTheme="minorHAnsi" w:hAnsiTheme="minorHAnsi" w:cstheme="minorHAnsi"/>
        </w:rPr>
      </w:pPr>
      <w:r w:rsidRPr="00687919">
        <w:rPr>
          <w:rFonts w:asciiTheme="minorHAnsi" w:hAnsiTheme="minorHAnsi" w:cstheme="minorHAnsi"/>
        </w:rPr>
        <w:t xml:space="preserve">Die Koeffizienten der Einheitshöhenkurvenfunktionen von Sloboda und Curtis differenzieren folgende Baumartengruppen: Fichte, Tanne, Douglasie, Kiefer, </w:t>
      </w:r>
      <w:proofErr w:type="spellStart"/>
      <w:r w:rsidRPr="00687919">
        <w:rPr>
          <w:rFonts w:asciiTheme="minorHAnsi" w:hAnsiTheme="minorHAnsi" w:cstheme="minorHAnsi"/>
        </w:rPr>
        <w:t>Lärche</w:t>
      </w:r>
      <w:proofErr w:type="spellEnd"/>
      <w:r w:rsidRPr="00687919">
        <w:rPr>
          <w:rFonts w:asciiTheme="minorHAnsi" w:hAnsiTheme="minorHAnsi" w:cstheme="minorHAnsi"/>
        </w:rPr>
        <w:t xml:space="preserve">, Buche, Eiche. Alle anderen </w:t>
      </w:r>
      <w:proofErr w:type="spellStart"/>
      <w:r w:rsidRPr="00687919">
        <w:rPr>
          <w:rFonts w:asciiTheme="minorHAnsi" w:hAnsiTheme="minorHAnsi" w:cstheme="minorHAnsi"/>
        </w:rPr>
        <w:t>Nadelbäume</w:t>
      </w:r>
      <w:proofErr w:type="spellEnd"/>
      <w:r w:rsidRPr="00687919">
        <w:rPr>
          <w:rFonts w:asciiTheme="minorHAnsi" w:hAnsiTheme="minorHAnsi" w:cstheme="minorHAnsi"/>
        </w:rPr>
        <w:t xml:space="preserve"> werden der Fichte und alle anderen </w:t>
      </w:r>
      <w:proofErr w:type="spellStart"/>
      <w:r w:rsidRPr="00687919">
        <w:rPr>
          <w:rFonts w:asciiTheme="minorHAnsi" w:hAnsiTheme="minorHAnsi" w:cstheme="minorHAnsi"/>
        </w:rPr>
        <w:t>Laubbäume</w:t>
      </w:r>
      <w:proofErr w:type="spellEnd"/>
      <w:r w:rsidRPr="00687919">
        <w:rPr>
          <w:rFonts w:asciiTheme="minorHAnsi" w:hAnsiTheme="minorHAnsi" w:cstheme="minorHAnsi"/>
        </w:rPr>
        <w:t xml:space="preserve"> der Buche zugeordnet. Dementsprechend wurde in dem </w:t>
      </w:r>
      <w:proofErr w:type="spellStart"/>
      <w:r w:rsidRPr="00687919">
        <w:rPr>
          <w:rFonts w:asciiTheme="minorHAnsi" w:hAnsiTheme="minorHAnsi" w:cstheme="minorHAnsi"/>
        </w:rPr>
        <w:t>x_bart</w:t>
      </w:r>
      <w:proofErr w:type="spellEnd"/>
      <w:r w:rsidRPr="00687919">
        <w:rPr>
          <w:rFonts w:asciiTheme="minorHAnsi" w:hAnsiTheme="minorHAnsi" w:cstheme="minorHAnsi"/>
        </w:rPr>
        <w:t xml:space="preserve"> und somit dem </w:t>
      </w:r>
      <w:proofErr w:type="spellStart"/>
      <w:r w:rsidRPr="00687919">
        <w:rPr>
          <w:rFonts w:asciiTheme="minorHAnsi" w:hAnsiTheme="minorHAnsi" w:cstheme="minorHAnsi"/>
        </w:rPr>
        <w:t>trees_total</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dataset</w:t>
      </w:r>
      <w:proofErr w:type="spellEnd"/>
      <w:r w:rsidRPr="00687919">
        <w:rPr>
          <w:rFonts w:asciiTheme="minorHAnsi" w:hAnsiTheme="minorHAnsi" w:cstheme="minorHAnsi"/>
        </w:rPr>
        <w:t xml:space="preserve"> eine Spalte mit dem Namen </w:t>
      </w:r>
      <w:proofErr w:type="spellStart"/>
      <w:r w:rsidRPr="00687919">
        <w:rPr>
          <w:rFonts w:asciiTheme="minorHAnsi" w:hAnsiTheme="minorHAnsi" w:cstheme="minorHAnsi"/>
        </w:rPr>
        <w:t>H_SP_group</w:t>
      </w:r>
      <w:proofErr w:type="spellEnd"/>
      <w:r w:rsidRPr="00687919">
        <w:rPr>
          <w:rFonts w:asciiTheme="minorHAnsi" w:hAnsiTheme="minorHAnsi" w:cstheme="minorHAnsi"/>
        </w:rPr>
        <w:t xml:space="preserve"> erzeugt, welche die entsprechenden Arten den erforderlichen Gruppen zugeordnet. </w:t>
      </w:r>
    </w:p>
    <w:p w14:paraId="5F1A1C21" w14:textId="1E7B296D" w:rsidR="004E200E" w:rsidRDefault="004E200E" w:rsidP="004E200E">
      <w:pPr>
        <w:spacing w:before="100" w:beforeAutospacing="1" w:after="240" w:line="238" w:lineRule="atLeast"/>
        <w:ind w:left="1134"/>
        <w:rPr>
          <w:rFonts w:asciiTheme="minorHAnsi" w:hAnsiTheme="minorHAnsi" w:cstheme="minorHAnsi"/>
          <w:color w:val="000000"/>
          <w:sz w:val="24"/>
          <w:szCs w:val="24"/>
        </w:rPr>
      </w:pPr>
      <w:r w:rsidRPr="00E658DA">
        <w:rPr>
          <w:rFonts w:asciiTheme="minorHAnsi" w:hAnsiTheme="minorHAnsi" w:cstheme="minorHAnsi"/>
          <w:noProof/>
        </w:rPr>
        <w:lastRenderedPageBreak/>
        <w:drawing>
          <wp:inline distT="0" distB="0" distL="0" distR="0" wp14:anchorId="30638800" wp14:editId="75652F41">
            <wp:extent cx="6193790" cy="6242050"/>
            <wp:effectExtent l="0" t="0" r="0" b="6350"/>
            <wp:docPr id="11" name="Grafik 11" descr="7165C1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descr="7165C1C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3790" cy="6242050"/>
                    </a:xfrm>
                    <a:prstGeom prst="rect">
                      <a:avLst/>
                    </a:prstGeom>
                    <a:noFill/>
                    <a:ln>
                      <a:noFill/>
                    </a:ln>
                  </pic:spPr>
                </pic:pic>
              </a:graphicData>
            </a:graphic>
          </wp:inline>
        </w:drawing>
      </w:r>
      <w:r w:rsidRPr="00E658DA">
        <w:rPr>
          <w:rFonts w:asciiTheme="minorHAnsi" w:hAnsiTheme="minorHAnsi" w:cstheme="minorHAnsi"/>
          <w:noProof/>
        </w:rPr>
        <w:lastRenderedPageBreak/>
        <w:drawing>
          <wp:inline distT="0" distB="0" distL="0" distR="0" wp14:anchorId="45D2C6DA" wp14:editId="422364F3">
            <wp:extent cx="6257925" cy="6257925"/>
            <wp:effectExtent l="0" t="0" r="9525" b="9525"/>
            <wp:docPr id="10" name="Grafik 10" descr="6C34BB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6C34BBB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57925" cy="6257925"/>
                    </a:xfrm>
                    <a:prstGeom prst="rect">
                      <a:avLst/>
                    </a:prstGeom>
                    <a:noFill/>
                    <a:ln>
                      <a:noFill/>
                    </a:ln>
                  </pic:spPr>
                </pic:pic>
              </a:graphicData>
            </a:graphic>
          </wp:inline>
        </w:drawing>
      </w:r>
      <w:r w:rsidRPr="00E658DA">
        <w:rPr>
          <w:rFonts w:asciiTheme="minorHAnsi" w:hAnsiTheme="minorHAnsi" w:cstheme="minorHAnsi"/>
          <w:noProof/>
        </w:rPr>
        <w:lastRenderedPageBreak/>
        <w:drawing>
          <wp:inline distT="0" distB="0" distL="0" distR="0" wp14:anchorId="62E48A41" wp14:editId="7498C07E">
            <wp:extent cx="6297295" cy="6297295"/>
            <wp:effectExtent l="0" t="0" r="8255" b="8255"/>
            <wp:docPr id="9" name="Grafik 9" descr="B4F65C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B4F65C8B"/>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97295" cy="6297295"/>
                    </a:xfrm>
                    <a:prstGeom prst="rect">
                      <a:avLst/>
                    </a:prstGeom>
                    <a:noFill/>
                    <a:ln>
                      <a:noFill/>
                    </a:ln>
                  </pic:spPr>
                </pic:pic>
              </a:graphicData>
            </a:graphic>
          </wp:inline>
        </w:drawing>
      </w:r>
    </w:p>
    <w:p w14:paraId="3DCCA47B" w14:textId="77777777" w:rsidR="00672B8A" w:rsidRDefault="00672B8A" w:rsidP="00672B8A">
      <w:pPr>
        <w:pStyle w:val="berschrift3"/>
      </w:pPr>
      <w:r>
        <w:t xml:space="preserve">Harmonisierung Baumartbezeichnungen zwischen </w:t>
      </w:r>
      <w:proofErr w:type="spellStart"/>
      <w:r>
        <w:t>TapeS</w:t>
      </w:r>
      <w:proofErr w:type="spellEnd"/>
      <w:r>
        <w:t xml:space="preserve"> und </w:t>
      </w:r>
      <w:proofErr w:type="spellStart"/>
      <w:r>
        <w:t>X_bart</w:t>
      </w:r>
      <w:proofErr w:type="spellEnd"/>
    </w:p>
    <w:p w14:paraId="6ECEC90A" w14:textId="77777777" w:rsidR="00672B8A" w:rsidRDefault="00672B8A" w:rsidP="00672B8A">
      <w:pPr>
        <w:rPr>
          <w:rFonts w:asciiTheme="minorHAnsi" w:hAnsiTheme="minorHAnsi" w:cstheme="minorHAnsi"/>
          <w:color w:val="000000"/>
          <w:shd w:val="clear" w:color="auto" w:fill="FFFFFF"/>
        </w:rPr>
      </w:pPr>
      <w:r w:rsidRPr="00687919">
        <w:rPr>
          <w:rFonts w:asciiTheme="minorHAnsi" w:hAnsiTheme="minorHAnsi" w:cstheme="minorHAnsi"/>
          <w:color w:val="000000"/>
          <w:shd w:val="clear" w:color="auto" w:fill="FFFFFF"/>
        </w:rPr>
        <w:t>Da die Codes und Abkürzungen die in TapeS hinterlegt sind nicht mit denen der Baumartenliste der BZE übereinstimmen in müssen zunächst Artencodes in dem Baum Datenset integriert werden, welche TapeS „lesen“ / „erkennen“ kann</w:t>
      </w:r>
      <w:r>
        <w:rPr>
          <w:rFonts w:asciiTheme="minorHAnsi" w:hAnsiTheme="minorHAnsi" w:cstheme="minorHAnsi"/>
          <w:color w:val="000000"/>
          <w:shd w:val="clear" w:color="auto" w:fill="FFFFFF"/>
        </w:rPr>
        <w:t xml:space="preserve"> um die Anwendung von </w:t>
      </w:r>
      <w:proofErr w:type="spellStart"/>
      <w:r>
        <w:rPr>
          <w:rFonts w:asciiTheme="minorHAnsi" w:hAnsiTheme="minorHAnsi" w:cstheme="minorHAnsi"/>
          <w:color w:val="000000"/>
          <w:shd w:val="clear" w:color="auto" w:fill="FFFFFF"/>
        </w:rPr>
        <w:t>TapeS</w:t>
      </w:r>
      <w:proofErr w:type="spellEnd"/>
      <w:r>
        <w:rPr>
          <w:rFonts w:asciiTheme="minorHAnsi" w:hAnsiTheme="minorHAnsi" w:cstheme="minorHAnsi"/>
          <w:color w:val="000000"/>
          <w:shd w:val="clear" w:color="auto" w:fill="FFFFFF"/>
        </w:rPr>
        <w:t xml:space="preserve"> auf BZE </w:t>
      </w:r>
      <w:proofErr w:type="spellStart"/>
      <w:r>
        <w:rPr>
          <w:rFonts w:asciiTheme="minorHAnsi" w:hAnsiTheme="minorHAnsi" w:cstheme="minorHAnsi"/>
          <w:color w:val="000000"/>
          <w:shd w:val="clear" w:color="auto" w:fill="FFFFFF"/>
        </w:rPr>
        <w:t>Bestandesdaten</w:t>
      </w:r>
      <w:proofErr w:type="spellEnd"/>
      <w:r>
        <w:rPr>
          <w:rFonts w:asciiTheme="minorHAnsi" w:hAnsiTheme="minorHAnsi" w:cstheme="minorHAnsi"/>
          <w:color w:val="000000"/>
          <w:shd w:val="clear" w:color="auto" w:fill="FFFFFF"/>
        </w:rPr>
        <w:t xml:space="preserve"> zu ermöglichen. </w:t>
      </w:r>
    </w:p>
    <w:p w14:paraId="0E0373FB" w14:textId="77777777" w:rsidR="00672B8A" w:rsidRPr="00EA2F4A" w:rsidRDefault="00672B8A" w:rsidP="00672B8A">
      <w:pPr>
        <w:rPr>
          <w:rFonts w:asciiTheme="minorHAnsi" w:hAnsiTheme="minorHAnsi" w:cstheme="minorHAnsi"/>
          <w:color w:val="000000"/>
          <w:sz w:val="24"/>
          <w:szCs w:val="24"/>
        </w:rPr>
      </w:pPr>
      <w:r>
        <w:rPr>
          <w:rFonts w:asciiTheme="minorHAnsi" w:hAnsiTheme="minorHAnsi" w:cstheme="minorHAnsi"/>
          <w:color w:val="000000"/>
          <w:shd w:val="clear" w:color="auto" w:fill="FFFFFF"/>
        </w:rPr>
        <w:t>Hierfür wurde</w:t>
      </w:r>
      <w:r w:rsidRPr="00687919">
        <w:rPr>
          <w:rFonts w:asciiTheme="minorHAnsi" w:hAnsiTheme="minorHAnsi" w:cstheme="minorHAnsi"/>
          <w:color w:val="000000"/>
          <w:shd w:val="clear" w:color="auto" w:fill="FFFFFF"/>
        </w:rPr>
        <w:t xml:space="preserve">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eine Spalte aufgenommen </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w:t>
      </w:r>
      <w:proofErr w:type="spellStart"/>
      <w:r w:rsidRPr="00687919">
        <w:rPr>
          <w:rFonts w:asciiTheme="minorHAnsi" w:hAnsiTheme="minorHAnsi" w:cstheme="minorHAnsi"/>
          <w:color w:val="000000"/>
          <w:shd w:val="clear" w:color="auto" w:fill="FFFFFF"/>
        </w:rPr>
        <w:t>key</w:t>
      </w:r>
      <w:proofErr w:type="spellEnd"/>
      <w:r w:rsidRPr="00687919">
        <w:rPr>
          <w:rFonts w:asciiTheme="minorHAnsi" w:hAnsiTheme="minorHAnsi" w:cstheme="minorHAnsi"/>
          <w:color w:val="000000"/>
          <w:shd w:val="clear" w:color="auto" w:fill="FFFFFF"/>
        </w:rPr>
        <w:t xml:space="preserve"> variable“ / „</w:t>
      </w:r>
      <w:proofErr w:type="spellStart"/>
      <w:r w:rsidRPr="00687919">
        <w:rPr>
          <w:rFonts w:asciiTheme="minorHAnsi" w:hAnsiTheme="minorHAnsi" w:cstheme="minorHAnsi"/>
          <w:color w:val="000000"/>
          <w:shd w:val="clear" w:color="auto" w:fill="FFFFFF"/>
        </w:rPr>
        <w:t>common</w:t>
      </w:r>
      <w:proofErr w:type="spellEnd"/>
      <w:r w:rsidRPr="00687919">
        <w:rPr>
          <w:rFonts w:asciiTheme="minorHAnsi" w:hAnsiTheme="minorHAnsi" w:cstheme="minorHAnsi"/>
          <w:color w:val="000000"/>
          <w:shd w:val="clear" w:color="auto" w:fill="FFFFFF"/>
        </w:rPr>
        <w:t xml:space="preserve"> variable“</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welche die dort gelisteten Arten in die entsprechenden TapeS Artengruppen einteilt. Durch diese Übereinstimmung können die Abkürzungen sowie die „</w:t>
      </w:r>
      <w:proofErr w:type="spellStart"/>
      <w:r w:rsidRPr="00687919">
        <w:rPr>
          <w:rFonts w:asciiTheme="minorHAnsi" w:hAnsiTheme="minorHAnsi" w:cstheme="minorHAnsi"/>
          <w:color w:val="000000"/>
          <w:shd w:val="clear" w:color="auto" w:fill="FFFFFF"/>
        </w:rPr>
        <w:t>common</w:t>
      </w:r>
      <w:proofErr w:type="spellEnd"/>
      <w:r w:rsidRPr="00687919">
        <w:rPr>
          <w:rFonts w:asciiTheme="minorHAnsi" w:hAnsiTheme="minorHAnsi" w:cstheme="minorHAnsi"/>
          <w:color w:val="000000"/>
          <w:shd w:val="clear" w:color="auto" w:fill="FFFFFF"/>
        </w:rPr>
        <w:t xml:space="preserve"> ID“ zunächst aus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den Daten der </w:t>
      </w:r>
      <w:proofErr w:type="spellStart"/>
      <w:r w:rsidRPr="00687919">
        <w:rPr>
          <w:rFonts w:asciiTheme="minorHAnsi" w:hAnsiTheme="minorHAnsi" w:cstheme="minorHAnsi"/>
          <w:color w:val="000000"/>
          <w:shd w:val="clear" w:color="auto" w:fill="FFFFFF"/>
        </w:rPr>
        <w:t>Bestandeserhebung</w:t>
      </w:r>
      <w:proofErr w:type="spellEnd"/>
      <w:r w:rsidRPr="00687919">
        <w:rPr>
          <w:rFonts w:asciiTheme="minorHAnsi" w:hAnsiTheme="minorHAnsi" w:cstheme="minorHAnsi"/>
          <w:color w:val="000000"/>
          <w:shd w:val="clear" w:color="auto" w:fill="FFFFFF"/>
        </w:rPr>
        <w:t xml:space="preserve"> zugewiesen werden und darüber die Codes aus der TapeS Artenliste in das Datenset der </w:t>
      </w:r>
      <w:proofErr w:type="spellStart"/>
      <w:r w:rsidRPr="00687919">
        <w:rPr>
          <w:rFonts w:asciiTheme="minorHAnsi" w:hAnsiTheme="minorHAnsi" w:cstheme="minorHAnsi"/>
          <w:color w:val="000000"/>
          <w:shd w:val="clear" w:color="auto" w:fill="FFFFFF"/>
        </w:rPr>
        <w:t>Bestandeserhebung</w:t>
      </w:r>
      <w:proofErr w:type="spellEnd"/>
      <w:r w:rsidRPr="00687919">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eingeladen</w:t>
      </w:r>
      <w:r w:rsidRPr="00687919">
        <w:rPr>
          <w:rFonts w:asciiTheme="minorHAnsi" w:hAnsiTheme="minorHAnsi" w:cstheme="minorHAnsi"/>
          <w:color w:val="000000"/>
          <w:shd w:val="clear" w:color="auto" w:fill="FFFFFF"/>
        </w:rPr>
        <w:t xml:space="preserve"> werden. </w:t>
      </w:r>
    </w:p>
    <w:p w14:paraId="358514AA" w14:textId="77777777" w:rsidR="00672B8A" w:rsidRDefault="00672B8A" w:rsidP="00672B8A">
      <w:pPr>
        <w:rPr>
          <w:rFonts w:asciiTheme="minorHAnsi" w:hAnsiTheme="minorHAnsi" w:cstheme="minorHAnsi"/>
          <w:color w:val="000000"/>
          <w:shd w:val="clear" w:color="auto" w:fill="FFFFFF"/>
        </w:rPr>
      </w:pPr>
      <w:r w:rsidRPr="00687919">
        <w:rPr>
          <w:rFonts w:asciiTheme="minorHAnsi" w:hAnsiTheme="minorHAnsi" w:cstheme="minorHAnsi"/>
          <w:color w:val="000000"/>
          <w:shd w:val="clear" w:color="auto" w:fill="FFFFFF"/>
        </w:rPr>
        <w:t>Hierfür wurden zunächst die Baumarten</w:t>
      </w:r>
      <w:r>
        <w:rPr>
          <w:rFonts w:asciiTheme="minorHAnsi" w:hAnsiTheme="minorHAnsi" w:cstheme="minorHAnsi"/>
          <w:color w:val="000000"/>
          <w:shd w:val="clear" w:color="auto" w:fill="FFFFFF"/>
        </w:rPr>
        <w:t xml:space="preserve"> durch verschiedene vergleichende „</w:t>
      </w:r>
      <w:proofErr w:type="spellStart"/>
      <w:r>
        <w:rPr>
          <w:rFonts w:asciiTheme="minorHAnsi" w:hAnsiTheme="minorHAnsi" w:cstheme="minorHAnsi"/>
          <w:color w:val="000000"/>
          <w:shd w:val="clear" w:color="auto" w:fill="FFFFFF"/>
        </w:rPr>
        <w:t>joins</w:t>
      </w:r>
      <w:proofErr w:type="spellEnd"/>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aus de</w:t>
      </w:r>
      <w:r>
        <w:rPr>
          <w:rFonts w:asciiTheme="minorHAnsi" w:hAnsiTheme="minorHAnsi" w:cstheme="minorHAnsi"/>
          <w:color w:val="000000"/>
          <w:shd w:val="clear" w:color="auto" w:fill="FFFFFF"/>
        </w:rPr>
        <w:t>r</w:t>
      </w:r>
      <w:r w:rsidRPr="00687919">
        <w:rPr>
          <w:rFonts w:asciiTheme="minorHAnsi" w:hAnsiTheme="minorHAnsi" w:cstheme="minorHAnsi"/>
          <w:color w:val="000000"/>
          <w:shd w:val="clear" w:color="auto" w:fill="FFFFFF"/>
        </w:rPr>
        <w:t xml:space="preserve">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Liste gefiltert, welche einen übereinstimmenden botanischen </w:t>
      </w:r>
      <w:proofErr w:type="spellStart"/>
      <w:r w:rsidRPr="00687919">
        <w:rPr>
          <w:rFonts w:asciiTheme="minorHAnsi" w:hAnsiTheme="minorHAnsi" w:cstheme="minorHAnsi"/>
          <w:color w:val="000000"/>
          <w:shd w:val="clear" w:color="auto" w:fill="FFFFFF"/>
        </w:rPr>
        <w:t>namen</w:t>
      </w:r>
      <w:proofErr w:type="spellEnd"/>
      <w:r w:rsidRPr="00687919">
        <w:rPr>
          <w:rFonts w:asciiTheme="minorHAnsi" w:hAnsiTheme="minorHAnsi" w:cstheme="minorHAnsi"/>
          <w:color w:val="000000"/>
          <w:shd w:val="clear" w:color="auto" w:fill="FFFFFF"/>
        </w:rPr>
        <w:t xml:space="preserve"> in der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Artenliste haben (</w:t>
      </w:r>
      <w:proofErr w:type="spellStart"/>
      <w:r w:rsidRPr="00687919">
        <w:rPr>
          <w:rFonts w:asciiTheme="minorHAnsi" w:hAnsiTheme="minorHAnsi" w:cstheme="minorHAnsi"/>
          <w:color w:val="000000"/>
          <w:shd w:val="clear" w:color="auto" w:fill="FFFFFF"/>
        </w:rPr>
        <w:t>SP_names</w:t>
      </w:r>
      <w:proofErr w:type="spellEnd"/>
      <w:proofErr w:type="gramStart"/>
      <w:r w:rsidRPr="00687919">
        <w:rPr>
          <w:rFonts w:asciiTheme="minorHAnsi" w:hAnsiTheme="minorHAnsi" w:cstheme="minorHAnsi"/>
          <w:color w:val="000000"/>
          <w:shd w:val="clear" w:color="auto" w:fill="FFFFFF"/>
        </w:rPr>
        <w:t>[,</w:t>
      </w:r>
      <w:proofErr w:type="spellStart"/>
      <w:r w:rsidRPr="00687919">
        <w:rPr>
          <w:rFonts w:asciiTheme="minorHAnsi" w:hAnsiTheme="minorHAnsi" w:cstheme="minorHAnsi"/>
          <w:color w:val="000000"/>
          <w:shd w:val="clear" w:color="auto" w:fill="FFFFFF"/>
        </w:rPr>
        <w:t>bot</w:t>
      </w:r>
      <w:proofErr w:type="gramEnd"/>
      <w:r w:rsidRPr="00687919">
        <w:rPr>
          <w:rFonts w:asciiTheme="minorHAnsi" w:hAnsiTheme="minorHAnsi" w:cstheme="minorHAnsi"/>
          <w:color w:val="000000"/>
          <w:shd w:val="clear" w:color="auto" w:fill="FFFFFF"/>
        </w:rPr>
        <w:t>_name</w:t>
      </w:r>
      <w:proofErr w:type="spellEnd"/>
      <w:r w:rsidRPr="00687919">
        <w:rPr>
          <w:rFonts w:asciiTheme="minorHAnsi" w:hAnsiTheme="minorHAnsi" w:cstheme="minorHAnsi"/>
          <w:color w:val="000000"/>
          <w:shd w:val="clear" w:color="auto" w:fill="FFFFFF"/>
        </w:rPr>
        <w:t xml:space="preserve">] = </w:t>
      </w:r>
      <w:proofErr w:type="spellStart"/>
      <w:r w:rsidRPr="00687919">
        <w:rPr>
          <w:rFonts w:asciiTheme="minorHAnsi" w:hAnsiTheme="minorHAnsi" w:cstheme="minorHAnsi"/>
          <w:color w:val="000000"/>
          <w:shd w:val="clear" w:color="auto" w:fill="FFFFFF"/>
        </w:rPr>
        <w:lastRenderedPageBreak/>
        <w:t>TapeS_SP</w:t>
      </w:r>
      <w:proofErr w:type="spellEnd"/>
      <w:r w:rsidRPr="00687919">
        <w:rPr>
          <w:rFonts w:asciiTheme="minorHAnsi" w:hAnsiTheme="minorHAnsi" w:cstheme="minorHAnsi"/>
          <w:color w:val="000000"/>
          <w:shd w:val="clear" w:color="auto" w:fill="FFFFFF"/>
        </w:rPr>
        <w:t xml:space="preserve">[, </w:t>
      </w:r>
      <w:proofErr w:type="spellStart"/>
      <w:r w:rsidRPr="00687919">
        <w:rPr>
          <w:rFonts w:asciiTheme="minorHAnsi" w:hAnsiTheme="minorHAnsi" w:cstheme="minorHAnsi"/>
          <w:color w:val="000000"/>
          <w:shd w:val="clear" w:color="auto" w:fill="FFFFFF"/>
        </w:rPr>
        <w:t>scientific</w:t>
      </w:r>
      <w:proofErr w:type="spellEnd"/>
      <w:r w:rsidRPr="00687919">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 xml:space="preserve">So konnte </w:t>
      </w:r>
      <w:r w:rsidRPr="00687919">
        <w:rPr>
          <w:rFonts w:asciiTheme="minorHAnsi" w:hAnsiTheme="minorHAnsi" w:cstheme="minorHAnsi"/>
          <w:color w:val="000000"/>
          <w:shd w:val="clear" w:color="auto" w:fill="FFFFFF"/>
        </w:rPr>
        <w:t xml:space="preserve">eine Spalte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zu erzeug</w:t>
      </w:r>
      <w:r>
        <w:rPr>
          <w:rFonts w:asciiTheme="minorHAnsi" w:hAnsiTheme="minorHAnsi" w:cstheme="minorHAnsi"/>
          <w:color w:val="000000"/>
          <w:shd w:val="clear" w:color="auto" w:fill="FFFFFF"/>
        </w:rPr>
        <w:t>t werden,</w:t>
      </w:r>
      <w:r w:rsidRPr="00687919">
        <w:rPr>
          <w:rFonts w:asciiTheme="minorHAnsi" w:hAnsiTheme="minorHAnsi" w:cstheme="minorHAnsi"/>
          <w:color w:val="000000"/>
          <w:shd w:val="clear" w:color="auto" w:fill="FFFFFF"/>
        </w:rPr>
        <w:t xml:space="preserve"> die auf den BWI-Abkürzungen für die Deutschen Artnamen beruht (KI musste hierfür zu KIE, SER zu ER verändert)</w:t>
      </w:r>
      <w:r>
        <w:rPr>
          <w:rFonts w:asciiTheme="minorHAnsi" w:hAnsiTheme="minorHAnsi" w:cstheme="minorHAnsi"/>
          <w:color w:val="000000"/>
          <w:shd w:val="clear" w:color="auto" w:fill="FFFFFF"/>
        </w:rPr>
        <w:t>. Diese stimmt</w:t>
      </w:r>
      <w:r w:rsidRPr="00687919">
        <w:rPr>
          <w:rFonts w:asciiTheme="minorHAnsi" w:hAnsiTheme="minorHAnsi" w:cstheme="minorHAnsi"/>
          <w:color w:val="000000"/>
          <w:shd w:val="clear" w:color="auto" w:fill="FFFFFF"/>
        </w:rPr>
        <w:t xml:space="preserve"> mit einer </w:t>
      </w:r>
      <w:r>
        <w:rPr>
          <w:rFonts w:asciiTheme="minorHAnsi" w:hAnsiTheme="minorHAnsi" w:cstheme="minorHAnsi"/>
          <w:color w:val="000000"/>
          <w:shd w:val="clear" w:color="auto" w:fill="FFFFFF"/>
        </w:rPr>
        <w:t>vollständig</w:t>
      </w:r>
      <w:r w:rsidRPr="00687919">
        <w:rPr>
          <w:rFonts w:asciiTheme="minorHAnsi" w:hAnsiTheme="minorHAnsi" w:cstheme="minorHAnsi"/>
          <w:color w:val="000000"/>
          <w:shd w:val="clear" w:color="auto" w:fill="FFFFFF"/>
        </w:rPr>
        <w:t xml:space="preserve"> zu Großbuchstaben veränderten Spalte </w:t>
      </w:r>
      <w:r>
        <w:rPr>
          <w:rFonts w:asciiTheme="minorHAnsi" w:hAnsiTheme="minorHAnsi" w:cstheme="minorHAnsi"/>
          <w:color w:val="000000"/>
          <w:shd w:val="clear" w:color="auto" w:fill="FFFFFF"/>
        </w:rPr>
        <w:t>der</w:t>
      </w:r>
      <w:r w:rsidRPr="00687919">
        <w:rPr>
          <w:rFonts w:asciiTheme="minorHAnsi" w:hAnsiTheme="minorHAnsi" w:cstheme="minorHAnsi"/>
          <w:color w:val="000000"/>
          <w:shd w:val="clear" w:color="auto" w:fill="FFFFFF"/>
        </w:rPr>
        <w:t xml:space="preserve"> Abkürzungen für die deutschen Artnamen aus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überein (</w:t>
      </w:r>
      <w:proofErr w:type="spellStart"/>
      <w:r w:rsidRPr="00687919">
        <w:rPr>
          <w:rFonts w:asciiTheme="minorHAnsi" w:hAnsiTheme="minorHAnsi" w:cstheme="minorHAnsi"/>
          <w:color w:val="000000"/>
          <w:shd w:val="clear" w:color="auto" w:fill="FFFFFF"/>
        </w:rPr>
        <w:t>tpS_com_ID</w:t>
      </w:r>
      <w:proofErr w:type="spellEnd"/>
      <w:r w:rsidRPr="00687919">
        <w:rPr>
          <w:rFonts w:asciiTheme="minorHAnsi" w:hAnsiTheme="minorHAnsi" w:cstheme="minorHAnsi"/>
          <w:color w:val="000000"/>
          <w:shd w:val="clear" w:color="auto" w:fill="FFFFFF"/>
        </w:rPr>
        <w:t>).</w:t>
      </w:r>
      <w:r>
        <w:rPr>
          <w:rFonts w:asciiTheme="minorHAnsi" w:hAnsiTheme="minorHAnsi" w:cstheme="minorHAnsi"/>
          <w:color w:val="000000"/>
          <w:shd w:val="clear" w:color="auto" w:fill="FFFFFF"/>
        </w:rPr>
        <w:t xml:space="preserve"> </w:t>
      </w:r>
    </w:p>
    <w:p w14:paraId="4D76853D" w14:textId="77777777" w:rsidR="00672B8A" w:rsidRPr="00687919" w:rsidRDefault="00672B8A" w:rsidP="00672B8A">
      <w:pPr>
        <w:rPr>
          <w:rFonts w:asciiTheme="minorHAnsi" w:hAnsiTheme="minorHAnsi" w:cstheme="minorHAnsi"/>
          <w:color w:val="000000"/>
          <w:sz w:val="24"/>
          <w:szCs w:val="24"/>
        </w:rPr>
      </w:pPr>
      <w:r w:rsidRPr="00687919">
        <w:rPr>
          <w:rFonts w:asciiTheme="minorHAnsi" w:hAnsiTheme="minorHAnsi" w:cstheme="minorHAnsi"/>
          <w:color w:val="000000"/>
          <w:shd w:val="clear" w:color="auto" w:fill="FFFFFF"/>
        </w:rPr>
        <w:t>Über die Einordnung der verbleibenden</w:t>
      </w:r>
      <w:r>
        <w:rPr>
          <w:rFonts w:asciiTheme="minorHAnsi" w:hAnsiTheme="minorHAnsi" w:cstheme="minorHAnsi"/>
          <w:color w:val="000000"/>
          <w:shd w:val="clear" w:color="auto" w:fill="FFFFFF"/>
        </w:rPr>
        <w:t>, nicht zuordenbaren</w:t>
      </w:r>
      <w:r w:rsidRPr="00687919">
        <w:rPr>
          <w:rFonts w:asciiTheme="minorHAnsi" w:hAnsiTheme="minorHAnsi" w:cstheme="minorHAnsi"/>
          <w:color w:val="000000"/>
          <w:shd w:val="clear" w:color="auto" w:fill="FFFFFF"/>
        </w:rPr>
        <w:t xml:space="preserve"> Arten wurde Einzelfallweise entschieden. Generell sind die Arten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zahlreicher und genauer aufgelistet. Die Einordnung erfolgte </w:t>
      </w:r>
      <w:proofErr w:type="gramStart"/>
      <w:r w:rsidRPr="00687919">
        <w:rPr>
          <w:rFonts w:asciiTheme="minorHAnsi" w:hAnsiTheme="minorHAnsi" w:cstheme="minorHAnsi"/>
          <w:color w:val="000000"/>
          <w:shd w:val="clear" w:color="auto" w:fill="FFFFFF"/>
        </w:rPr>
        <w:t>nach folgenden</w:t>
      </w:r>
      <w:proofErr w:type="gramEnd"/>
      <w:r w:rsidRPr="00687919">
        <w:rPr>
          <w:rFonts w:asciiTheme="minorHAnsi" w:hAnsiTheme="minorHAnsi" w:cstheme="minorHAnsi"/>
          <w:color w:val="000000"/>
          <w:shd w:val="clear" w:color="auto" w:fill="FFFFFF"/>
        </w:rPr>
        <w:t xml:space="preserve"> Kriterien: </w:t>
      </w:r>
    </w:p>
    <w:p w14:paraId="5A80C55E" w14:textId="335A10BC" w:rsidR="001A0047" w:rsidRPr="00ED2F1D" w:rsidRDefault="001A0047" w:rsidP="001A0047">
      <w:pPr>
        <w:pStyle w:val="Liste-1"/>
      </w:pPr>
      <w:r w:rsidRPr="00ED2F1D">
        <w:t xml:space="preserve">sollte(n) eine oder mehrere Arten in </w:t>
      </w:r>
      <w:proofErr w:type="spellStart"/>
      <w:r w:rsidRPr="00ED2F1D">
        <w:t>x_bart</w:t>
      </w:r>
      <w:proofErr w:type="spellEnd"/>
      <w:r w:rsidRPr="00ED2F1D">
        <w:t xml:space="preserve"> unterschieden werden, in TapeS jedoch nur </w:t>
      </w:r>
      <w:proofErr w:type="gramStart"/>
      <w:r w:rsidRPr="00ED2F1D">
        <w:t>der botanische Genus</w:t>
      </w:r>
      <w:proofErr w:type="gramEnd"/>
      <w:r w:rsidRPr="00ED2F1D">
        <w:t xml:space="preserve"> gelistet sein, wurden alle Arten des Genus unter dem entsprechenden Genus zusammen gefasst e.g.: </w:t>
      </w:r>
      <w:proofErr w:type="spellStart"/>
      <w:r w:rsidRPr="00ED2F1D">
        <w:t>x_bart</w:t>
      </w:r>
      <w:proofErr w:type="spellEnd"/>
      <w:r w:rsidRPr="00ED2F1D">
        <w:t xml:space="preserve">: Ulmus minor, Ulmus </w:t>
      </w:r>
      <w:proofErr w:type="spellStart"/>
      <w:r w:rsidRPr="00ED2F1D">
        <w:t>laecis</w:t>
      </w:r>
      <w:proofErr w:type="spellEnd"/>
      <w:r w:rsidRPr="00ED2F1D">
        <w:t xml:space="preserve">, etc. → </w:t>
      </w:r>
      <w:proofErr w:type="spellStart"/>
      <w:r w:rsidRPr="00ED2F1D">
        <w:t>TapeS</w:t>
      </w:r>
      <w:proofErr w:type="spellEnd"/>
      <w:r w:rsidRPr="00ED2F1D">
        <w:t xml:space="preserve">: Ulmus </w:t>
      </w:r>
      <w:proofErr w:type="spellStart"/>
      <w:r w:rsidRPr="00ED2F1D">
        <w:t>spp</w:t>
      </w:r>
      <w:proofErr w:type="spellEnd"/>
      <w:r w:rsidRPr="00ED2F1D">
        <w:t xml:space="preserve">. </w:t>
      </w:r>
    </w:p>
    <w:p w14:paraId="192094B2" w14:textId="77777777" w:rsidR="001A0047" w:rsidRPr="00ED2F1D" w:rsidRDefault="001A0047" w:rsidP="001A0047">
      <w:pPr>
        <w:pStyle w:val="Liste-1"/>
      </w:pPr>
      <w:r w:rsidRPr="00ED2F1D">
        <w:t xml:space="preserve">sollte(n) einige oder mehrere Arten in </w:t>
      </w:r>
      <w:proofErr w:type="spellStart"/>
      <w:r w:rsidRPr="00ED2F1D">
        <w:t>x_bart</w:t>
      </w:r>
      <w:proofErr w:type="spellEnd"/>
      <w:r w:rsidRPr="00ED2F1D">
        <w:t xml:space="preserve"> und in </w:t>
      </w:r>
      <w:proofErr w:type="spellStart"/>
      <w:r w:rsidRPr="00ED2F1D">
        <w:t>TapeS</w:t>
      </w:r>
      <w:proofErr w:type="spellEnd"/>
      <w:r w:rsidRPr="00ED2F1D">
        <w:t xml:space="preserve"> unterschieden werden, andere jedoch nur in </w:t>
      </w:r>
      <w:proofErr w:type="spellStart"/>
      <w:r w:rsidRPr="00ED2F1D">
        <w:t>x_bart</w:t>
      </w:r>
      <w:proofErr w:type="spellEnd"/>
      <w:r w:rsidRPr="00ED2F1D">
        <w:t xml:space="preserve"> vorkommen, wobei </w:t>
      </w:r>
      <w:proofErr w:type="spellStart"/>
      <w:r w:rsidRPr="00ED2F1D">
        <w:t>TapeS</w:t>
      </w:r>
      <w:proofErr w:type="spellEnd"/>
      <w:r w:rsidRPr="00ED2F1D">
        <w:t xml:space="preserve"> eine neben den einzelnen Arten eine Zusammenfassung unter dem botanischen Genus vorsieht, so wurden die entsprechend übereinstimmenden Arten </w:t>
      </w:r>
      <w:proofErr w:type="spellStart"/>
      <w:r w:rsidRPr="00ED2F1D">
        <w:t>gematched</w:t>
      </w:r>
      <w:proofErr w:type="spellEnd"/>
      <w:r w:rsidRPr="00ED2F1D">
        <w:t xml:space="preserve"> und alle in </w:t>
      </w:r>
      <w:proofErr w:type="spellStart"/>
      <w:r w:rsidRPr="00ED2F1D">
        <w:t>x_bart</w:t>
      </w:r>
      <w:proofErr w:type="spellEnd"/>
      <w:r w:rsidRPr="00ED2F1D">
        <w:t xml:space="preserve"> verbleibenden, nicht zugeordneten Arten desselben Genus unter dem zugehörigen Genus </w:t>
      </w:r>
      <w:proofErr w:type="spellStart"/>
      <w:r w:rsidRPr="00ED2F1D">
        <w:t>spp</w:t>
      </w:r>
      <w:proofErr w:type="spellEnd"/>
      <w:r w:rsidRPr="00ED2F1D">
        <w:t>. Eingeordnet</w:t>
      </w:r>
    </w:p>
    <w:p w14:paraId="11F53993" w14:textId="77777777" w:rsidR="001A0047" w:rsidRPr="00ED2F1D" w:rsidRDefault="001A0047" w:rsidP="001A0047">
      <w:pPr>
        <w:pStyle w:val="Liste-1"/>
        <w:numPr>
          <w:ilvl w:val="1"/>
          <w:numId w:val="5"/>
        </w:numPr>
      </w:pPr>
      <w:r w:rsidRPr="0096065F">
        <w:rPr>
          <w:lang w:val="en-US"/>
        </w:rPr>
        <w:t xml:space="preserve">e.g.: </w:t>
      </w:r>
      <w:proofErr w:type="spellStart"/>
      <w:r w:rsidRPr="0096065F">
        <w:rPr>
          <w:lang w:val="en-US"/>
        </w:rPr>
        <w:t>x_bart</w:t>
      </w:r>
      <w:proofErr w:type="spellEnd"/>
      <w:r w:rsidRPr="0096065F">
        <w:rPr>
          <w:lang w:val="en-US"/>
        </w:rPr>
        <w:t xml:space="preserve">: Acer </w:t>
      </w:r>
      <w:proofErr w:type="spellStart"/>
      <w:r w:rsidRPr="0096065F">
        <w:rPr>
          <w:lang w:val="en-US"/>
        </w:rPr>
        <w:t>plataniodes</w:t>
      </w:r>
      <w:proofErr w:type="spellEnd"/>
      <w:r w:rsidRPr="0096065F">
        <w:rPr>
          <w:lang w:val="en-US"/>
        </w:rPr>
        <w:t xml:space="preserve">, Acer pseudoplatanus, Acer </w:t>
      </w:r>
      <w:proofErr w:type="spellStart"/>
      <w:r w:rsidRPr="0096065F">
        <w:rPr>
          <w:lang w:val="en-US"/>
        </w:rPr>
        <w:t>campestre</w:t>
      </w:r>
      <w:proofErr w:type="spellEnd"/>
      <w:r w:rsidRPr="0096065F">
        <w:rPr>
          <w:lang w:val="en-US"/>
        </w:rPr>
        <w:t xml:space="preserve">, Acer negundo, Acer </w:t>
      </w:r>
      <w:proofErr w:type="spellStart"/>
      <w:r w:rsidRPr="0096065F">
        <w:rPr>
          <w:lang w:val="en-US"/>
        </w:rPr>
        <w:t>opalus</w:t>
      </w:r>
      <w:proofErr w:type="spellEnd"/>
      <w:r w:rsidRPr="0096065F">
        <w:rPr>
          <w:lang w:val="en-US"/>
        </w:rPr>
        <w:t xml:space="preserve">, etc. </w:t>
      </w:r>
      <w:r w:rsidRPr="00ED2F1D">
        <w:t xml:space="preserve">→ </w:t>
      </w:r>
      <w:proofErr w:type="spellStart"/>
      <w:r w:rsidRPr="00ED2F1D">
        <w:t>TapeS</w:t>
      </w:r>
      <w:proofErr w:type="spellEnd"/>
      <w:r w:rsidRPr="00ED2F1D">
        <w:t xml:space="preserve">: Acer </w:t>
      </w:r>
      <w:proofErr w:type="spellStart"/>
      <w:r w:rsidRPr="00ED2F1D">
        <w:t>plataniodes</w:t>
      </w:r>
      <w:proofErr w:type="spellEnd"/>
      <w:r w:rsidRPr="00ED2F1D">
        <w:t xml:space="preserve">, Acer pseudoplatanus, Acer campestre, Acer </w:t>
      </w:r>
      <w:proofErr w:type="spellStart"/>
      <w:r w:rsidRPr="00ED2F1D">
        <w:t>spp</w:t>
      </w:r>
      <w:proofErr w:type="spellEnd"/>
      <w:r w:rsidRPr="00ED2F1D">
        <w:t>.</w:t>
      </w:r>
    </w:p>
    <w:p w14:paraId="07AE65C4" w14:textId="77777777" w:rsidR="001A0047" w:rsidRPr="00ED2F1D" w:rsidRDefault="001A0047" w:rsidP="001A0047">
      <w:pPr>
        <w:pStyle w:val="Liste-1"/>
      </w:pPr>
      <w:r w:rsidRPr="00ED2F1D">
        <w:t xml:space="preserve">sollte(n) einige oder mehrere Arten in </w:t>
      </w:r>
      <w:proofErr w:type="spellStart"/>
      <w:r w:rsidRPr="00ED2F1D">
        <w:t>x_bart</w:t>
      </w:r>
      <w:proofErr w:type="spellEnd"/>
      <w:r w:rsidRPr="00ED2F1D">
        <w:t xml:space="preserve"> und in </w:t>
      </w:r>
      <w:proofErr w:type="spellStart"/>
      <w:r w:rsidRPr="00ED2F1D">
        <w:t>TapeS</w:t>
      </w:r>
      <w:proofErr w:type="spellEnd"/>
      <w:r w:rsidRPr="00ED2F1D">
        <w:t xml:space="preserve"> unterschieden werden, andere jedoch nur in </w:t>
      </w:r>
      <w:proofErr w:type="spellStart"/>
      <w:r w:rsidRPr="00ED2F1D">
        <w:t>x_bart</w:t>
      </w:r>
      <w:proofErr w:type="spellEnd"/>
      <w:r w:rsidRPr="00ED2F1D">
        <w:t xml:space="preserve"> vorkommen, wobei </w:t>
      </w:r>
      <w:proofErr w:type="spellStart"/>
      <w:r w:rsidRPr="00ED2F1D">
        <w:t>TapeS</w:t>
      </w:r>
      <w:proofErr w:type="spellEnd"/>
      <w:r w:rsidRPr="00ED2F1D">
        <w:t xml:space="preserve"> neben den einzelnen Arten keine Zusammenfassung unter dem </w:t>
      </w:r>
      <w:proofErr w:type="spellStart"/>
      <w:r w:rsidRPr="00ED2F1D">
        <w:t>boatnischen</w:t>
      </w:r>
      <w:proofErr w:type="spellEnd"/>
      <w:r w:rsidRPr="00ED2F1D">
        <w:t xml:space="preserve"> Genus vorsieht, so wurden die entsprechend übereinstimmenden Arten </w:t>
      </w:r>
      <w:proofErr w:type="spellStart"/>
      <w:r w:rsidRPr="00ED2F1D">
        <w:t>gematched</w:t>
      </w:r>
      <w:proofErr w:type="spellEnd"/>
      <w:r w:rsidRPr="00ED2F1D">
        <w:t xml:space="preserve"> und alle in </w:t>
      </w:r>
      <w:proofErr w:type="spellStart"/>
      <w:r w:rsidRPr="00ED2F1D">
        <w:t>x_bart</w:t>
      </w:r>
      <w:proofErr w:type="spellEnd"/>
      <w:r w:rsidRPr="00ED2F1D">
        <w:t xml:space="preserve"> verbleibenden, nicht zugeordneten Arten desselben </w:t>
      </w:r>
      <w:proofErr w:type="spellStart"/>
      <w:r w:rsidRPr="00ED2F1D">
        <w:t>Genus</w:t>
      </w:r>
      <w:proofErr w:type="spellEnd"/>
      <w:r w:rsidRPr="00ED2F1D">
        <w:t xml:space="preserve"> einer der in </w:t>
      </w:r>
      <w:proofErr w:type="spellStart"/>
      <w:r w:rsidRPr="00ED2F1D">
        <w:t>TapeS</w:t>
      </w:r>
      <w:proofErr w:type="spellEnd"/>
      <w:r w:rsidRPr="00ED2F1D">
        <w:t xml:space="preserve"> gelisteten Arten </w:t>
      </w:r>
      <w:proofErr w:type="spellStart"/>
      <w:r w:rsidRPr="00ED2F1D">
        <w:t>desseleben</w:t>
      </w:r>
      <w:proofErr w:type="spellEnd"/>
      <w:r w:rsidRPr="00ED2F1D">
        <w:t xml:space="preserve"> Genus zugeordnet. </w:t>
      </w:r>
    </w:p>
    <w:p w14:paraId="4882CDDE" w14:textId="77777777" w:rsidR="001A0047" w:rsidRPr="00ED2F1D" w:rsidRDefault="001A0047" w:rsidP="001A0047">
      <w:pPr>
        <w:pStyle w:val="Liste-1"/>
        <w:numPr>
          <w:ilvl w:val="1"/>
          <w:numId w:val="5"/>
        </w:numPr>
      </w:pPr>
      <w:proofErr w:type="gramStart"/>
      <w:r w:rsidRPr="0096065F">
        <w:rPr>
          <w:lang w:val="en-US"/>
        </w:rPr>
        <w:t>e.g.</w:t>
      </w:r>
      <w:proofErr w:type="gramEnd"/>
      <w:r w:rsidRPr="0096065F">
        <w:rPr>
          <w:lang w:val="en-US"/>
        </w:rPr>
        <w:t xml:space="preserve"> </w:t>
      </w:r>
      <w:proofErr w:type="spellStart"/>
      <w:r w:rsidRPr="0096065F">
        <w:rPr>
          <w:lang w:val="en-US"/>
        </w:rPr>
        <w:t>x_bart</w:t>
      </w:r>
      <w:proofErr w:type="spellEnd"/>
      <w:r w:rsidRPr="0096065F">
        <w:rPr>
          <w:lang w:val="en-US"/>
        </w:rPr>
        <w:t xml:space="preserve">: Abies grandis, Abies alba, Abies amabilis, Abies </w:t>
      </w:r>
      <w:proofErr w:type="spellStart"/>
      <w:r w:rsidRPr="0096065F">
        <w:rPr>
          <w:lang w:val="en-US"/>
        </w:rPr>
        <w:t>cilicica</w:t>
      </w:r>
      <w:proofErr w:type="spellEnd"/>
      <w:r w:rsidRPr="0096065F">
        <w:rPr>
          <w:lang w:val="en-US"/>
        </w:rPr>
        <w:t xml:space="preserve">, Abies spp., etc. </w:t>
      </w:r>
      <w:r w:rsidRPr="00ED2F1D">
        <w:t xml:space="preserve">→ </w:t>
      </w:r>
      <w:proofErr w:type="spellStart"/>
      <w:r w:rsidRPr="00ED2F1D">
        <w:t>TapeS</w:t>
      </w:r>
      <w:proofErr w:type="spellEnd"/>
      <w:r w:rsidRPr="00ED2F1D">
        <w:t xml:space="preserve">: </w:t>
      </w:r>
      <w:proofErr w:type="spellStart"/>
      <w:r w:rsidRPr="00ED2F1D">
        <w:t>Abies</w:t>
      </w:r>
      <w:proofErr w:type="spellEnd"/>
      <w:r w:rsidRPr="00ED2F1D">
        <w:t xml:space="preserve"> </w:t>
      </w:r>
      <w:proofErr w:type="spellStart"/>
      <w:r w:rsidRPr="00ED2F1D">
        <w:t>grandis</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w:t>
      </w:r>
    </w:p>
    <w:p w14:paraId="5D20AA4B" w14:textId="77777777" w:rsidR="001A0047" w:rsidRPr="00ED2F1D" w:rsidRDefault="001A0047" w:rsidP="001A0047">
      <w:pPr>
        <w:pStyle w:val="Liste-1"/>
      </w:pPr>
      <w:r w:rsidRPr="00ED2F1D">
        <w:t xml:space="preserve">sollten eine oder mehrere Arten in </w:t>
      </w:r>
      <w:proofErr w:type="spellStart"/>
      <w:r w:rsidRPr="00ED2F1D">
        <w:t>x_bart</w:t>
      </w:r>
      <w:proofErr w:type="spellEnd"/>
      <w:r w:rsidRPr="00ED2F1D">
        <w:t xml:space="preserve"> unterschieden werden, wobei in TapeS nur eine Art desselben Genus gelistet ist, wurden alle Arten des Genus in </w:t>
      </w:r>
      <w:proofErr w:type="spellStart"/>
      <w:r w:rsidRPr="00ED2F1D">
        <w:t>x_bart</w:t>
      </w:r>
      <w:proofErr w:type="spellEnd"/>
      <w:r w:rsidRPr="00ED2F1D">
        <w:t xml:space="preserve"> unter der in TapeS gelisteten Art desselben Genus zusammengefasst: </w:t>
      </w:r>
    </w:p>
    <w:p w14:paraId="4931E79F" w14:textId="77777777" w:rsidR="001A0047" w:rsidRPr="0096065F" w:rsidRDefault="001A0047" w:rsidP="001A0047">
      <w:pPr>
        <w:pStyle w:val="Liste-1"/>
        <w:numPr>
          <w:ilvl w:val="1"/>
          <w:numId w:val="5"/>
        </w:numPr>
        <w:rPr>
          <w:lang w:val="en-US"/>
        </w:rPr>
      </w:pPr>
      <w:r w:rsidRPr="0096065F">
        <w:rPr>
          <w:lang w:val="en-US"/>
        </w:rPr>
        <w:t xml:space="preserve">e.g.: </w:t>
      </w:r>
      <w:proofErr w:type="spellStart"/>
      <w:r w:rsidRPr="0096065F">
        <w:rPr>
          <w:lang w:val="en-US"/>
        </w:rPr>
        <w:t>x_</w:t>
      </w:r>
      <w:proofErr w:type="gramStart"/>
      <w:r w:rsidRPr="0096065F">
        <w:rPr>
          <w:lang w:val="en-US"/>
        </w:rPr>
        <w:t>bart</w:t>
      </w:r>
      <w:proofErr w:type="spellEnd"/>
      <w:r w:rsidRPr="0096065F">
        <w:rPr>
          <w:lang w:val="en-US"/>
        </w:rPr>
        <w:t xml:space="preserve"> :</w:t>
      </w:r>
      <w:proofErr w:type="gramEnd"/>
      <w:r w:rsidRPr="0096065F">
        <w:rPr>
          <w:lang w:val="en-US"/>
        </w:rPr>
        <w:t xml:space="preserve"> Fagus sylvatica, Fagus </w:t>
      </w:r>
      <w:proofErr w:type="spellStart"/>
      <w:r w:rsidRPr="0096065F">
        <w:rPr>
          <w:lang w:val="en-US"/>
        </w:rPr>
        <w:t>orientalis</w:t>
      </w:r>
      <w:proofErr w:type="spellEnd"/>
      <w:r w:rsidRPr="0096065F">
        <w:rPr>
          <w:lang w:val="en-US"/>
        </w:rPr>
        <w:t xml:space="preserve">, Fagus </w:t>
      </w:r>
      <w:proofErr w:type="spellStart"/>
      <w:r w:rsidRPr="0096065F">
        <w:rPr>
          <w:lang w:val="en-US"/>
        </w:rPr>
        <w:t>moesiaca</w:t>
      </w:r>
      <w:proofErr w:type="spellEnd"/>
      <w:r w:rsidRPr="0096065F">
        <w:rPr>
          <w:lang w:val="en-US"/>
        </w:rPr>
        <w:t xml:space="preserve"> → </w:t>
      </w:r>
      <w:proofErr w:type="spellStart"/>
      <w:r w:rsidRPr="0096065F">
        <w:rPr>
          <w:lang w:val="en-US"/>
        </w:rPr>
        <w:t>TapeS</w:t>
      </w:r>
      <w:proofErr w:type="spellEnd"/>
      <w:r w:rsidRPr="0096065F">
        <w:rPr>
          <w:lang w:val="en-US"/>
        </w:rPr>
        <w:t>: Fagus sylvatica, Fagus sylvatica, …</w:t>
      </w:r>
    </w:p>
    <w:p w14:paraId="1A8F9994" w14:textId="77777777" w:rsidR="001A0047" w:rsidRPr="00ED2F1D" w:rsidRDefault="001A0047" w:rsidP="001A0047">
      <w:pPr>
        <w:pStyle w:val="Liste-1"/>
      </w:pPr>
      <w:r w:rsidRPr="00ED2F1D">
        <w:t xml:space="preserve">sollte ein Genus in </w:t>
      </w:r>
      <w:proofErr w:type="spellStart"/>
      <w:r w:rsidRPr="00ED2F1D">
        <w:t>x_bart</w:t>
      </w:r>
      <w:proofErr w:type="spellEnd"/>
      <w:r w:rsidRPr="00ED2F1D">
        <w:t xml:space="preserve"> nicht in Arten unterschieden werden, in TapeS jedoch schon werden alle Bäume des Genus der in TapeS gelisteten Art zugeordnet</w:t>
      </w:r>
    </w:p>
    <w:p w14:paraId="12037BF0" w14:textId="77777777" w:rsidR="001A0047" w:rsidRPr="00ED2F1D" w:rsidRDefault="001A0047" w:rsidP="001A0047">
      <w:pPr>
        <w:pStyle w:val="Liste-1"/>
        <w:numPr>
          <w:ilvl w:val="1"/>
          <w:numId w:val="5"/>
        </w:numPr>
      </w:pPr>
      <w:r w:rsidRPr="0096065F">
        <w:rPr>
          <w:lang w:val="en-US"/>
        </w:rPr>
        <w:t xml:space="preserve">e.g.: </w:t>
      </w:r>
      <w:proofErr w:type="spellStart"/>
      <w:r w:rsidRPr="0096065F">
        <w:rPr>
          <w:lang w:val="en-US"/>
        </w:rPr>
        <w:t>x_bart</w:t>
      </w:r>
      <w:proofErr w:type="spellEnd"/>
      <w:r w:rsidRPr="0096065F">
        <w:rPr>
          <w:lang w:val="en-US"/>
        </w:rPr>
        <w:t xml:space="preserve">: </w:t>
      </w:r>
      <w:proofErr w:type="spellStart"/>
      <w:r w:rsidRPr="0096065F">
        <w:rPr>
          <w:lang w:val="en-US"/>
        </w:rPr>
        <w:t>Tuja</w:t>
      </w:r>
      <w:proofErr w:type="spellEnd"/>
      <w:r w:rsidRPr="0096065F">
        <w:rPr>
          <w:lang w:val="en-US"/>
        </w:rPr>
        <w:t xml:space="preserve"> spp. </w:t>
      </w:r>
      <w:r w:rsidRPr="00ED2F1D">
        <w:t xml:space="preserve">→ </w:t>
      </w:r>
      <w:proofErr w:type="spellStart"/>
      <w:r w:rsidRPr="00ED2F1D">
        <w:t>TapeS</w:t>
      </w:r>
      <w:proofErr w:type="spellEnd"/>
      <w:r w:rsidRPr="00ED2F1D">
        <w:t xml:space="preserve">: Thuja </w:t>
      </w:r>
      <w:proofErr w:type="spellStart"/>
      <w:r w:rsidRPr="00ED2F1D">
        <w:t>plicata</w:t>
      </w:r>
      <w:proofErr w:type="spellEnd"/>
    </w:p>
    <w:p w14:paraId="2AB6705E" w14:textId="42416F43" w:rsidR="001A0047" w:rsidRPr="009A3B5C" w:rsidRDefault="001A0047" w:rsidP="001A0047">
      <w:pPr>
        <w:pStyle w:val="Liste-1"/>
        <w:rPr>
          <w:sz w:val="24"/>
          <w:szCs w:val="24"/>
        </w:rPr>
      </w:pPr>
      <w:r w:rsidRPr="00ED2F1D">
        <w:t xml:space="preserve">alle in </w:t>
      </w:r>
      <w:proofErr w:type="spellStart"/>
      <w:r w:rsidRPr="00ED2F1D">
        <w:t>x_bart</w:t>
      </w:r>
      <w:proofErr w:type="spellEnd"/>
      <w:r w:rsidRPr="00ED2F1D">
        <w:t xml:space="preserve"> gelisteten Arten und </w:t>
      </w:r>
      <w:proofErr w:type="spellStart"/>
      <w:r w:rsidRPr="00ED2F1D">
        <w:t>Geni</w:t>
      </w:r>
      <w:proofErr w:type="spellEnd"/>
      <w:r w:rsidRPr="00ED2F1D">
        <w:t xml:space="preserve">, welche keine übereinstimmende Art oder Familie in TapeS gelistet haben, werden den Kategorien </w:t>
      </w:r>
      <w:proofErr w:type="spellStart"/>
      <w:r w:rsidRPr="00ED2F1D">
        <w:t>Magnoliopsida</w:t>
      </w:r>
      <w:proofErr w:type="spellEnd"/>
      <w:r w:rsidRPr="00ED2F1D">
        <w:t xml:space="preserve"> </w:t>
      </w:r>
      <w:proofErr w:type="spellStart"/>
      <w:r w:rsidRPr="00ED2F1D">
        <w:t>trees</w:t>
      </w:r>
      <w:proofErr w:type="spellEnd"/>
      <w:r w:rsidRPr="00ED2F1D">
        <w:t xml:space="preserve"> (andere Laubholzarten) und </w:t>
      </w:r>
      <w:proofErr w:type="spellStart"/>
      <w:r w:rsidRPr="00ED2F1D">
        <w:t>Coniferales</w:t>
      </w:r>
      <w:proofErr w:type="spellEnd"/>
      <w:r w:rsidRPr="00ED2F1D">
        <w:t xml:space="preserve"> </w:t>
      </w:r>
      <w:proofErr w:type="spellStart"/>
      <w:r w:rsidRPr="00ED2F1D">
        <w:t>trees</w:t>
      </w:r>
      <w:proofErr w:type="spellEnd"/>
      <w:r w:rsidRPr="00ED2F1D">
        <w:t xml:space="preserve"> (andere</w:t>
      </w:r>
      <w:r w:rsidRPr="00687919">
        <w:rPr>
          <w:shd w:val="clear" w:color="auto" w:fill="FFFFFF"/>
        </w:rPr>
        <w:t xml:space="preserve"> Nadelholzarten)</w:t>
      </w:r>
    </w:p>
    <w:p w14:paraId="7C33E107" w14:textId="77777777" w:rsidR="009A3B5C" w:rsidRPr="009A3B5C" w:rsidRDefault="009A3B5C" w:rsidP="001D0D18">
      <w:pPr>
        <w:pStyle w:val="berschrift3"/>
        <w:numPr>
          <w:ilvl w:val="2"/>
          <w:numId w:val="9"/>
        </w:numPr>
      </w:pPr>
      <w:bookmarkStart w:id="8" w:name="_Toc137711751"/>
      <w:r w:rsidRPr="009A3B5C">
        <w:t>Schätzung der fehlenden Durchmesser</w:t>
      </w:r>
      <w:bookmarkEnd w:id="8"/>
      <w:r w:rsidRPr="009A3B5C">
        <w:t> </w:t>
      </w:r>
    </w:p>
    <w:p w14:paraId="6D4CC938" w14:textId="77777777" w:rsidR="009A3B5C" w:rsidRPr="00687919" w:rsidRDefault="009A3B5C" w:rsidP="009A3B5C">
      <w:pPr>
        <w:rPr>
          <w:rFonts w:asciiTheme="minorHAnsi" w:hAnsiTheme="minorHAnsi" w:cstheme="minorHAnsi"/>
          <w:color w:val="000000"/>
          <w:sz w:val="24"/>
          <w:szCs w:val="24"/>
        </w:rPr>
      </w:pPr>
      <w:r w:rsidRPr="00687919">
        <w:rPr>
          <w:rFonts w:asciiTheme="minorHAnsi" w:hAnsiTheme="minorHAnsi" w:cstheme="minorHAnsi"/>
          <w:color w:val="000000"/>
          <w:shd w:val="clear" w:color="auto" w:fill="FFFFFF"/>
        </w:rPr>
        <w:t>Die Schätzung</w:t>
      </w:r>
      <w:r>
        <w:rPr>
          <w:rFonts w:asciiTheme="minorHAnsi" w:hAnsiTheme="minorHAnsi" w:cstheme="minorHAnsi"/>
          <w:color w:val="000000"/>
          <w:shd w:val="clear" w:color="auto" w:fill="FFFFFF"/>
        </w:rPr>
        <w:t xml:space="preserve"> </w:t>
      </w:r>
      <w:r w:rsidRPr="00687919">
        <w:rPr>
          <w:rFonts w:asciiTheme="minorHAnsi" w:hAnsiTheme="minorHAnsi" w:cstheme="minorHAnsi"/>
          <w:color w:val="000000"/>
          <w:shd w:val="clear" w:color="auto" w:fill="FFFFFF"/>
        </w:rPr>
        <w:t>de</w:t>
      </w:r>
      <w:r>
        <w:rPr>
          <w:rFonts w:asciiTheme="minorHAnsi" w:hAnsiTheme="minorHAnsi" w:cstheme="minorHAnsi"/>
          <w:color w:val="000000"/>
          <w:shd w:val="clear" w:color="auto" w:fill="FFFFFF"/>
        </w:rPr>
        <w:t>s</w:t>
      </w:r>
      <w:r w:rsidRPr="00687919">
        <w:rPr>
          <w:rFonts w:asciiTheme="minorHAnsi" w:hAnsiTheme="minorHAnsi" w:cstheme="minorHAnsi"/>
          <w:color w:val="000000"/>
          <w:shd w:val="clear" w:color="auto" w:fill="FFFFFF"/>
        </w:rPr>
        <w:t xml:space="preserve"> Durchmesser</w:t>
      </w:r>
      <w:r>
        <w:rPr>
          <w:rFonts w:asciiTheme="minorHAnsi" w:hAnsiTheme="minorHAnsi" w:cstheme="minorHAnsi"/>
          <w:color w:val="000000"/>
          <w:shd w:val="clear" w:color="auto" w:fill="FFFFFF"/>
        </w:rPr>
        <w:t>s</w:t>
      </w:r>
      <w:r w:rsidRPr="00687919">
        <w:rPr>
          <w:rFonts w:asciiTheme="minorHAnsi" w:hAnsiTheme="minorHAnsi" w:cstheme="minorHAnsi"/>
          <w:color w:val="000000"/>
          <w:shd w:val="clear" w:color="auto" w:fill="FFFFFF"/>
        </w:rPr>
        <w:t xml:space="preserve"> in 1/3 der Baumhöhe</w:t>
      </w:r>
      <w:r>
        <w:rPr>
          <w:rFonts w:asciiTheme="minorHAnsi" w:hAnsiTheme="minorHAnsi" w:cstheme="minorHAnsi"/>
          <w:color w:val="000000"/>
          <w:shd w:val="clear" w:color="auto" w:fill="FFFFFF"/>
        </w:rPr>
        <w:t xml:space="preserve">, welcher eine </w:t>
      </w:r>
      <w:proofErr w:type="spellStart"/>
      <w:r>
        <w:rPr>
          <w:rFonts w:asciiTheme="minorHAnsi" w:hAnsiTheme="minorHAnsi" w:cstheme="minorHAnsi"/>
          <w:color w:val="000000"/>
          <w:shd w:val="clear" w:color="auto" w:fill="FFFFFF"/>
        </w:rPr>
        <w:t>Einganggröße</w:t>
      </w:r>
      <w:proofErr w:type="spellEnd"/>
      <w:r>
        <w:rPr>
          <w:rFonts w:asciiTheme="minorHAnsi" w:hAnsiTheme="minorHAnsi" w:cstheme="minorHAnsi"/>
          <w:color w:val="000000"/>
          <w:shd w:val="clear" w:color="auto" w:fill="FFFFFF"/>
        </w:rPr>
        <w:t xml:space="preserve"> für die </w:t>
      </w:r>
      <w:r w:rsidRPr="005721AA">
        <w:rPr>
          <w:rFonts w:asciiTheme="minorHAnsi" w:hAnsiTheme="minorHAnsi" w:cstheme="minorHAnsi"/>
          <w:i/>
          <w:color w:val="000000"/>
          <w:shd w:val="clear" w:color="auto" w:fill="FFFFFF"/>
        </w:rPr>
        <w:t>BWI&amp;TGHI</w:t>
      </w:r>
      <w:r>
        <w:rPr>
          <w:rFonts w:asciiTheme="minorHAnsi" w:hAnsiTheme="minorHAnsi" w:cstheme="minorHAnsi"/>
          <w:color w:val="000000"/>
          <w:shd w:val="clear" w:color="auto" w:fill="FFFFFF"/>
        </w:rPr>
        <w:t xml:space="preserve"> </w:t>
      </w:r>
      <w:r w:rsidRPr="00687919">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 xml:space="preserve">Biomassefunktionen darstellt, </w:t>
      </w:r>
      <w:r w:rsidRPr="00687919">
        <w:rPr>
          <w:rFonts w:asciiTheme="minorHAnsi" w:hAnsiTheme="minorHAnsi" w:cstheme="minorHAnsi"/>
          <w:color w:val="000000"/>
          <w:shd w:val="clear" w:color="auto" w:fill="FFFFFF"/>
        </w:rPr>
        <w:t xml:space="preserve">erfolgt durch das R </w:t>
      </w:r>
      <w:proofErr w:type="spellStart"/>
      <w:r w:rsidRPr="00687919">
        <w:rPr>
          <w:rFonts w:asciiTheme="minorHAnsi" w:hAnsiTheme="minorHAnsi" w:cstheme="minorHAnsi"/>
          <w:color w:val="000000"/>
          <w:shd w:val="clear" w:color="auto" w:fill="FFFFFF"/>
        </w:rPr>
        <w:t>package</w:t>
      </w:r>
      <w:proofErr w:type="spellEnd"/>
      <w:r w:rsidRPr="00687919">
        <w:rPr>
          <w:rFonts w:asciiTheme="minorHAnsi" w:hAnsiTheme="minorHAnsi" w:cstheme="minorHAnsi"/>
          <w:color w:val="000000"/>
          <w:shd w:val="clear" w:color="auto" w:fill="FFFFFF"/>
        </w:rPr>
        <w:t xml:space="preserve">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w:t>
      </w:r>
      <w:hyperlink r:id="rId23" w:history="1">
        <w:r w:rsidRPr="00687919">
          <w:rPr>
            <w:rStyle w:val="Hyperlink"/>
            <w:rFonts w:asciiTheme="minorHAnsi" w:hAnsiTheme="minorHAnsi" w:cstheme="minorHAnsi"/>
            <w:color w:val="954F72"/>
            <w:shd w:val="clear" w:color="auto" w:fill="FFFFFF"/>
          </w:rPr>
          <w:t>https://gitlab.com/vochr/tapes/-/tree/bba90ad32cf6bf7f938d79beec5adbbd8b774755</w:t>
        </w:r>
      </w:hyperlink>
      <w:r w:rsidRPr="00687919">
        <w:rPr>
          <w:rFonts w:asciiTheme="minorHAnsi" w:hAnsiTheme="minorHAnsi" w:cstheme="minorHAnsi"/>
          <w:color w:val="000000"/>
          <w:shd w:val="clear" w:color="auto" w:fill="FFFFFF"/>
        </w:rPr>
        <w:t xml:space="preserve">). Hierfür muss </w:t>
      </w:r>
      <w:r>
        <w:rPr>
          <w:rFonts w:asciiTheme="minorHAnsi" w:hAnsiTheme="minorHAnsi" w:cstheme="minorHAnsi"/>
          <w:color w:val="000000"/>
          <w:shd w:val="clear" w:color="auto" w:fill="FFFFFF"/>
        </w:rPr>
        <w:t xml:space="preserve">zunächst </w:t>
      </w:r>
      <w:r w:rsidRPr="00687919">
        <w:rPr>
          <w:rFonts w:asciiTheme="minorHAnsi" w:hAnsiTheme="minorHAnsi" w:cstheme="minorHAnsi"/>
          <w:color w:val="000000"/>
          <w:shd w:val="clear" w:color="auto" w:fill="FFFFFF"/>
        </w:rPr>
        <w:t>ein sogenanntes „</w:t>
      </w:r>
      <w:proofErr w:type="spellStart"/>
      <w:r w:rsidRPr="00687919">
        <w:rPr>
          <w:rFonts w:asciiTheme="minorHAnsi" w:hAnsiTheme="minorHAnsi" w:cstheme="minorHAnsi"/>
          <w:color w:val="000000"/>
          <w:shd w:val="clear" w:color="auto" w:fill="FFFFFF"/>
        </w:rPr>
        <w:t>object</w:t>
      </w:r>
      <w:proofErr w:type="spellEnd"/>
      <w:r w:rsidRPr="00687919">
        <w:rPr>
          <w:rFonts w:asciiTheme="minorHAnsi" w:hAnsiTheme="minorHAnsi" w:cstheme="minorHAnsi"/>
          <w:color w:val="000000"/>
          <w:shd w:val="clear" w:color="auto" w:fill="FFFFFF"/>
        </w:rPr>
        <w:t>“ durch die „</w:t>
      </w:r>
      <w:proofErr w:type="spellStart"/>
      <w:r w:rsidRPr="00687919">
        <w:rPr>
          <w:rFonts w:asciiTheme="minorHAnsi" w:hAnsiTheme="minorHAnsi" w:cstheme="minorHAnsi"/>
          <w:color w:val="000000"/>
          <w:shd w:val="clear" w:color="auto" w:fill="FFFFFF"/>
        </w:rPr>
        <w:t>tprTrees</w:t>
      </w:r>
      <w:proofErr w:type="spellEnd"/>
      <w:r w:rsidRPr="00687919">
        <w:rPr>
          <w:rFonts w:asciiTheme="minorHAnsi" w:hAnsiTheme="minorHAnsi" w:cstheme="minorHAnsi"/>
          <w:color w:val="000000"/>
          <w:shd w:val="clear" w:color="auto" w:fill="FFFFFF"/>
        </w:rPr>
        <w:t>“ Funktion erzeugt werden, welches die Baumart in einem in TapeS gespeichertem (1) Artencode (</w:t>
      </w:r>
      <w:proofErr w:type="spellStart"/>
      <w:r w:rsidRPr="00687919">
        <w:rPr>
          <w:rFonts w:asciiTheme="minorHAnsi" w:hAnsiTheme="minorHAnsi" w:cstheme="minorHAnsi"/>
          <w:color w:val="000000"/>
          <w:shd w:val="clear" w:color="auto" w:fill="FFFFFF"/>
        </w:rPr>
        <w:t>spp</w:t>
      </w:r>
      <w:proofErr w:type="spellEnd"/>
      <w:r w:rsidRPr="00687919">
        <w:rPr>
          <w:rFonts w:asciiTheme="minorHAnsi" w:hAnsiTheme="minorHAnsi" w:cstheme="minorHAnsi"/>
          <w:color w:val="000000"/>
          <w:shd w:val="clear" w:color="auto" w:fill="FFFFFF"/>
        </w:rPr>
        <w:t>), den (2) Durchmesser in Brusthöhe in cm (</w:t>
      </w:r>
      <w:proofErr w:type="spellStart"/>
      <w:r w:rsidRPr="00687919">
        <w:rPr>
          <w:rFonts w:asciiTheme="minorHAnsi" w:hAnsiTheme="minorHAnsi" w:cstheme="minorHAnsi"/>
          <w:color w:val="000000"/>
          <w:shd w:val="clear" w:color="auto" w:fill="FFFFFF"/>
        </w:rPr>
        <w:t>Dm</w:t>
      </w:r>
      <w:proofErr w:type="spellEnd"/>
      <w:r w:rsidRPr="00687919">
        <w:rPr>
          <w:rFonts w:asciiTheme="minorHAnsi" w:hAnsiTheme="minorHAnsi" w:cstheme="minorHAnsi"/>
          <w:color w:val="000000"/>
          <w:shd w:val="clear" w:color="auto" w:fill="FFFFFF"/>
        </w:rPr>
        <w:t xml:space="preserve">), die (3) Höhe in der der Durchmesser in Brusthöhe </w:t>
      </w:r>
      <w:proofErr w:type="spellStart"/>
      <w:r w:rsidRPr="00687919">
        <w:rPr>
          <w:rFonts w:asciiTheme="minorHAnsi" w:hAnsiTheme="minorHAnsi" w:cstheme="minorHAnsi"/>
          <w:color w:val="000000"/>
          <w:shd w:val="clear" w:color="auto" w:fill="FFFFFF"/>
        </w:rPr>
        <w:t>gemessern</w:t>
      </w:r>
      <w:proofErr w:type="spellEnd"/>
      <w:r w:rsidRPr="00687919">
        <w:rPr>
          <w:rFonts w:asciiTheme="minorHAnsi" w:hAnsiTheme="minorHAnsi" w:cstheme="minorHAnsi"/>
          <w:color w:val="000000"/>
          <w:shd w:val="clear" w:color="auto" w:fill="FFFFFF"/>
        </w:rPr>
        <w:t xml:space="preserve"> wurde m (Hm) und die (4) Baumhöhe in m (</w:t>
      </w:r>
      <w:proofErr w:type="spellStart"/>
      <w:r w:rsidRPr="00687919">
        <w:rPr>
          <w:rFonts w:asciiTheme="minorHAnsi" w:hAnsiTheme="minorHAnsi" w:cstheme="minorHAnsi"/>
          <w:color w:val="000000"/>
          <w:shd w:val="clear" w:color="auto" w:fill="FFFFFF"/>
        </w:rPr>
        <w:t>Ht</w:t>
      </w:r>
      <w:proofErr w:type="spellEnd"/>
      <w:r w:rsidRPr="00687919">
        <w:rPr>
          <w:rFonts w:asciiTheme="minorHAnsi" w:hAnsiTheme="minorHAnsi" w:cstheme="minorHAnsi"/>
          <w:color w:val="000000"/>
          <w:shd w:val="clear" w:color="auto" w:fill="FFFFFF"/>
        </w:rPr>
        <w:t>) enthält.</w:t>
      </w:r>
    </w:p>
    <w:p w14:paraId="35D056F7" w14:textId="77777777" w:rsidR="009A3B5C" w:rsidRPr="00687919" w:rsidRDefault="009A3B5C" w:rsidP="009A3B5C">
      <w:pPr>
        <w:rPr>
          <w:rFonts w:asciiTheme="minorHAnsi" w:hAnsiTheme="minorHAnsi" w:cstheme="minorHAnsi"/>
          <w:color w:val="000000"/>
          <w:sz w:val="24"/>
          <w:szCs w:val="24"/>
        </w:rPr>
      </w:pPr>
      <w:r w:rsidRPr="00687919">
        <w:rPr>
          <w:rFonts w:asciiTheme="minorHAnsi" w:hAnsiTheme="minorHAnsi" w:cstheme="minorHAnsi"/>
          <w:color w:val="000000"/>
          <w:shd w:val="clear" w:color="auto" w:fill="FFFFFF"/>
        </w:rPr>
        <w:t>Nachdem das TapeS Objekt erzeugt wurde, wird der Durchmesser in 1/3 der Baumhöhe erzeugt via „</w:t>
      </w:r>
      <w:proofErr w:type="spellStart"/>
      <w:r w:rsidRPr="00687919">
        <w:rPr>
          <w:rFonts w:asciiTheme="minorHAnsi" w:hAnsiTheme="minorHAnsi" w:cstheme="minorHAnsi"/>
          <w:color w:val="000000"/>
          <w:shd w:val="clear" w:color="auto" w:fill="FFFFFF"/>
        </w:rPr>
        <w:t>tprTrees</w:t>
      </w:r>
      <w:proofErr w:type="spellEnd"/>
      <w:r w:rsidRPr="00687919">
        <w:rPr>
          <w:rFonts w:asciiTheme="minorHAnsi" w:hAnsiTheme="minorHAnsi" w:cstheme="minorHAnsi"/>
          <w:color w:val="000000"/>
          <w:shd w:val="clear" w:color="auto" w:fill="FFFFFF"/>
        </w:rPr>
        <w:t xml:space="preserve">“ berechnet und dem </w:t>
      </w:r>
      <w:proofErr w:type="spellStart"/>
      <w:r w:rsidRPr="00687919">
        <w:rPr>
          <w:rFonts w:asciiTheme="minorHAnsi" w:hAnsiTheme="minorHAnsi" w:cstheme="minorHAnsi"/>
          <w:color w:val="000000"/>
          <w:shd w:val="clear" w:color="auto" w:fill="FFFFFF"/>
        </w:rPr>
        <w:t>Bestandeserhebungs</w:t>
      </w:r>
      <w:proofErr w:type="spellEnd"/>
      <w:r w:rsidRPr="00687919">
        <w:rPr>
          <w:rFonts w:asciiTheme="minorHAnsi" w:hAnsiTheme="minorHAnsi" w:cstheme="minorHAnsi"/>
          <w:color w:val="000000"/>
          <w:shd w:val="clear" w:color="auto" w:fill="FFFFFF"/>
        </w:rPr>
        <w:t xml:space="preserve"> Datenset hinzugefügt. </w:t>
      </w:r>
    </w:p>
    <w:p w14:paraId="63562E1C" w14:textId="77777777" w:rsidR="009A3B5C" w:rsidRPr="00ED2F1D" w:rsidRDefault="009A3B5C" w:rsidP="009A3B5C">
      <w:pPr>
        <w:pStyle w:val="Liste-1"/>
        <w:numPr>
          <w:ilvl w:val="0"/>
          <w:numId w:val="0"/>
        </w:numPr>
        <w:ind w:left="281" w:hanging="281"/>
        <w:rPr>
          <w:sz w:val="24"/>
          <w:szCs w:val="24"/>
        </w:rPr>
      </w:pPr>
    </w:p>
    <w:p w14:paraId="07F81DDD" w14:textId="42A446BD" w:rsidR="004E200E" w:rsidRPr="00687919" w:rsidRDefault="004E200E" w:rsidP="001D0D18">
      <w:pPr>
        <w:pStyle w:val="berschrift3"/>
        <w:numPr>
          <w:ilvl w:val="2"/>
          <w:numId w:val="9"/>
        </w:numPr>
        <w:rPr>
          <w:rFonts w:asciiTheme="minorHAnsi" w:hAnsiTheme="minorHAnsi" w:cstheme="minorHAnsi"/>
        </w:rPr>
      </w:pPr>
      <w:bookmarkStart w:id="9" w:name="_Toc137711752"/>
      <w:r w:rsidRPr="00687919">
        <w:rPr>
          <w:rFonts w:asciiTheme="minorHAnsi" w:hAnsiTheme="minorHAnsi" w:cstheme="minorHAnsi"/>
        </w:rPr>
        <w:lastRenderedPageBreak/>
        <w:t xml:space="preserve">Einteilung in die Baumartengruppen der </w:t>
      </w:r>
      <w:r w:rsidR="00665B0D">
        <w:rPr>
          <w:rFonts w:asciiTheme="minorHAnsi" w:hAnsiTheme="minorHAnsi" w:cstheme="minorHAnsi"/>
        </w:rPr>
        <w:t xml:space="preserve">BWI &amp; THG </w:t>
      </w:r>
      <w:r w:rsidRPr="00687919">
        <w:rPr>
          <w:rFonts w:asciiTheme="minorHAnsi" w:hAnsiTheme="minorHAnsi" w:cstheme="minorHAnsi"/>
        </w:rPr>
        <w:t>Biomassefunktionen</w:t>
      </w:r>
      <w:bookmarkEnd w:id="9"/>
    </w:p>
    <w:p w14:paraId="549E5344" w14:textId="77777777" w:rsidR="004E200E" w:rsidRPr="00687919" w:rsidRDefault="004E200E" w:rsidP="004E200E">
      <w:pPr>
        <w:rPr>
          <w:rFonts w:asciiTheme="minorHAnsi" w:hAnsiTheme="minorHAnsi" w:cstheme="minorHAnsi"/>
          <w:sz w:val="24"/>
          <w:szCs w:val="24"/>
        </w:rPr>
      </w:pPr>
      <w:r w:rsidRPr="00687919">
        <w:rPr>
          <w:rFonts w:asciiTheme="minorHAnsi" w:hAnsiTheme="minorHAnsi" w:cstheme="minorHAnsi"/>
          <w:shd w:val="clear" w:color="auto" w:fill="FFFFFF"/>
        </w:rPr>
        <w:t>Die Koeffizienten für die Biomassenfunktionen beziehen sich auf die Baumartengruppen </w:t>
      </w:r>
      <w:proofErr w:type="spellStart"/>
      <w:r w:rsidRPr="00687919">
        <w:rPr>
          <w:rFonts w:asciiTheme="minorHAnsi" w:hAnsiTheme="minorHAnsi" w:cstheme="minorHAnsi"/>
          <w:i/>
          <w:iCs/>
          <w:shd w:val="clear" w:color="auto" w:fill="FFFFFF"/>
        </w:rPr>
        <w:t>oak</w:t>
      </w:r>
      <w:proofErr w:type="spellEnd"/>
      <w:r w:rsidRPr="00687919">
        <w:rPr>
          <w:rFonts w:asciiTheme="minorHAnsi" w:hAnsiTheme="minorHAnsi" w:cstheme="minorHAnsi"/>
          <w:i/>
          <w:iCs/>
          <w:shd w:val="clear" w:color="auto" w:fill="FFFFFF"/>
        </w:rPr>
        <w:t xml:space="preserve">, </w:t>
      </w:r>
      <w:proofErr w:type="spellStart"/>
      <w:r w:rsidRPr="00687919">
        <w:rPr>
          <w:rFonts w:asciiTheme="minorHAnsi" w:hAnsiTheme="minorHAnsi" w:cstheme="minorHAnsi"/>
          <w:i/>
          <w:iCs/>
          <w:shd w:val="clear" w:color="auto" w:fill="FFFFFF"/>
        </w:rPr>
        <w:t>beech</w:t>
      </w:r>
      <w:proofErr w:type="spellEnd"/>
      <w:r w:rsidRPr="00687919">
        <w:rPr>
          <w:rFonts w:asciiTheme="minorHAnsi" w:hAnsiTheme="minorHAnsi" w:cstheme="minorHAnsi"/>
          <w:i/>
          <w:iCs/>
          <w:shd w:val="clear" w:color="auto" w:fill="FFFFFF"/>
        </w:rPr>
        <w:t>, soft-</w:t>
      </w:r>
      <w:proofErr w:type="spellStart"/>
      <w:r w:rsidRPr="00687919">
        <w:rPr>
          <w:rFonts w:asciiTheme="minorHAnsi" w:hAnsiTheme="minorHAnsi" w:cstheme="minorHAnsi"/>
          <w:i/>
          <w:iCs/>
          <w:shd w:val="clear" w:color="auto" w:fill="FFFFFF"/>
        </w:rPr>
        <w:t>hardwoods</w:t>
      </w:r>
      <w:proofErr w:type="spellEnd"/>
      <w:r w:rsidRPr="00687919">
        <w:rPr>
          <w:rFonts w:asciiTheme="minorHAnsi" w:hAnsiTheme="minorHAnsi" w:cstheme="minorHAnsi"/>
          <w:i/>
          <w:iCs/>
          <w:shd w:val="clear" w:color="auto" w:fill="FFFFFF"/>
        </w:rPr>
        <w:t xml:space="preserve">, </w:t>
      </w:r>
      <w:proofErr w:type="spellStart"/>
      <w:r w:rsidRPr="00687919">
        <w:rPr>
          <w:rFonts w:asciiTheme="minorHAnsi" w:hAnsiTheme="minorHAnsi" w:cstheme="minorHAnsi"/>
          <w:i/>
          <w:iCs/>
          <w:shd w:val="clear" w:color="auto" w:fill="FFFFFF"/>
        </w:rPr>
        <w:t>pine</w:t>
      </w:r>
      <w:proofErr w:type="spellEnd"/>
      <w:r w:rsidRPr="00687919">
        <w:rPr>
          <w:rFonts w:asciiTheme="minorHAnsi" w:hAnsiTheme="minorHAnsi" w:cstheme="minorHAnsi"/>
          <w:i/>
          <w:iCs/>
          <w:shd w:val="clear" w:color="auto" w:fill="FFFFFF"/>
        </w:rPr>
        <w:t xml:space="preserve">, </w:t>
      </w:r>
      <w:proofErr w:type="spellStart"/>
      <w:r w:rsidRPr="00687919">
        <w:rPr>
          <w:rFonts w:asciiTheme="minorHAnsi" w:hAnsiTheme="minorHAnsi" w:cstheme="minorHAnsi"/>
          <w:i/>
          <w:iCs/>
          <w:shd w:val="clear" w:color="auto" w:fill="FFFFFF"/>
        </w:rPr>
        <w:t>spruce</w:t>
      </w:r>
      <w:proofErr w:type="spellEnd"/>
      <w:r w:rsidRPr="00687919">
        <w:rPr>
          <w:rFonts w:asciiTheme="minorHAnsi" w:hAnsiTheme="minorHAnsi" w:cstheme="minorHAnsi"/>
          <w:shd w:val="clear" w:color="auto" w:fill="FFFFFF"/>
        </w:rPr>
        <w:t>. Dementsprechend werden alle repräsentierten Baumarten in die genannten Kategorien eingeordnet (</w:t>
      </w:r>
      <w:proofErr w:type="spellStart"/>
      <w:r w:rsidRPr="00687919">
        <w:rPr>
          <w:rFonts w:asciiTheme="minorHAnsi" w:hAnsiTheme="minorHAnsi" w:cstheme="minorHAnsi"/>
          <w:shd w:val="clear" w:color="auto" w:fill="FFFFFF"/>
        </w:rPr>
        <w:t>BWI_SP_group</w:t>
      </w:r>
      <w:proofErr w:type="spellEnd"/>
      <w:r w:rsidRPr="00687919">
        <w:rPr>
          <w:rFonts w:asciiTheme="minorHAnsi" w:hAnsiTheme="minorHAnsi" w:cstheme="minorHAnsi"/>
          <w:shd w:val="clear" w:color="auto" w:fill="FFFFFF"/>
        </w:rPr>
        <w:t>). </w:t>
      </w:r>
    </w:p>
    <w:p w14:paraId="58ED4971" w14:textId="77777777" w:rsidR="004E200E" w:rsidRPr="00687919" w:rsidRDefault="004E200E" w:rsidP="004E200E">
      <w:pPr>
        <w:rPr>
          <w:rFonts w:asciiTheme="minorHAnsi" w:hAnsiTheme="minorHAnsi" w:cstheme="minorHAnsi"/>
          <w:sz w:val="24"/>
          <w:szCs w:val="24"/>
        </w:rPr>
      </w:pPr>
      <w:r w:rsidRPr="00687919">
        <w:rPr>
          <w:rFonts w:asciiTheme="minorHAnsi" w:hAnsiTheme="minorHAnsi" w:cstheme="minorHAnsi"/>
          <w:shd w:val="clear" w:color="auto" w:fill="FFFFFF"/>
        </w:rPr>
        <w:t>Hierfür wurden die Baumartengruppen der BWI genutzt, welche alle erfassten Baumarten in die Gruppen </w:t>
      </w:r>
      <w:r w:rsidRPr="00687919">
        <w:rPr>
          <w:rFonts w:asciiTheme="minorHAnsi" w:hAnsiTheme="minorHAnsi" w:cstheme="minorHAnsi"/>
          <w:i/>
          <w:iCs/>
          <w:shd w:val="clear" w:color="auto" w:fill="FFFFFF"/>
        </w:rPr>
        <w:t>Eiche (Ei),Buche (</w:t>
      </w:r>
      <w:proofErr w:type="spellStart"/>
      <w:r w:rsidRPr="00687919">
        <w:rPr>
          <w:rFonts w:asciiTheme="minorHAnsi" w:hAnsiTheme="minorHAnsi" w:cstheme="minorHAnsi"/>
          <w:i/>
          <w:iCs/>
          <w:shd w:val="clear" w:color="auto" w:fill="FFFFFF"/>
        </w:rPr>
        <w:t>Bu</w:t>
      </w:r>
      <w:proofErr w:type="spellEnd"/>
      <w:r w:rsidRPr="00687919">
        <w:rPr>
          <w:rFonts w:asciiTheme="minorHAnsi" w:hAnsiTheme="minorHAnsi" w:cstheme="minorHAnsi"/>
          <w:i/>
          <w:iCs/>
          <w:shd w:val="clear" w:color="auto" w:fill="FFFFFF"/>
        </w:rPr>
        <w:t>),</w:t>
      </w:r>
      <w:r w:rsidRPr="00687919">
        <w:rPr>
          <w:rFonts w:asciiTheme="minorHAnsi" w:hAnsiTheme="minorHAnsi" w:cstheme="minorHAnsi"/>
          <w:shd w:val="clear" w:color="auto" w:fill="FFFFFF"/>
        </w:rPr>
        <w:t> </w:t>
      </w:r>
      <w:r w:rsidRPr="00687919">
        <w:rPr>
          <w:rFonts w:asciiTheme="minorHAnsi" w:hAnsiTheme="minorHAnsi" w:cstheme="minorHAnsi"/>
          <w:i/>
          <w:iCs/>
          <w:shd w:val="clear" w:color="auto" w:fill="FFFFFF"/>
        </w:rPr>
        <w:t>anderes Laubholz kurzer Lebensdauer (</w:t>
      </w:r>
      <w:proofErr w:type="spellStart"/>
      <w:r w:rsidRPr="00687919">
        <w:rPr>
          <w:rFonts w:asciiTheme="minorHAnsi" w:hAnsiTheme="minorHAnsi" w:cstheme="minorHAnsi"/>
          <w:i/>
          <w:iCs/>
          <w:shd w:val="clear" w:color="auto" w:fill="FFFFFF"/>
        </w:rPr>
        <w:t>aLn</w:t>
      </w:r>
      <w:proofErr w:type="spellEnd"/>
      <w:r w:rsidRPr="00687919">
        <w:rPr>
          <w:rFonts w:asciiTheme="minorHAnsi" w:hAnsiTheme="minorHAnsi" w:cstheme="minorHAnsi"/>
          <w:shd w:val="clear" w:color="auto" w:fill="FFFFFF"/>
        </w:rPr>
        <w:t>),  </w:t>
      </w:r>
      <w:r w:rsidRPr="00687919">
        <w:rPr>
          <w:rFonts w:asciiTheme="minorHAnsi" w:hAnsiTheme="minorHAnsi" w:cstheme="minorHAnsi"/>
          <w:i/>
          <w:iCs/>
          <w:shd w:val="clear" w:color="auto" w:fill="FFFFFF"/>
        </w:rPr>
        <w:t>anderes Laubholz langer Lebensdauer (</w:t>
      </w:r>
      <w:proofErr w:type="spellStart"/>
      <w:r w:rsidRPr="00687919">
        <w:rPr>
          <w:rFonts w:asciiTheme="minorHAnsi" w:hAnsiTheme="minorHAnsi" w:cstheme="minorHAnsi"/>
          <w:i/>
          <w:iCs/>
          <w:shd w:val="clear" w:color="auto" w:fill="FFFFFF"/>
        </w:rPr>
        <w:t>aLh</w:t>
      </w:r>
      <w:proofErr w:type="spellEnd"/>
      <w:r w:rsidRPr="00687919">
        <w:rPr>
          <w:rFonts w:asciiTheme="minorHAnsi" w:hAnsiTheme="minorHAnsi" w:cstheme="minorHAnsi"/>
          <w:i/>
          <w:iCs/>
          <w:shd w:val="clear" w:color="auto" w:fill="FFFFFF"/>
        </w:rPr>
        <w:t>),  Fichte (</w:t>
      </w:r>
      <w:proofErr w:type="spellStart"/>
      <w:r w:rsidRPr="00687919">
        <w:rPr>
          <w:rFonts w:asciiTheme="minorHAnsi" w:hAnsiTheme="minorHAnsi" w:cstheme="minorHAnsi"/>
          <w:i/>
          <w:iCs/>
          <w:shd w:val="clear" w:color="auto" w:fill="FFFFFF"/>
        </w:rPr>
        <w:t>Fi</w:t>
      </w:r>
      <w:proofErr w:type="spellEnd"/>
      <w:r w:rsidRPr="00687919">
        <w:rPr>
          <w:rFonts w:asciiTheme="minorHAnsi" w:hAnsiTheme="minorHAnsi" w:cstheme="minorHAnsi"/>
          <w:i/>
          <w:iCs/>
          <w:shd w:val="clear" w:color="auto" w:fill="FFFFFF"/>
        </w:rPr>
        <w:t>), Tanne (Ta), Douglasie (</w:t>
      </w:r>
      <w:proofErr w:type="spellStart"/>
      <w:r w:rsidRPr="00687919">
        <w:rPr>
          <w:rFonts w:asciiTheme="minorHAnsi" w:hAnsiTheme="minorHAnsi" w:cstheme="minorHAnsi"/>
          <w:i/>
          <w:iCs/>
          <w:shd w:val="clear" w:color="auto" w:fill="FFFFFF"/>
        </w:rPr>
        <w:t>Dgl</w:t>
      </w:r>
      <w:proofErr w:type="spellEnd"/>
      <w:r w:rsidRPr="00687919">
        <w:rPr>
          <w:rFonts w:asciiTheme="minorHAnsi" w:hAnsiTheme="minorHAnsi" w:cstheme="minorHAnsi"/>
          <w:i/>
          <w:iCs/>
          <w:shd w:val="clear" w:color="auto" w:fill="FFFFFF"/>
        </w:rPr>
        <w:t>), Kiefer (</w:t>
      </w:r>
      <w:proofErr w:type="spellStart"/>
      <w:r w:rsidRPr="00687919">
        <w:rPr>
          <w:rFonts w:asciiTheme="minorHAnsi" w:hAnsiTheme="minorHAnsi" w:cstheme="minorHAnsi"/>
          <w:i/>
          <w:iCs/>
          <w:shd w:val="clear" w:color="auto" w:fill="FFFFFF"/>
        </w:rPr>
        <w:t>Ki</w:t>
      </w:r>
      <w:proofErr w:type="spellEnd"/>
      <w:r w:rsidRPr="00687919">
        <w:rPr>
          <w:rFonts w:asciiTheme="minorHAnsi" w:hAnsiTheme="minorHAnsi" w:cstheme="minorHAnsi"/>
          <w:i/>
          <w:iCs/>
          <w:shd w:val="clear" w:color="auto" w:fill="FFFFFF"/>
        </w:rPr>
        <w:t>), Lärche (</w:t>
      </w:r>
      <w:proofErr w:type="spellStart"/>
      <w:r w:rsidRPr="00687919">
        <w:rPr>
          <w:rFonts w:asciiTheme="minorHAnsi" w:hAnsiTheme="minorHAnsi" w:cstheme="minorHAnsi"/>
          <w:i/>
          <w:iCs/>
          <w:shd w:val="clear" w:color="auto" w:fill="FFFFFF"/>
        </w:rPr>
        <w:t>Lae</w:t>
      </w:r>
      <w:proofErr w:type="spellEnd"/>
      <w:r w:rsidRPr="00687919">
        <w:rPr>
          <w:rFonts w:asciiTheme="minorHAnsi" w:hAnsiTheme="minorHAnsi" w:cstheme="minorHAnsi"/>
          <w:i/>
          <w:iCs/>
          <w:shd w:val="clear" w:color="auto" w:fill="FFFFFF"/>
        </w:rPr>
        <w:t>)</w:t>
      </w:r>
      <w:r w:rsidRPr="00687919">
        <w:rPr>
          <w:rFonts w:asciiTheme="minorHAnsi" w:hAnsiTheme="minorHAnsi" w:cstheme="minorHAnsi"/>
          <w:shd w:val="clear" w:color="auto" w:fill="FFFFFF"/>
        </w:rPr>
        <w:t> einordnen (</w:t>
      </w:r>
      <w:proofErr w:type="spellStart"/>
      <w:r w:rsidRPr="00687919">
        <w:rPr>
          <w:rFonts w:asciiTheme="minorHAnsi" w:hAnsiTheme="minorHAnsi" w:cstheme="minorHAnsi"/>
          <w:shd w:val="clear" w:color="auto" w:fill="FFFFFF"/>
        </w:rPr>
        <w:t>Methodikband</w:t>
      </w:r>
      <w:proofErr w:type="spellEnd"/>
      <w:r w:rsidRPr="00687919">
        <w:rPr>
          <w:rFonts w:asciiTheme="minorHAnsi" w:hAnsiTheme="minorHAnsi" w:cstheme="minorHAnsi"/>
          <w:shd w:val="clear" w:color="auto" w:fill="FFFFFF"/>
        </w:rPr>
        <w:t xml:space="preserve"> BWI, 2012):   </w:t>
      </w:r>
    </w:p>
    <w:p w14:paraId="222769EA" w14:textId="77777777" w:rsidR="004E200E" w:rsidRPr="00E54362" w:rsidRDefault="004E200E" w:rsidP="00E54362">
      <w:pPr>
        <w:pStyle w:val="Liste-1"/>
      </w:pPr>
      <w:r w:rsidRPr="00E54362">
        <w:t>Eiche: alle Eichenarten (einschließlich Rot-Eiche) </w:t>
      </w:r>
    </w:p>
    <w:p w14:paraId="5D170521" w14:textId="77777777" w:rsidR="004E200E" w:rsidRPr="00E54362" w:rsidRDefault="004E200E" w:rsidP="00E54362">
      <w:pPr>
        <w:pStyle w:val="Liste-1"/>
      </w:pPr>
      <w:r w:rsidRPr="00E54362">
        <w:t>Buche, </w:t>
      </w:r>
    </w:p>
    <w:p w14:paraId="572CBBFF" w14:textId="540345FF" w:rsidR="004E200E" w:rsidRPr="00E54362" w:rsidRDefault="004E200E" w:rsidP="00E54362">
      <w:pPr>
        <w:pStyle w:val="Liste-1"/>
      </w:pPr>
      <w:r w:rsidRPr="00E54362">
        <w:t xml:space="preserve">Andere </w:t>
      </w:r>
      <w:proofErr w:type="spellStart"/>
      <w:r w:rsidRPr="00E54362">
        <w:t>Laubbäume</w:t>
      </w:r>
      <w:proofErr w:type="spellEnd"/>
      <w:r w:rsidRPr="00E54362">
        <w:t xml:space="preserve"> mit hoher Lebensdauer (</w:t>
      </w:r>
      <w:proofErr w:type="spellStart"/>
      <w:r w:rsidRPr="00E54362">
        <w:t>aLh</w:t>
      </w:r>
      <w:proofErr w:type="spellEnd"/>
      <w:r w:rsidRPr="00E54362">
        <w:t xml:space="preserve">): Ahornarten, </w:t>
      </w:r>
      <w:proofErr w:type="spellStart"/>
      <w:r w:rsidRPr="00E54362">
        <w:t>Ahornblättrige</w:t>
      </w:r>
      <w:proofErr w:type="spellEnd"/>
      <w:r w:rsidRPr="00E54362">
        <w:t xml:space="preserve"> Platane, Edelkastanie, Esche, Hainbuche, Lindenarten, Nussbaumarten, Robinie, Rosskastanie, Speierling, Stechpalme, Ulme, Weißesche, </w:t>
      </w:r>
    </w:p>
    <w:p w14:paraId="6A350CE3" w14:textId="09ADDB9C" w:rsidR="004E200E" w:rsidRPr="00E54362" w:rsidRDefault="004E200E" w:rsidP="00E54362">
      <w:pPr>
        <w:pStyle w:val="Liste-1"/>
      </w:pPr>
      <w:r w:rsidRPr="00E54362">
        <w:t xml:space="preserve">Andere </w:t>
      </w:r>
      <w:proofErr w:type="spellStart"/>
      <w:r w:rsidRPr="00E54362">
        <w:t>Laubbäume</w:t>
      </w:r>
      <w:proofErr w:type="spellEnd"/>
      <w:r w:rsidRPr="00E54362">
        <w:t xml:space="preserve"> mit niedriger Lebensdauer (</w:t>
      </w:r>
      <w:proofErr w:type="spellStart"/>
      <w:r w:rsidRPr="00E54362">
        <w:t>aLn</w:t>
      </w:r>
      <w:proofErr w:type="spellEnd"/>
      <w:r w:rsidRPr="00E54362">
        <w:t xml:space="preserve">): Birkenarten, Elsbeere, Erlenarten, Pappelarten, Traubenkirsche-Arten, Vogelkirsche, </w:t>
      </w:r>
      <w:proofErr w:type="spellStart"/>
      <w:r w:rsidRPr="00E54362">
        <w:t>Wildobst</w:t>
      </w:r>
      <w:proofErr w:type="spellEnd"/>
      <w:r w:rsidRPr="00E54362">
        <w:t>, alle weiteren Laubbaumarten, soweit sie nicht gesondert genannt sind, </w:t>
      </w:r>
    </w:p>
    <w:p w14:paraId="103C45D9" w14:textId="77777777" w:rsidR="004E200E" w:rsidRPr="00E54362" w:rsidRDefault="004E200E" w:rsidP="00E54362">
      <w:pPr>
        <w:pStyle w:val="Liste-1"/>
      </w:pPr>
      <w:r w:rsidRPr="00E54362">
        <w:t xml:space="preserve">Fichte: alle Fichtenarten und sonstige </w:t>
      </w:r>
      <w:proofErr w:type="spellStart"/>
      <w:r w:rsidRPr="00E54362">
        <w:t>Nadelbäume</w:t>
      </w:r>
      <w:proofErr w:type="spellEnd"/>
      <w:r w:rsidRPr="00E54362">
        <w:t xml:space="preserve"> außer Douglasie, Kiefer, </w:t>
      </w:r>
      <w:proofErr w:type="spellStart"/>
      <w:r w:rsidRPr="00E54362">
        <w:t>Lärche</w:t>
      </w:r>
      <w:proofErr w:type="spellEnd"/>
      <w:r w:rsidRPr="00E54362">
        <w:t>, Tanne, </w:t>
      </w:r>
    </w:p>
    <w:p w14:paraId="73504017" w14:textId="77777777" w:rsidR="004E200E" w:rsidRPr="00E54362" w:rsidRDefault="004E200E" w:rsidP="00E54362">
      <w:pPr>
        <w:pStyle w:val="Liste-1"/>
      </w:pPr>
      <w:r w:rsidRPr="00E54362">
        <w:t xml:space="preserve">Tanne: Weißtanne, </w:t>
      </w:r>
      <w:proofErr w:type="spellStart"/>
      <w:r w:rsidRPr="00E54362">
        <w:t>Küstentanne</w:t>
      </w:r>
      <w:proofErr w:type="spellEnd"/>
      <w:r w:rsidRPr="00E54362">
        <w:t xml:space="preserve"> und sonstige Tannen, </w:t>
      </w:r>
    </w:p>
    <w:p w14:paraId="68B79D47" w14:textId="77777777" w:rsidR="004E200E" w:rsidRPr="00E54362" w:rsidRDefault="004E200E" w:rsidP="00E54362">
      <w:pPr>
        <w:pStyle w:val="Liste-1"/>
      </w:pPr>
      <w:r w:rsidRPr="00E54362">
        <w:t>Douglasie, </w:t>
      </w:r>
    </w:p>
    <w:p w14:paraId="67198E6C" w14:textId="77777777" w:rsidR="004E200E" w:rsidRPr="00E54362" w:rsidRDefault="004E200E" w:rsidP="00E54362">
      <w:pPr>
        <w:pStyle w:val="Liste-1"/>
      </w:pPr>
      <w:r w:rsidRPr="00E54362">
        <w:t>Kiefer: alle Kiefernarten, </w:t>
      </w:r>
    </w:p>
    <w:p w14:paraId="5A79B912" w14:textId="77777777" w:rsidR="004E200E" w:rsidRPr="00E54362" w:rsidRDefault="004E200E" w:rsidP="00E54362">
      <w:pPr>
        <w:pStyle w:val="Liste-1"/>
        <w:rPr>
          <w:sz w:val="24"/>
          <w:szCs w:val="24"/>
        </w:rPr>
      </w:pPr>
      <w:proofErr w:type="spellStart"/>
      <w:r w:rsidRPr="00E54362">
        <w:t>Lärche</w:t>
      </w:r>
      <w:proofErr w:type="spellEnd"/>
      <w:r w:rsidRPr="00E54362">
        <w:t xml:space="preserve">: alle </w:t>
      </w:r>
      <w:proofErr w:type="spellStart"/>
      <w:r w:rsidRPr="00E54362">
        <w:t>Lärchenarten</w:t>
      </w:r>
      <w:proofErr w:type="spellEnd"/>
      <w:r w:rsidRPr="00E54362">
        <w:rPr>
          <w:sz w:val="24"/>
          <w:szCs w:val="24"/>
        </w:rPr>
        <w:t>. </w:t>
      </w:r>
    </w:p>
    <w:p w14:paraId="0ABDE0B4" w14:textId="77777777" w:rsidR="004E200E" w:rsidRPr="00687919" w:rsidRDefault="004E200E" w:rsidP="004E200E">
      <w:pPr>
        <w:rPr>
          <w:rFonts w:asciiTheme="minorHAnsi" w:hAnsiTheme="minorHAnsi" w:cstheme="minorHAnsi"/>
          <w:sz w:val="24"/>
          <w:szCs w:val="24"/>
        </w:rPr>
      </w:pPr>
      <w:r w:rsidRPr="00687919">
        <w:rPr>
          <w:rFonts w:asciiTheme="minorHAnsi" w:hAnsiTheme="minorHAnsi" w:cstheme="minorHAnsi"/>
          <w:shd w:val="clear" w:color="auto" w:fill="FFFFFF"/>
        </w:rPr>
        <w:t>Alle Baumarten welche unter die Kategorie </w:t>
      </w:r>
      <w:r w:rsidRPr="00687919">
        <w:rPr>
          <w:rFonts w:asciiTheme="minorHAnsi" w:hAnsiTheme="minorHAnsi" w:cstheme="minorHAnsi"/>
          <w:i/>
          <w:iCs/>
          <w:shd w:val="clear" w:color="auto" w:fill="FFFFFF"/>
        </w:rPr>
        <w:t>anderes Laubholz langer Lebensdauer</w:t>
      </w:r>
      <w:r w:rsidRPr="00687919">
        <w:rPr>
          <w:rFonts w:asciiTheme="minorHAnsi" w:hAnsiTheme="minorHAnsi" w:cstheme="minorHAnsi"/>
          <w:shd w:val="clear" w:color="auto" w:fill="FFFFFF"/>
        </w:rPr>
        <w:t> (</w:t>
      </w:r>
      <w:proofErr w:type="spellStart"/>
      <w:r w:rsidRPr="00687919">
        <w:rPr>
          <w:rFonts w:asciiTheme="minorHAnsi" w:hAnsiTheme="minorHAnsi" w:cstheme="minorHAnsi"/>
          <w:shd w:val="clear" w:color="auto" w:fill="FFFFFF"/>
        </w:rPr>
        <w:t>BWI_SP_group</w:t>
      </w:r>
      <w:proofErr w:type="spellEnd"/>
      <w:r w:rsidRPr="00687919">
        <w:rPr>
          <w:rFonts w:asciiTheme="minorHAnsi" w:hAnsiTheme="minorHAnsi" w:cstheme="minorHAnsi"/>
          <w:shd w:val="clear" w:color="auto" w:fill="FFFFFF"/>
        </w:rPr>
        <w:t xml:space="preserve"> == </w:t>
      </w:r>
      <w:proofErr w:type="spellStart"/>
      <w:r w:rsidRPr="00687919">
        <w:rPr>
          <w:rFonts w:asciiTheme="minorHAnsi" w:hAnsiTheme="minorHAnsi" w:cstheme="minorHAnsi"/>
          <w:shd w:val="clear" w:color="auto" w:fill="FFFFFF"/>
        </w:rPr>
        <w:t>aLh</w:t>
      </w:r>
      <w:proofErr w:type="spellEnd"/>
      <w:r w:rsidRPr="00687919">
        <w:rPr>
          <w:rFonts w:asciiTheme="minorHAnsi" w:hAnsiTheme="minorHAnsi" w:cstheme="minorHAnsi"/>
          <w:shd w:val="clear" w:color="auto" w:fill="FFFFFF"/>
        </w:rPr>
        <w:t xml:space="preserve">) fallen, sowie Bäume des Genus </w:t>
      </w:r>
      <w:r w:rsidRPr="00687919">
        <w:rPr>
          <w:rFonts w:asciiTheme="minorHAnsi" w:hAnsiTheme="minorHAnsi" w:cstheme="minorHAnsi"/>
          <w:i/>
          <w:iCs/>
          <w:shd w:val="clear" w:color="auto" w:fill="FFFFFF"/>
        </w:rPr>
        <w:t>Fagus</w:t>
      </w:r>
      <w:r w:rsidRPr="00687919">
        <w:rPr>
          <w:rFonts w:asciiTheme="minorHAnsi" w:hAnsiTheme="minorHAnsi" w:cstheme="minorHAnsi"/>
          <w:shd w:val="clear" w:color="auto" w:fill="FFFFFF"/>
        </w:rPr>
        <w:t xml:space="preserve">, wurden der Biomassenfunktionsartengruppe </w:t>
      </w:r>
      <w:proofErr w:type="spellStart"/>
      <w:r w:rsidRPr="00687919">
        <w:rPr>
          <w:rFonts w:asciiTheme="minorHAnsi" w:hAnsiTheme="minorHAnsi" w:cstheme="minorHAnsi"/>
          <w:i/>
          <w:iCs/>
          <w:shd w:val="clear" w:color="auto" w:fill="FFFFFF"/>
        </w:rPr>
        <w:t>beech</w:t>
      </w:r>
      <w:proofErr w:type="spellEnd"/>
      <w:r w:rsidRPr="00687919">
        <w:rPr>
          <w:rFonts w:asciiTheme="minorHAnsi" w:hAnsiTheme="minorHAnsi" w:cstheme="minorHAnsi"/>
          <w:i/>
          <w:iCs/>
          <w:shd w:val="clear" w:color="auto" w:fill="FFFFFF"/>
        </w:rPr>
        <w:t xml:space="preserve"> (</w:t>
      </w:r>
      <w:proofErr w:type="spellStart"/>
      <w:r w:rsidRPr="00687919">
        <w:rPr>
          <w:rFonts w:asciiTheme="minorHAnsi" w:hAnsiTheme="minorHAnsi" w:cstheme="minorHAnsi"/>
          <w:i/>
          <w:iCs/>
          <w:shd w:val="clear" w:color="auto" w:fill="FFFFFF"/>
        </w:rPr>
        <w:t>bu</w:t>
      </w:r>
      <w:proofErr w:type="spellEnd"/>
      <w:r w:rsidRPr="00687919">
        <w:rPr>
          <w:rFonts w:asciiTheme="minorHAnsi" w:hAnsiTheme="minorHAnsi" w:cstheme="minorHAnsi"/>
          <w:i/>
          <w:iCs/>
          <w:shd w:val="clear" w:color="auto" w:fill="FFFFFF"/>
        </w:rPr>
        <w:t>)</w:t>
      </w:r>
      <w:r w:rsidRPr="00687919">
        <w:rPr>
          <w:rFonts w:asciiTheme="minorHAnsi" w:hAnsiTheme="minorHAnsi" w:cstheme="minorHAnsi"/>
          <w:shd w:val="clear" w:color="auto" w:fill="FFFFFF"/>
        </w:rPr>
        <w:t> zugeordnet (</w:t>
      </w:r>
      <w:proofErr w:type="spellStart"/>
      <w:r w:rsidRPr="00687919">
        <w:rPr>
          <w:rFonts w:asciiTheme="minorHAnsi" w:hAnsiTheme="minorHAnsi" w:cstheme="minorHAnsi"/>
          <w:shd w:val="clear" w:color="auto" w:fill="FFFFFF"/>
        </w:rPr>
        <w:t>Bio_SP_group</w:t>
      </w:r>
      <w:proofErr w:type="spellEnd"/>
      <w:r w:rsidRPr="00687919">
        <w:rPr>
          <w:rFonts w:asciiTheme="minorHAnsi" w:hAnsiTheme="minorHAnsi" w:cstheme="minorHAnsi"/>
          <w:shd w:val="clear" w:color="auto" w:fill="FFFFFF"/>
        </w:rPr>
        <w:t xml:space="preserve"> == </w:t>
      </w:r>
      <w:proofErr w:type="spellStart"/>
      <w:r w:rsidRPr="00687919">
        <w:rPr>
          <w:rFonts w:asciiTheme="minorHAnsi" w:hAnsiTheme="minorHAnsi" w:cstheme="minorHAnsi"/>
          <w:shd w:val="clear" w:color="auto" w:fill="FFFFFF"/>
        </w:rPr>
        <w:t>bu</w:t>
      </w:r>
      <w:proofErr w:type="spellEnd"/>
      <w:r w:rsidRPr="00687919">
        <w:rPr>
          <w:rFonts w:asciiTheme="minorHAnsi" w:hAnsiTheme="minorHAnsi" w:cstheme="minorHAnsi"/>
          <w:shd w:val="clear" w:color="auto" w:fill="FFFFFF"/>
        </w:rPr>
        <w:t xml:space="preserve">). </w:t>
      </w:r>
    </w:p>
    <w:p w14:paraId="316201DA" w14:textId="77777777" w:rsidR="004E200E" w:rsidRPr="00687919" w:rsidRDefault="004E200E" w:rsidP="004E200E">
      <w:pPr>
        <w:rPr>
          <w:rFonts w:asciiTheme="minorHAnsi" w:hAnsiTheme="minorHAnsi" w:cstheme="minorHAnsi"/>
          <w:sz w:val="24"/>
          <w:szCs w:val="24"/>
        </w:rPr>
      </w:pPr>
      <w:r w:rsidRPr="00687919">
        <w:rPr>
          <w:rFonts w:asciiTheme="minorHAnsi" w:hAnsiTheme="minorHAnsi" w:cstheme="minorHAnsi"/>
          <w:shd w:val="clear" w:color="auto" w:fill="FFFFFF"/>
        </w:rPr>
        <w:t>Alle Bäume des Genus </w:t>
      </w:r>
      <w:r w:rsidRPr="00687919">
        <w:rPr>
          <w:rFonts w:asciiTheme="minorHAnsi" w:hAnsiTheme="minorHAnsi" w:cstheme="minorHAnsi"/>
          <w:i/>
          <w:iCs/>
          <w:shd w:val="clear" w:color="auto" w:fill="FFFFFF"/>
        </w:rPr>
        <w:t>Quercus</w:t>
      </w:r>
      <w:r w:rsidRPr="00687919">
        <w:rPr>
          <w:rFonts w:asciiTheme="minorHAnsi" w:hAnsiTheme="minorHAnsi" w:cstheme="minorHAnsi"/>
          <w:shd w:val="clear" w:color="auto" w:fill="FFFFFF"/>
        </w:rPr>
        <w:t> wurden der Biomassenfunktionsartengruppe </w:t>
      </w:r>
      <w:proofErr w:type="spellStart"/>
      <w:r w:rsidRPr="00687919">
        <w:rPr>
          <w:rFonts w:asciiTheme="minorHAnsi" w:hAnsiTheme="minorHAnsi" w:cstheme="minorHAnsi"/>
          <w:i/>
          <w:iCs/>
          <w:shd w:val="clear" w:color="auto" w:fill="FFFFFF"/>
        </w:rPr>
        <w:t>oak</w:t>
      </w:r>
      <w:proofErr w:type="spellEnd"/>
      <w:r w:rsidRPr="00687919">
        <w:rPr>
          <w:rFonts w:asciiTheme="minorHAnsi" w:hAnsiTheme="minorHAnsi" w:cstheme="minorHAnsi"/>
          <w:i/>
          <w:iCs/>
          <w:shd w:val="clear" w:color="auto" w:fill="FFFFFF"/>
        </w:rPr>
        <w:t xml:space="preserve"> (ei)</w:t>
      </w:r>
      <w:r w:rsidRPr="00687919">
        <w:rPr>
          <w:rFonts w:asciiTheme="minorHAnsi" w:hAnsiTheme="minorHAnsi" w:cstheme="minorHAnsi"/>
          <w:shd w:val="clear" w:color="auto" w:fill="FFFFFF"/>
        </w:rPr>
        <w:t> zugeordnet (</w:t>
      </w:r>
      <w:proofErr w:type="spellStart"/>
      <w:r w:rsidRPr="00687919">
        <w:rPr>
          <w:rFonts w:asciiTheme="minorHAnsi" w:hAnsiTheme="minorHAnsi" w:cstheme="minorHAnsi"/>
          <w:shd w:val="clear" w:color="auto" w:fill="FFFFFF"/>
        </w:rPr>
        <w:t>Bio_SP_group</w:t>
      </w:r>
      <w:proofErr w:type="spellEnd"/>
      <w:r w:rsidRPr="00687919">
        <w:rPr>
          <w:rFonts w:asciiTheme="minorHAnsi" w:hAnsiTheme="minorHAnsi" w:cstheme="minorHAnsi"/>
          <w:shd w:val="clear" w:color="auto" w:fill="FFFFFF"/>
        </w:rPr>
        <w:t xml:space="preserve"> == ei). </w:t>
      </w:r>
    </w:p>
    <w:p w14:paraId="17EDE555" w14:textId="77777777" w:rsidR="004E200E" w:rsidRPr="00687919" w:rsidRDefault="004E200E" w:rsidP="004E200E">
      <w:pPr>
        <w:rPr>
          <w:rFonts w:asciiTheme="minorHAnsi" w:hAnsiTheme="minorHAnsi" w:cstheme="minorHAnsi"/>
          <w:sz w:val="24"/>
          <w:szCs w:val="24"/>
        </w:rPr>
      </w:pPr>
      <w:r w:rsidRPr="00687919">
        <w:rPr>
          <w:rFonts w:asciiTheme="minorHAnsi" w:hAnsiTheme="minorHAnsi" w:cstheme="minorHAnsi"/>
          <w:shd w:val="clear" w:color="auto" w:fill="FFFFFF"/>
        </w:rPr>
        <w:t>Alle Laubbäume, welche keiner der zuvor genannten Biomassenfunktionsartengruppen zugeordnet werden können wurden der Kategorie </w:t>
      </w:r>
      <w:r w:rsidRPr="00687919">
        <w:rPr>
          <w:rFonts w:asciiTheme="minorHAnsi" w:hAnsiTheme="minorHAnsi" w:cstheme="minorHAnsi"/>
          <w:i/>
          <w:iCs/>
          <w:shd w:val="clear" w:color="auto" w:fill="FFFFFF"/>
        </w:rPr>
        <w:t>soft-</w:t>
      </w:r>
      <w:proofErr w:type="spellStart"/>
      <w:r w:rsidRPr="00687919">
        <w:rPr>
          <w:rFonts w:asciiTheme="minorHAnsi" w:hAnsiTheme="minorHAnsi" w:cstheme="minorHAnsi"/>
          <w:i/>
          <w:iCs/>
          <w:shd w:val="clear" w:color="auto" w:fill="FFFFFF"/>
        </w:rPr>
        <w:t>hardwoods</w:t>
      </w:r>
      <w:proofErr w:type="spellEnd"/>
      <w:r w:rsidRPr="00687919">
        <w:rPr>
          <w:rFonts w:asciiTheme="minorHAnsi" w:hAnsiTheme="minorHAnsi" w:cstheme="minorHAnsi"/>
          <w:i/>
          <w:iCs/>
          <w:shd w:val="clear" w:color="auto" w:fill="FFFFFF"/>
        </w:rPr>
        <w:t xml:space="preserve"> (</w:t>
      </w:r>
      <w:proofErr w:type="spellStart"/>
      <w:r w:rsidRPr="00687919">
        <w:rPr>
          <w:rFonts w:asciiTheme="minorHAnsi" w:hAnsiTheme="minorHAnsi" w:cstheme="minorHAnsi"/>
          <w:i/>
          <w:iCs/>
          <w:shd w:val="clear" w:color="auto" w:fill="FFFFFF"/>
        </w:rPr>
        <w:t>shw</w:t>
      </w:r>
      <w:proofErr w:type="spellEnd"/>
      <w:r w:rsidRPr="00687919">
        <w:rPr>
          <w:rFonts w:asciiTheme="minorHAnsi" w:hAnsiTheme="minorHAnsi" w:cstheme="minorHAnsi"/>
          <w:i/>
          <w:iCs/>
          <w:shd w:val="clear" w:color="auto" w:fill="FFFFFF"/>
        </w:rPr>
        <w:t>)</w:t>
      </w:r>
      <w:r w:rsidRPr="00687919">
        <w:rPr>
          <w:rFonts w:asciiTheme="minorHAnsi" w:hAnsiTheme="minorHAnsi" w:cstheme="minorHAnsi"/>
          <w:shd w:val="clear" w:color="auto" w:fill="FFFFFF"/>
        </w:rPr>
        <w:t> zugeordnet. Nadelbäume des Genus </w:t>
      </w:r>
      <w:r w:rsidRPr="00687919">
        <w:rPr>
          <w:rFonts w:asciiTheme="minorHAnsi" w:hAnsiTheme="minorHAnsi" w:cstheme="minorHAnsi"/>
          <w:i/>
          <w:iCs/>
          <w:shd w:val="clear" w:color="auto" w:fill="FFFFFF"/>
        </w:rPr>
        <w:t>Pinus </w:t>
      </w:r>
      <w:r w:rsidRPr="00687919">
        <w:rPr>
          <w:rFonts w:asciiTheme="minorHAnsi" w:hAnsiTheme="minorHAnsi" w:cstheme="minorHAnsi"/>
          <w:shd w:val="clear" w:color="auto" w:fill="FFFFFF"/>
        </w:rPr>
        <w:t>und </w:t>
      </w:r>
      <w:r w:rsidRPr="00687919">
        <w:rPr>
          <w:rFonts w:asciiTheme="minorHAnsi" w:hAnsiTheme="minorHAnsi" w:cstheme="minorHAnsi"/>
          <w:i/>
          <w:iCs/>
          <w:shd w:val="clear" w:color="auto" w:fill="FFFFFF"/>
        </w:rPr>
        <w:t>Larix </w:t>
      </w:r>
      <w:r w:rsidRPr="00687919">
        <w:rPr>
          <w:rFonts w:asciiTheme="minorHAnsi" w:hAnsiTheme="minorHAnsi" w:cstheme="minorHAnsi"/>
          <w:shd w:val="clear" w:color="auto" w:fill="FFFFFF"/>
        </w:rPr>
        <w:t>wurden der Biomassenfunktion Baumartengruppe </w:t>
      </w:r>
      <w:proofErr w:type="spellStart"/>
      <w:r w:rsidRPr="00687919">
        <w:rPr>
          <w:rFonts w:asciiTheme="minorHAnsi" w:hAnsiTheme="minorHAnsi" w:cstheme="minorHAnsi"/>
          <w:i/>
          <w:iCs/>
          <w:shd w:val="clear" w:color="auto" w:fill="FFFFFF"/>
        </w:rPr>
        <w:t>pine</w:t>
      </w:r>
      <w:proofErr w:type="spellEnd"/>
      <w:r w:rsidRPr="00687919">
        <w:rPr>
          <w:rFonts w:asciiTheme="minorHAnsi" w:hAnsiTheme="minorHAnsi" w:cstheme="minorHAnsi"/>
          <w:i/>
          <w:iCs/>
          <w:shd w:val="clear" w:color="auto" w:fill="FFFFFF"/>
        </w:rPr>
        <w:t xml:space="preserve"> (</w:t>
      </w:r>
      <w:proofErr w:type="spellStart"/>
      <w:r w:rsidRPr="00687919">
        <w:rPr>
          <w:rFonts w:asciiTheme="minorHAnsi" w:hAnsiTheme="minorHAnsi" w:cstheme="minorHAnsi"/>
          <w:i/>
          <w:iCs/>
          <w:shd w:val="clear" w:color="auto" w:fill="FFFFFF"/>
        </w:rPr>
        <w:t>ki</w:t>
      </w:r>
      <w:proofErr w:type="spellEnd"/>
      <w:r w:rsidRPr="00687919">
        <w:rPr>
          <w:rFonts w:asciiTheme="minorHAnsi" w:hAnsiTheme="minorHAnsi" w:cstheme="minorHAnsi"/>
          <w:i/>
          <w:iCs/>
          <w:shd w:val="clear" w:color="auto" w:fill="FFFFFF"/>
        </w:rPr>
        <w:t>) </w:t>
      </w:r>
      <w:r w:rsidRPr="00687919">
        <w:rPr>
          <w:rFonts w:asciiTheme="minorHAnsi" w:hAnsiTheme="minorHAnsi" w:cstheme="minorHAnsi"/>
          <w:shd w:val="clear" w:color="auto" w:fill="FFFFFF"/>
        </w:rPr>
        <w:t xml:space="preserve">zugeordnet. </w:t>
      </w:r>
    </w:p>
    <w:p w14:paraId="1C83BF41" w14:textId="77777777" w:rsidR="004E200E" w:rsidRPr="00687919" w:rsidRDefault="004E200E" w:rsidP="004E200E">
      <w:pPr>
        <w:rPr>
          <w:rFonts w:asciiTheme="minorHAnsi" w:hAnsiTheme="minorHAnsi" w:cstheme="minorHAnsi"/>
          <w:sz w:val="24"/>
          <w:szCs w:val="24"/>
        </w:rPr>
      </w:pPr>
      <w:r w:rsidRPr="00687919">
        <w:rPr>
          <w:rFonts w:asciiTheme="minorHAnsi" w:hAnsiTheme="minorHAnsi" w:cstheme="minorHAnsi"/>
          <w:shd w:val="clear" w:color="auto" w:fill="FFFFFF"/>
        </w:rPr>
        <w:t>Die Biomasse für Fichten und alle anderen Nadelbaumarten wird mittels der Koeffizienten für </w:t>
      </w:r>
      <w:proofErr w:type="spellStart"/>
      <w:r w:rsidRPr="00687919">
        <w:rPr>
          <w:rFonts w:asciiTheme="minorHAnsi" w:hAnsiTheme="minorHAnsi" w:cstheme="minorHAnsi"/>
          <w:i/>
          <w:iCs/>
          <w:shd w:val="clear" w:color="auto" w:fill="FFFFFF"/>
        </w:rPr>
        <w:t>spruce</w:t>
      </w:r>
      <w:proofErr w:type="spellEnd"/>
      <w:r w:rsidRPr="00687919">
        <w:rPr>
          <w:rFonts w:asciiTheme="minorHAnsi" w:hAnsiTheme="minorHAnsi" w:cstheme="minorHAnsi"/>
          <w:i/>
          <w:iCs/>
          <w:shd w:val="clear" w:color="auto" w:fill="FFFFFF"/>
        </w:rPr>
        <w:t xml:space="preserve"> (</w:t>
      </w:r>
      <w:proofErr w:type="spellStart"/>
      <w:r w:rsidRPr="00687919">
        <w:rPr>
          <w:rFonts w:asciiTheme="minorHAnsi" w:hAnsiTheme="minorHAnsi" w:cstheme="minorHAnsi"/>
          <w:i/>
          <w:iCs/>
          <w:shd w:val="clear" w:color="auto" w:fill="FFFFFF"/>
        </w:rPr>
        <w:t>fi</w:t>
      </w:r>
      <w:proofErr w:type="spellEnd"/>
      <w:r w:rsidRPr="00687919">
        <w:rPr>
          <w:rFonts w:asciiTheme="minorHAnsi" w:hAnsiTheme="minorHAnsi" w:cstheme="minorHAnsi"/>
          <w:i/>
          <w:iCs/>
          <w:shd w:val="clear" w:color="auto" w:fill="FFFFFF"/>
        </w:rPr>
        <w:t>) </w:t>
      </w:r>
      <w:r w:rsidRPr="00687919">
        <w:rPr>
          <w:rFonts w:asciiTheme="minorHAnsi" w:hAnsiTheme="minorHAnsi" w:cstheme="minorHAnsi"/>
          <w:shd w:val="clear" w:color="auto" w:fill="FFFFFF"/>
        </w:rPr>
        <w:t>berechnet. </w:t>
      </w:r>
    </w:p>
    <w:p w14:paraId="054CDE22" w14:textId="0F646424" w:rsidR="004E200E" w:rsidRPr="00687919" w:rsidRDefault="004E200E" w:rsidP="004E200E">
      <w:pPr>
        <w:rPr>
          <w:rFonts w:asciiTheme="minorHAnsi" w:hAnsiTheme="minorHAnsi" w:cstheme="minorHAnsi"/>
          <w:sz w:val="24"/>
          <w:szCs w:val="24"/>
        </w:rPr>
      </w:pPr>
      <w:r w:rsidRPr="00687919">
        <w:rPr>
          <w:rFonts w:asciiTheme="minorHAnsi" w:hAnsiTheme="minorHAnsi" w:cstheme="minorHAnsi"/>
          <w:shd w:val="clear" w:color="auto" w:fill="FFFFFF"/>
        </w:rPr>
        <w:t>Hierfür wurde im</w:t>
      </w:r>
      <w:r w:rsidR="005C057A">
        <w:rPr>
          <w:rFonts w:asciiTheme="minorHAnsi" w:hAnsiTheme="minorHAnsi" w:cstheme="minorHAnsi"/>
          <w:shd w:val="clear" w:color="auto" w:fill="FFFFFF"/>
        </w:rPr>
        <w:t xml:space="preserve"> Datenset</w:t>
      </w:r>
      <w:r w:rsidRPr="00687919">
        <w:rPr>
          <w:rFonts w:asciiTheme="minorHAnsi" w:hAnsiTheme="minorHAnsi" w:cstheme="minorHAnsi"/>
          <w:shd w:val="clear" w:color="auto" w:fill="FFFFFF"/>
        </w:rPr>
        <w:t xml:space="preserve"> </w:t>
      </w:r>
      <w:r w:rsidR="005C057A">
        <w:rPr>
          <w:rFonts w:asciiTheme="minorHAnsi" w:hAnsiTheme="minorHAnsi" w:cstheme="minorHAnsi"/>
          <w:shd w:val="clear" w:color="auto" w:fill="FFFFFF"/>
        </w:rPr>
        <w:t>welches alle Artenkürzel und Schlüssel zu verschiedenen Artengruppen enthält (</w:t>
      </w:r>
      <w:proofErr w:type="spellStart"/>
      <w:r w:rsidR="005C057A">
        <w:rPr>
          <w:rFonts w:asciiTheme="minorHAnsi" w:hAnsiTheme="minorHAnsi" w:cstheme="minorHAnsi"/>
          <w:shd w:val="clear" w:color="auto" w:fill="FFFFFF"/>
        </w:rPr>
        <w:t>SP_names</w:t>
      </w:r>
      <w:proofErr w:type="spellEnd"/>
      <w:r w:rsidR="005C057A">
        <w:rPr>
          <w:rFonts w:asciiTheme="minorHAnsi" w:hAnsiTheme="minorHAnsi" w:cstheme="minorHAnsi"/>
          <w:shd w:val="clear" w:color="auto" w:fill="FFFFFF"/>
        </w:rPr>
        <w:t xml:space="preserve">, </w:t>
      </w:r>
      <w:proofErr w:type="spellStart"/>
      <w:r w:rsidR="005C057A">
        <w:rPr>
          <w:rFonts w:asciiTheme="minorHAnsi" w:hAnsiTheme="minorHAnsi" w:cstheme="minorHAnsi"/>
          <w:shd w:val="clear" w:color="auto" w:fill="FFFFFF"/>
        </w:rPr>
        <w:t>enstanden</w:t>
      </w:r>
      <w:proofErr w:type="spellEnd"/>
      <w:r w:rsidR="005C057A">
        <w:rPr>
          <w:rFonts w:asciiTheme="minorHAnsi" w:hAnsiTheme="minorHAnsi" w:cstheme="minorHAnsi"/>
          <w:shd w:val="clear" w:color="auto" w:fill="FFFFFF"/>
        </w:rPr>
        <w:t xml:space="preserve"> aus </w:t>
      </w:r>
      <w:proofErr w:type="spellStart"/>
      <w:r w:rsidR="005C057A">
        <w:rPr>
          <w:rFonts w:asciiTheme="minorHAnsi" w:hAnsiTheme="minorHAnsi" w:cstheme="minorHAnsi"/>
          <w:shd w:val="clear" w:color="auto" w:fill="FFFFFF"/>
        </w:rPr>
        <w:t>X_bart</w:t>
      </w:r>
      <w:proofErr w:type="spellEnd"/>
      <w:r w:rsidR="005C057A">
        <w:rPr>
          <w:rFonts w:asciiTheme="minorHAnsi" w:hAnsiTheme="minorHAnsi" w:cstheme="minorHAnsi"/>
          <w:shd w:val="clear" w:color="auto" w:fill="FFFFFF"/>
        </w:rPr>
        <w:t>)</w:t>
      </w:r>
      <w:r w:rsidRPr="00687919">
        <w:rPr>
          <w:rFonts w:asciiTheme="minorHAnsi" w:hAnsiTheme="minorHAnsi" w:cstheme="minorHAnsi"/>
          <w:shd w:val="clear" w:color="auto" w:fill="FFFFFF"/>
        </w:rPr>
        <w:t xml:space="preserve"> eine Spalte (</w:t>
      </w:r>
      <w:proofErr w:type="spellStart"/>
      <w:r w:rsidRPr="00687919">
        <w:rPr>
          <w:rFonts w:asciiTheme="minorHAnsi" w:hAnsiTheme="minorHAnsi" w:cstheme="minorHAnsi"/>
          <w:shd w:val="clear" w:color="auto" w:fill="FFFFFF"/>
        </w:rPr>
        <w:t>Bio_SP_group</w:t>
      </w:r>
      <w:proofErr w:type="spellEnd"/>
      <w:r w:rsidRPr="00687919">
        <w:rPr>
          <w:rFonts w:asciiTheme="minorHAnsi" w:hAnsiTheme="minorHAnsi" w:cstheme="minorHAnsi"/>
          <w:shd w:val="clear" w:color="auto" w:fill="FFFFFF"/>
        </w:rPr>
        <w:t xml:space="preserve">) erzeugt, welche folgend dem </w:t>
      </w:r>
      <w:r w:rsidR="005C057A">
        <w:rPr>
          <w:rFonts w:asciiTheme="minorHAnsi" w:hAnsiTheme="minorHAnsi" w:cstheme="minorHAnsi"/>
          <w:shd w:val="clear" w:color="auto" w:fill="FFFFFF"/>
        </w:rPr>
        <w:t>D</w:t>
      </w:r>
      <w:r w:rsidRPr="00687919">
        <w:rPr>
          <w:rFonts w:asciiTheme="minorHAnsi" w:hAnsiTheme="minorHAnsi" w:cstheme="minorHAnsi"/>
          <w:shd w:val="clear" w:color="auto" w:fill="FFFFFF"/>
        </w:rPr>
        <w:t>ataset</w:t>
      </w:r>
      <w:r w:rsidR="005C057A">
        <w:rPr>
          <w:rFonts w:asciiTheme="minorHAnsi" w:hAnsiTheme="minorHAnsi" w:cstheme="minorHAnsi"/>
          <w:shd w:val="clear" w:color="auto" w:fill="FFFFFF"/>
        </w:rPr>
        <w:t xml:space="preserve"> der </w:t>
      </w:r>
      <w:proofErr w:type="spellStart"/>
      <w:r w:rsidR="005C057A">
        <w:rPr>
          <w:rFonts w:asciiTheme="minorHAnsi" w:hAnsiTheme="minorHAnsi" w:cstheme="minorHAnsi"/>
          <w:shd w:val="clear" w:color="auto" w:fill="FFFFFF"/>
        </w:rPr>
        <w:t>Bestandesdaten</w:t>
      </w:r>
      <w:proofErr w:type="spellEnd"/>
      <w:r w:rsidRPr="00687919">
        <w:rPr>
          <w:rFonts w:asciiTheme="minorHAnsi" w:hAnsiTheme="minorHAnsi" w:cstheme="minorHAnsi"/>
          <w:shd w:val="clear" w:color="auto" w:fill="FFFFFF"/>
        </w:rPr>
        <w:t xml:space="preserve"> </w:t>
      </w:r>
      <w:r w:rsidR="005C057A">
        <w:rPr>
          <w:rFonts w:asciiTheme="minorHAnsi" w:hAnsiTheme="minorHAnsi" w:cstheme="minorHAnsi"/>
          <w:shd w:val="clear" w:color="auto" w:fill="FFFFFF"/>
        </w:rPr>
        <w:t>über</w:t>
      </w:r>
      <w:r w:rsidRPr="00687919">
        <w:rPr>
          <w:rFonts w:asciiTheme="minorHAnsi" w:hAnsiTheme="minorHAnsi" w:cstheme="minorHAnsi"/>
          <w:shd w:val="clear" w:color="auto" w:fill="FFFFFF"/>
        </w:rPr>
        <w:t xml:space="preserve"> deutschen Abkürzungen (</w:t>
      </w:r>
      <w:proofErr w:type="spellStart"/>
      <w:r w:rsidRPr="00687919">
        <w:rPr>
          <w:rFonts w:asciiTheme="minorHAnsi" w:hAnsiTheme="minorHAnsi" w:cstheme="minorHAnsi"/>
          <w:shd w:val="clear" w:color="auto" w:fill="FFFFFF"/>
        </w:rPr>
        <w:t>SP_codes</w:t>
      </w:r>
      <w:proofErr w:type="spellEnd"/>
      <w:r w:rsidRPr="00687919">
        <w:rPr>
          <w:rFonts w:asciiTheme="minorHAnsi" w:hAnsiTheme="minorHAnsi" w:cstheme="minorHAnsi"/>
          <w:shd w:val="clear" w:color="auto" w:fill="FFFFFF"/>
        </w:rPr>
        <w:t>)</w:t>
      </w:r>
      <w:r w:rsidR="005C057A">
        <w:rPr>
          <w:rFonts w:asciiTheme="minorHAnsi" w:hAnsiTheme="minorHAnsi" w:cstheme="minorHAnsi"/>
          <w:shd w:val="clear" w:color="auto" w:fill="FFFFFF"/>
        </w:rPr>
        <w:t xml:space="preserve"> die entsprechende Biomassenartengruppe</w:t>
      </w:r>
      <w:r w:rsidRPr="00687919">
        <w:rPr>
          <w:rFonts w:asciiTheme="minorHAnsi" w:hAnsiTheme="minorHAnsi" w:cstheme="minorHAnsi"/>
          <w:shd w:val="clear" w:color="auto" w:fill="FFFFFF"/>
        </w:rPr>
        <w:t xml:space="preserve"> </w:t>
      </w:r>
      <w:r w:rsidR="005C057A">
        <w:rPr>
          <w:rFonts w:asciiTheme="minorHAnsi" w:hAnsiTheme="minorHAnsi" w:cstheme="minorHAnsi"/>
          <w:shd w:val="clear" w:color="auto" w:fill="FFFFFF"/>
        </w:rPr>
        <w:t>zu</w:t>
      </w:r>
      <w:r w:rsidR="008E2D7C">
        <w:rPr>
          <w:rFonts w:asciiTheme="minorHAnsi" w:hAnsiTheme="minorHAnsi" w:cstheme="minorHAnsi"/>
          <w:shd w:val="clear" w:color="auto" w:fill="FFFFFF"/>
        </w:rPr>
        <w:t>weist</w:t>
      </w:r>
      <w:r w:rsidRPr="00687919">
        <w:rPr>
          <w:rFonts w:asciiTheme="minorHAnsi" w:hAnsiTheme="minorHAnsi" w:cstheme="minorHAnsi"/>
          <w:shd w:val="clear" w:color="auto" w:fill="FFFFFF"/>
        </w:rPr>
        <w:t xml:space="preserve">. </w:t>
      </w:r>
      <w:r w:rsidRPr="00687919">
        <w:rPr>
          <w:rFonts w:asciiTheme="minorHAnsi" w:hAnsiTheme="minorHAnsi" w:cstheme="minorHAnsi"/>
          <w:sz w:val="24"/>
          <w:szCs w:val="24"/>
          <w:shd w:val="clear" w:color="auto" w:fill="FFFFFF"/>
        </w:rPr>
        <w:t> </w:t>
      </w:r>
    </w:p>
    <w:p w14:paraId="40D49A2B" w14:textId="77777777" w:rsidR="004E200E" w:rsidRPr="00687919" w:rsidRDefault="004E200E" w:rsidP="001D0D18">
      <w:pPr>
        <w:pStyle w:val="berschrift4"/>
        <w:numPr>
          <w:ilvl w:val="3"/>
          <w:numId w:val="9"/>
        </w:numPr>
        <w:rPr>
          <w:rFonts w:asciiTheme="minorHAnsi" w:hAnsiTheme="minorHAnsi" w:cstheme="minorHAnsi"/>
          <w:shd w:val="clear" w:color="auto" w:fill="FFFFFF"/>
        </w:rPr>
      </w:pPr>
      <w:r w:rsidRPr="00687919">
        <w:rPr>
          <w:rFonts w:asciiTheme="minorHAnsi" w:hAnsiTheme="minorHAnsi" w:cstheme="minorHAnsi"/>
          <w:shd w:val="clear" w:color="auto" w:fill="FFFFFF"/>
        </w:rPr>
        <w:t>Blattmasse bei NH &amp; LH</w:t>
      </w:r>
    </w:p>
    <w:p w14:paraId="051A5742" w14:textId="3F3DBC21" w:rsidR="004E200E" w:rsidRPr="00687919" w:rsidRDefault="004E200E" w:rsidP="004E200E">
      <w:pPr>
        <w:rPr>
          <w:rFonts w:asciiTheme="minorHAnsi" w:hAnsiTheme="minorHAnsi" w:cstheme="minorHAnsi"/>
          <w:sz w:val="24"/>
          <w:szCs w:val="24"/>
        </w:rPr>
      </w:pPr>
      <w:r w:rsidRPr="00E33A6F">
        <w:rPr>
          <w:rFonts w:asciiTheme="minorHAnsi" w:hAnsiTheme="minorHAnsi" w:cstheme="minorHAnsi"/>
        </w:rPr>
        <w:t xml:space="preserve">In Absprache mit Nicole Wellbrock und dem </w:t>
      </w:r>
      <w:proofErr w:type="spellStart"/>
      <w:r w:rsidRPr="00E33A6F">
        <w:rPr>
          <w:rFonts w:asciiTheme="minorHAnsi" w:hAnsiTheme="minorHAnsi" w:cstheme="minorHAnsi"/>
        </w:rPr>
        <w:t>MoMoK</w:t>
      </w:r>
      <w:proofErr w:type="spellEnd"/>
      <w:r w:rsidRPr="00E33A6F">
        <w:rPr>
          <w:rFonts w:asciiTheme="minorHAnsi" w:hAnsiTheme="minorHAnsi" w:cstheme="minorHAnsi"/>
        </w:rPr>
        <w:t xml:space="preserve"> Team wird (wie zuvor erwähnt) sämtliche Kompartimentierung und so auch die Berechnung der Blattmasse über TapeS durchgeführt. </w:t>
      </w:r>
      <w:r w:rsidR="00E54362">
        <w:rPr>
          <w:rFonts w:asciiTheme="minorHAnsi" w:hAnsiTheme="minorHAnsi" w:cstheme="minorHAnsi"/>
        </w:rPr>
        <w:t xml:space="preserve">Die </w:t>
      </w:r>
      <w:proofErr w:type="spellStart"/>
      <w:r w:rsidR="00E54362">
        <w:rPr>
          <w:rFonts w:asciiTheme="minorHAnsi" w:hAnsiTheme="minorHAnsi" w:cstheme="minorHAnsi"/>
        </w:rPr>
        <w:t>schätzung</w:t>
      </w:r>
      <w:proofErr w:type="spellEnd"/>
      <w:r w:rsidR="00E54362">
        <w:rPr>
          <w:rFonts w:asciiTheme="minorHAnsi" w:hAnsiTheme="minorHAnsi" w:cstheme="minorHAnsi"/>
        </w:rPr>
        <w:t xml:space="preserve"> der Blattmasse ist aktuell (Stand 23.06.2023) jedoch nur für Nadelbäume möglich, weshalb die Blattmasse an Laubbäumen weiterhin durch „externe“ Modelle geschätzt werden muss. </w:t>
      </w:r>
      <w:r w:rsidR="00EB671D">
        <w:rPr>
          <w:rFonts w:asciiTheme="minorHAnsi" w:hAnsiTheme="minorHAnsi" w:cstheme="minorHAnsi"/>
        </w:rPr>
        <w:t xml:space="preserve">Hierfür wurde das Blattmassenmodell nach </w:t>
      </w:r>
      <w:proofErr w:type="spellStart"/>
      <w:r w:rsidR="00EB671D">
        <w:rPr>
          <w:rFonts w:asciiTheme="minorHAnsi" w:hAnsiTheme="minorHAnsi" w:cstheme="minorHAnsi"/>
        </w:rPr>
        <w:t>Wutzler</w:t>
      </w:r>
      <w:proofErr w:type="spellEnd"/>
      <w:r w:rsidR="00EB671D">
        <w:rPr>
          <w:rFonts w:asciiTheme="minorHAnsi" w:hAnsiTheme="minorHAnsi" w:cstheme="minorHAnsi"/>
        </w:rPr>
        <w:t xml:space="preserve"> (2008) angewendet. </w:t>
      </w:r>
    </w:p>
    <w:p w14:paraId="4A45D2C5" w14:textId="5DC1E69C" w:rsidR="00011E15" w:rsidRDefault="004E200E" w:rsidP="00011E15">
      <w:r w:rsidRPr="00011E15">
        <w:rPr>
          <w:shd w:val="clear" w:color="auto" w:fill="FFFD59"/>
        </w:rPr>
        <w:t>Grundlage für die Entscheidung (1)</w:t>
      </w:r>
      <w:r w:rsidR="006A748F">
        <w:rPr>
          <w:shd w:val="clear" w:color="auto" w:fill="FFFD59"/>
        </w:rPr>
        <w:t xml:space="preserve"> </w:t>
      </w:r>
      <w:r w:rsidRPr="00011E15">
        <w:rPr>
          <w:shd w:val="clear" w:color="auto" w:fill="FFFD59"/>
        </w:rPr>
        <w:t xml:space="preserve">Funktionen von </w:t>
      </w:r>
      <w:proofErr w:type="spellStart"/>
      <w:r w:rsidRPr="00011E15">
        <w:rPr>
          <w:shd w:val="clear" w:color="auto" w:fill="FFFD59"/>
        </w:rPr>
        <w:t>Writh</w:t>
      </w:r>
      <w:proofErr w:type="spellEnd"/>
      <w:r w:rsidRPr="00011E15">
        <w:rPr>
          <w:shd w:val="clear" w:color="auto" w:fill="FFFD59"/>
        </w:rPr>
        <w:t xml:space="preserve"> und </w:t>
      </w:r>
      <w:proofErr w:type="spellStart"/>
      <w:r w:rsidRPr="00011E15">
        <w:rPr>
          <w:shd w:val="clear" w:color="auto" w:fill="FFFD59"/>
        </w:rPr>
        <w:t>Wutzler</w:t>
      </w:r>
      <w:proofErr w:type="spellEnd"/>
      <w:r w:rsidRPr="00011E15">
        <w:rPr>
          <w:shd w:val="clear" w:color="auto" w:fill="FFFD59"/>
        </w:rPr>
        <w:t xml:space="preserve"> zu verwenden und (2) nur in Laub- und Nadelholz zu gruppieren basiert auf: </w:t>
      </w:r>
    </w:p>
    <w:p w14:paraId="553C8F6C" w14:textId="77777777" w:rsidR="00011E15" w:rsidRPr="00011E15" w:rsidRDefault="004E200E" w:rsidP="006A748F">
      <w:pPr>
        <w:pStyle w:val="Liste-1"/>
      </w:pPr>
      <w:r w:rsidRPr="00011E15">
        <w:rPr>
          <w:shd w:val="clear" w:color="auto" w:fill="FFFD59"/>
        </w:rPr>
        <w:lastRenderedPageBreak/>
        <w:t>Der Empfehlung von Thomas Riedel</w:t>
      </w:r>
    </w:p>
    <w:p w14:paraId="1BF1201F" w14:textId="77777777" w:rsidR="00011E15" w:rsidRPr="00011E15" w:rsidRDefault="00011E15" w:rsidP="006A748F">
      <w:pPr>
        <w:pStyle w:val="Liste-1"/>
      </w:pPr>
      <w:r>
        <w:rPr>
          <w:shd w:val="clear" w:color="auto" w:fill="FFFD59"/>
        </w:rPr>
        <w:t xml:space="preserve">Der Methodik </w:t>
      </w:r>
      <w:r w:rsidR="004E200E" w:rsidRPr="00011E15">
        <w:rPr>
          <w:shd w:val="clear" w:color="auto" w:fill="FFFD59"/>
        </w:rPr>
        <w:t>Daniel Ziche</w:t>
      </w:r>
      <w:r>
        <w:rPr>
          <w:shd w:val="clear" w:color="auto" w:fill="FFFD59"/>
        </w:rPr>
        <w:t xml:space="preserve"> et al. (2019)</w:t>
      </w:r>
      <w:r w:rsidR="004E200E" w:rsidRPr="00011E15">
        <w:rPr>
          <w:shd w:val="clear" w:color="auto" w:fill="FFFD59"/>
        </w:rPr>
        <w:t xml:space="preserve">, welcher ebenfalls </w:t>
      </w:r>
      <w:proofErr w:type="spellStart"/>
      <w:r w:rsidR="004E200E" w:rsidRPr="00011E15">
        <w:rPr>
          <w:shd w:val="clear" w:color="auto" w:fill="FFFD59"/>
        </w:rPr>
        <w:t>Wutzler</w:t>
      </w:r>
      <w:proofErr w:type="spellEnd"/>
      <w:r w:rsidR="004E200E" w:rsidRPr="00011E15">
        <w:rPr>
          <w:shd w:val="clear" w:color="auto" w:fill="FFFD59"/>
        </w:rPr>
        <w:t xml:space="preserve"> 2008 und Wirth 2004 für die Berechnung der Blattmasse nutzt, bei der Berechnung jedoch in mehr Artengruppen unterscheidet (</w:t>
      </w:r>
      <w:proofErr w:type="spellStart"/>
      <w:r w:rsidR="004E200E" w:rsidRPr="00011E15">
        <w:rPr>
          <w:shd w:val="clear" w:color="auto" w:fill="FFFD59"/>
        </w:rPr>
        <w:t>oak</w:t>
      </w:r>
      <w:proofErr w:type="spellEnd"/>
      <w:r w:rsidR="004E200E" w:rsidRPr="00011E15">
        <w:rPr>
          <w:shd w:val="clear" w:color="auto" w:fill="FFFD59"/>
        </w:rPr>
        <w:t xml:space="preserve">, </w:t>
      </w:r>
      <w:proofErr w:type="spellStart"/>
      <w:r w:rsidR="004E200E" w:rsidRPr="00011E15">
        <w:rPr>
          <w:shd w:val="clear" w:color="auto" w:fill="FFFD59"/>
        </w:rPr>
        <w:t>spruce</w:t>
      </w:r>
      <w:proofErr w:type="spellEnd"/>
      <w:r w:rsidR="004E200E" w:rsidRPr="00011E15">
        <w:rPr>
          <w:shd w:val="clear" w:color="auto" w:fill="FFFD59"/>
        </w:rPr>
        <w:t xml:space="preserve">, </w:t>
      </w:r>
      <w:proofErr w:type="spellStart"/>
      <w:r w:rsidR="004E200E" w:rsidRPr="00011E15">
        <w:rPr>
          <w:shd w:val="clear" w:color="auto" w:fill="FFFD59"/>
        </w:rPr>
        <w:t>beech</w:t>
      </w:r>
      <w:proofErr w:type="spellEnd"/>
      <w:r w:rsidR="004E200E" w:rsidRPr="00011E15">
        <w:rPr>
          <w:shd w:val="clear" w:color="auto" w:fill="FFFD59"/>
        </w:rPr>
        <w:t xml:space="preserve">, </w:t>
      </w:r>
      <w:proofErr w:type="spellStart"/>
      <w:r w:rsidR="004E200E" w:rsidRPr="00011E15">
        <w:rPr>
          <w:shd w:val="clear" w:color="auto" w:fill="FFFD59"/>
        </w:rPr>
        <w:t>pine</w:t>
      </w:r>
      <w:proofErr w:type="spellEnd"/>
      <w:r w:rsidR="004E200E" w:rsidRPr="00011E15">
        <w:rPr>
          <w:shd w:val="clear" w:color="auto" w:fill="FFFD59"/>
        </w:rPr>
        <w:t xml:space="preserve">, </w:t>
      </w:r>
      <w:proofErr w:type="spellStart"/>
      <w:r w:rsidR="004E200E" w:rsidRPr="00011E15">
        <w:rPr>
          <w:shd w:val="clear" w:color="auto" w:fill="FFFD59"/>
        </w:rPr>
        <w:t>douglas</w:t>
      </w:r>
      <w:proofErr w:type="spellEnd"/>
      <w:r w:rsidR="004E200E" w:rsidRPr="00011E15">
        <w:rPr>
          <w:shd w:val="clear" w:color="auto" w:fill="FFFD59"/>
        </w:rPr>
        <w:t xml:space="preserve"> </w:t>
      </w:r>
      <w:proofErr w:type="spellStart"/>
      <w:r w:rsidR="004E200E" w:rsidRPr="00011E15">
        <w:rPr>
          <w:shd w:val="clear" w:color="auto" w:fill="FFFD59"/>
        </w:rPr>
        <w:t>fir</w:t>
      </w:r>
      <w:proofErr w:type="spellEnd"/>
      <w:r w:rsidR="004E200E" w:rsidRPr="00011E15">
        <w:rPr>
          <w:shd w:val="clear" w:color="auto" w:fill="FFFD59"/>
        </w:rPr>
        <w:t xml:space="preserve">, </w:t>
      </w:r>
      <w:proofErr w:type="spellStart"/>
      <w:r w:rsidR="004E200E" w:rsidRPr="00011E15">
        <w:rPr>
          <w:shd w:val="clear" w:color="auto" w:fill="FFFD59"/>
        </w:rPr>
        <w:t>larch</w:t>
      </w:r>
      <w:proofErr w:type="spellEnd"/>
      <w:r w:rsidR="004E200E" w:rsidRPr="00011E15">
        <w:rPr>
          <w:shd w:val="clear" w:color="auto" w:fill="FFFD59"/>
        </w:rPr>
        <w:t xml:space="preserve">) </w:t>
      </w:r>
    </w:p>
    <w:p w14:paraId="57CFF767" w14:textId="4C20A89B" w:rsidR="004E200E" w:rsidRPr="00687919" w:rsidRDefault="004E200E" w:rsidP="006A748F">
      <w:pPr>
        <w:pStyle w:val="Liste-1"/>
      </w:pPr>
      <w:r w:rsidRPr="00011E15">
        <w:rPr>
          <w:shd w:val="clear" w:color="auto" w:fill="FFFD59"/>
        </w:rPr>
        <w:t xml:space="preserve">die vereinfachte Unterteilung in Buche und Fichte als stellvertretende Funktionen für Laubholz- und Nadelholz liegt darin </w:t>
      </w:r>
      <w:proofErr w:type="gramStart"/>
      <w:r w:rsidRPr="00011E15">
        <w:rPr>
          <w:shd w:val="clear" w:color="auto" w:fill="FFFD59"/>
        </w:rPr>
        <w:t>begründet ,</w:t>
      </w:r>
      <w:proofErr w:type="gramEnd"/>
      <w:r w:rsidRPr="00011E15">
        <w:rPr>
          <w:shd w:val="clear" w:color="auto" w:fill="FFFD59"/>
        </w:rPr>
        <w:t xml:space="preserve"> dass die Hauptbaumarten an </w:t>
      </w:r>
      <w:proofErr w:type="spellStart"/>
      <w:r w:rsidRPr="00011E15">
        <w:rPr>
          <w:shd w:val="clear" w:color="auto" w:fill="FFFD59"/>
        </w:rPr>
        <w:t>MoMoK</w:t>
      </w:r>
      <w:proofErr w:type="spellEnd"/>
      <w:r w:rsidRPr="00011E15">
        <w:rPr>
          <w:shd w:val="clear" w:color="auto" w:fill="FFFD59"/>
        </w:rPr>
        <w:t xml:space="preserve"> Standorten (Birke, Erle, Bergkiefer, etc.) ohnehin nicht in den Biomassenfunktionen Vertreten sind </w:t>
      </w:r>
    </w:p>
    <w:p w14:paraId="5B668046" w14:textId="23D62F3A" w:rsidR="004E200E" w:rsidRPr="00F817CC" w:rsidRDefault="004E200E" w:rsidP="00F817CC">
      <w:pPr>
        <w:rPr>
          <w:rFonts w:asciiTheme="minorHAnsi" w:hAnsiTheme="minorHAnsi" w:cstheme="minorHAnsi"/>
          <w:sz w:val="24"/>
          <w:szCs w:val="24"/>
        </w:rPr>
      </w:pPr>
      <w:r w:rsidRPr="00011E15">
        <w:t xml:space="preserve">Als problematisch gestaltet sich für die Berechnung der Blattmasse zum einen, dass zusätzliche Kenngrößen als Input-Daten benötigt werden, welche aktuell (Stand 13.03.2023) nicht vollständiger Teil des Inventurdatensatzes sind. Dazu zählen: Baumalter, </w:t>
      </w:r>
      <w:proofErr w:type="spellStart"/>
      <w:r w:rsidRPr="00011E15">
        <w:t>site</w:t>
      </w:r>
      <w:proofErr w:type="spellEnd"/>
      <w:r w:rsidRPr="00011E15">
        <w:t xml:space="preserve"> </w:t>
      </w:r>
      <w:proofErr w:type="spellStart"/>
      <w:r w:rsidRPr="00011E15">
        <w:t>index</w:t>
      </w:r>
      <w:proofErr w:type="spellEnd"/>
      <w:r w:rsidRPr="00011E15">
        <w:t xml:space="preserve"> = </w:t>
      </w:r>
      <w:commentRangeStart w:id="10"/>
      <w:proofErr w:type="spellStart"/>
      <w:r w:rsidRPr="00011E15">
        <w:t>Oberhöhe</w:t>
      </w:r>
      <w:proofErr w:type="spellEnd"/>
      <w:r w:rsidRPr="00011E15">
        <w:t xml:space="preserve"> </w:t>
      </w:r>
      <w:commentRangeEnd w:id="10"/>
      <w:r w:rsidRPr="00011E15">
        <w:commentReference w:id="10"/>
      </w:r>
      <w:r w:rsidRPr="00011E15">
        <w:t xml:space="preserve">= Die Höhe des Grundflächenmittelstammes der 100 stärksten Stämme des Bestandes pro Hektar (Assmann 1961), </w:t>
      </w:r>
      <w:proofErr w:type="spellStart"/>
      <w:r w:rsidRPr="00011E15">
        <w:t>altitude</w:t>
      </w:r>
      <w:proofErr w:type="spellEnd"/>
      <w:r w:rsidRPr="00011E15">
        <w:t xml:space="preserve"> = Höhe über </w:t>
      </w:r>
      <w:proofErr w:type="spellStart"/>
      <w:r w:rsidRPr="00011E15">
        <w:t>Meerespiegel</w:t>
      </w:r>
      <w:proofErr w:type="spellEnd"/>
      <w:r w:rsidRPr="00687919">
        <w:rPr>
          <w:rFonts w:asciiTheme="minorHAnsi" w:hAnsiTheme="minorHAnsi" w:cstheme="minorHAnsi"/>
          <w:sz w:val="24"/>
          <w:szCs w:val="24"/>
        </w:rPr>
        <w:t>.  </w:t>
      </w:r>
    </w:p>
    <w:p w14:paraId="0653D6C0" w14:textId="77777777" w:rsidR="004E200E" w:rsidRPr="00687919" w:rsidRDefault="004E200E" w:rsidP="001D0D18">
      <w:pPr>
        <w:pStyle w:val="berschrift4"/>
        <w:numPr>
          <w:ilvl w:val="3"/>
          <w:numId w:val="9"/>
        </w:numPr>
        <w:rPr>
          <w:rFonts w:asciiTheme="minorHAnsi" w:hAnsiTheme="minorHAnsi" w:cstheme="minorHAnsi"/>
        </w:rPr>
      </w:pPr>
      <w:r w:rsidRPr="00687919">
        <w:rPr>
          <w:rFonts w:asciiTheme="minorHAnsi" w:hAnsiTheme="minorHAnsi" w:cstheme="minorHAnsi"/>
        </w:rPr>
        <w:t>DGM5 für die Ermittlung der Höhe über Meeresspiegel</w:t>
      </w:r>
    </w:p>
    <w:p w14:paraId="596224A4" w14:textId="77777777" w:rsidR="004E200E" w:rsidRPr="00687919" w:rsidRDefault="004E200E" w:rsidP="004E200E">
      <w:pPr>
        <w:rPr>
          <w:rFonts w:asciiTheme="minorHAnsi" w:hAnsiTheme="minorHAnsi" w:cstheme="minorHAnsi"/>
        </w:rPr>
      </w:pPr>
      <w:r w:rsidRPr="00687919">
        <w:rPr>
          <w:rFonts w:asciiTheme="minorHAnsi" w:hAnsiTheme="minorHAnsi" w:cstheme="minorHAnsi"/>
        </w:rPr>
        <w:t xml:space="preserve">Da die Biomassenmodelle besserer Güte für die Blattmasse von Fichten, die Höhe über den Meeresspiegel sowie die </w:t>
      </w:r>
      <w:proofErr w:type="spellStart"/>
      <w:r w:rsidRPr="00687919">
        <w:rPr>
          <w:rFonts w:asciiTheme="minorHAnsi" w:hAnsiTheme="minorHAnsi" w:cstheme="minorHAnsi"/>
        </w:rPr>
        <w:t>Oberhöhe</w:t>
      </w:r>
      <w:proofErr w:type="spellEnd"/>
      <w:r w:rsidRPr="00687919">
        <w:rPr>
          <w:rFonts w:asciiTheme="minorHAnsi" w:hAnsiTheme="minorHAnsi" w:cstheme="minorHAnsi"/>
        </w:rPr>
        <w:t xml:space="preserve"> mit einbezieht muss zunächst ein Skript erzeugt werden, welches die Höhen an den jeweiligen Probepunkten aus einem Digitalen Geländemodell extrahiert. </w:t>
      </w:r>
    </w:p>
    <w:p w14:paraId="25249DD1" w14:textId="77777777" w:rsidR="004E200E" w:rsidRPr="00687919" w:rsidRDefault="004E200E" w:rsidP="004E200E">
      <w:pPr>
        <w:rPr>
          <w:rFonts w:asciiTheme="minorHAnsi" w:hAnsiTheme="minorHAnsi" w:cstheme="minorHAnsi"/>
        </w:rPr>
      </w:pPr>
      <w:r w:rsidRPr="00687919">
        <w:rPr>
          <w:rFonts w:asciiTheme="minorHAnsi" w:hAnsiTheme="minorHAnsi" w:cstheme="minorHAnsi"/>
        </w:rPr>
        <w:t xml:space="preserve">Ein solches </w:t>
      </w:r>
      <w:proofErr w:type="spellStart"/>
      <w:r w:rsidRPr="00687919">
        <w:rPr>
          <w:rFonts w:asciiTheme="minorHAnsi" w:hAnsiTheme="minorHAnsi" w:cstheme="minorHAnsi"/>
        </w:rPr>
        <w:t>Model</w:t>
      </w:r>
      <w:proofErr w:type="spellEnd"/>
      <w:r w:rsidRPr="00687919">
        <w:rPr>
          <w:rFonts w:asciiTheme="minorHAnsi" w:hAnsiTheme="minorHAnsi" w:cstheme="minorHAnsi"/>
        </w:rPr>
        <w:t xml:space="preserve"> ist in gekachelter Form auf dem HPC Server des Thünen Institutes hinterlegt. Der Zugriff auf diesen Ordner erfolgt über </w:t>
      </w:r>
      <w:proofErr w:type="spellStart"/>
      <w:r w:rsidRPr="00687919">
        <w:rPr>
          <w:rFonts w:asciiTheme="minorHAnsi" w:hAnsiTheme="minorHAnsi" w:cstheme="minorHAnsi"/>
        </w:rPr>
        <w:t>Xgo</w:t>
      </w:r>
      <w:proofErr w:type="spellEnd"/>
      <w:r w:rsidRPr="00687919">
        <w:rPr>
          <w:rFonts w:asciiTheme="minorHAnsi" w:hAnsiTheme="minorHAnsi" w:cstheme="minorHAnsi"/>
        </w:rPr>
        <w:t xml:space="preserve"> welches den HPC Server und seine Daten- bzw. Orderstrukturen in einer Windows Maschine Darstellt. Das entsprechende </w:t>
      </w:r>
      <w:proofErr w:type="spellStart"/>
      <w:r w:rsidRPr="00687919">
        <w:rPr>
          <w:rFonts w:asciiTheme="minorHAnsi" w:hAnsiTheme="minorHAnsi" w:cstheme="minorHAnsi"/>
        </w:rPr>
        <w:t>Rskript</w:t>
      </w:r>
      <w:proofErr w:type="spellEnd"/>
      <w:r w:rsidRPr="00687919">
        <w:rPr>
          <w:rFonts w:asciiTheme="minorHAnsi" w:hAnsiTheme="minorHAnsi" w:cstheme="minorHAnsi"/>
        </w:rPr>
        <w:t xml:space="preserve"> wird also auf dem lokalen Computer vorbereitet und nachfolgend mittels </w:t>
      </w:r>
      <w:proofErr w:type="spellStart"/>
      <w:r w:rsidRPr="00687919">
        <w:rPr>
          <w:rFonts w:asciiTheme="minorHAnsi" w:hAnsiTheme="minorHAnsi" w:cstheme="minorHAnsi"/>
        </w:rPr>
        <w:t>Putty</w:t>
      </w:r>
      <w:proofErr w:type="spellEnd"/>
      <w:r w:rsidRPr="00687919">
        <w:rPr>
          <w:rFonts w:asciiTheme="minorHAnsi" w:hAnsiTheme="minorHAnsi" w:cstheme="minorHAnsi"/>
        </w:rPr>
        <w:t xml:space="preserve"> auf dem Server abgelegt und dort auch </w:t>
      </w:r>
      <w:proofErr w:type="spellStart"/>
      <w:r w:rsidRPr="00687919">
        <w:rPr>
          <w:rFonts w:asciiTheme="minorHAnsi" w:hAnsiTheme="minorHAnsi" w:cstheme="minorHAnsi"/>
        </w:rPr>
        <w:t>gerunnt</w:t>
      </w:r>
      <w:proofErr w:type="spellEnd"/>
      <w:r w:rsidRPr="00687919">
        <w:rPr>
          <w:rFonts w:asciiTheme="minorHAnsi" w:hAnsiTheme="minorHAnsi" w:cstheme="minorHAnsi"/>
        </w:rPr>
        <w:t xml:space="preserve">. </w:t>
      </w:r>
    </w:p>
    <w:p w14:paraId="08C72688" w14:textId="77777777" w:rsidR="004E200E" w:rsidRPr="00687919" w:rsidRDefault="004E200E" w:rsidP="004E200E">
      <w:pPr>
        <w:rPr>
          <w:rFonts w:asciiTheme="minorHAnsi" w:hAnsiTheme="minorHAnsi" w:cstheme="minorHAnsi"/>
        </w:rPr>
      </w:pPr>
      <w:r w:rsidRPr="00687919">
        <w:rPr>
          <w:rFonts w:asciiTheme="minorHAnsi" w:hAnsiTheme="minorHAnsi" w:cstheme="minorHAnsi"/>
        </w:rPr>
        <w:t>Da dieser Prozess nicht innerhalb des bereits erstellten Skripts ablaufen kann, muss er der Analyse weiterer/ anderer Datensätze vorgeschaltet werden.</w:t>
      </w:r>
    </w:p>
    <w:p w14:paraId="5B1DED72" w14:textId="77777777" w:rsidR="004E200E" w:rsidRPr="00E3284A" w:rsidRDefault="004E200E" w:rsidP="00E3284A">
      <w:pPr>
        <w:pStyle w:val="berschrift4"/>
        <w:numPr>
          <w:ilvl w:val="3"/>
          <w:numId w:val="9"/>
        </w:numPr>
      </w:pPr>
      <w:proofErr w:type="spellStart"/>
      <w:r w:rsidRPr="00E3284A">
        <w:t>Oberhöhe</w:t>
      </w:r>
      <w:proofErr w:type="spellEnd"/>
    </w:p>
    <w:p w14:paraId="5E32DCE7" w14:textId="5504B410" w:rsidR="004E200E" w:rsidRPr="00687919" w:rsidRDefault="004E200E" w:rsidP="004E200E">
      <w:pPr>
        <w:rPr>
          <w:rFonts w:asciiTheme="minorHAnsi" w:hAnsiTheme="minorHAnsi" w:cstheme="minorHAnsi"/>
        </w:rPr>
      </w:pPr>
      <w:r w:rsidRPr="00687919">
        <w:rPr>
          <w:rFonts w:asciiTheme="minorHAnsi" w:hAnsiTheme="minorHAnsi" w:cstheme="minorHAnsi"/>
        </w:rPr>
        <w:t xml:space="preserve">Die </w:t>
      </w:r>
      <w:proofErr w:type="spellStart"/>
      <w:r w:rsidRPr="00687919">
        <w:rPr>
          <w:rFonts w:asciiTheme="minorHAnsi" w:hAnsiTheme="minorHAnsi" w:cstheme="minorHAnsi"/>
        </w:rPr>
        <w:t>Oberhöhe</w:t>
      </w:r>
      <w:proofErr w:type="spellEnd"/>
      <w:r w:rsidRPr="00687919">
        <w:rPr>
          <w:rFonts w:asciiTheme="minorHAnsi" w:hAnsiTheme="minorHAnsi" w:cstheme="minorHAnsi"/>
        </w:rPr>
        <w:t xml:space="preserve"> beschreibt die Höhe de</w:t>
      </w:r>
      <w:r w:rsidR="00B23F48">
        <w:rPr>
          <w:rFonts w:asciiTheme="minorHAnsi" w:hAnsiTheme="minorHAnsi" w:cstheme="minorHAnsi"/>
        </w:rPr>
        <w:t xml:space="preserve">s Grundflächenmittelstammes der </w:t>
      </w:r>
      <w:r w:rsidRPr="00687919">
        <w:rPr>
          <w:rFonts w:asciiTheme="minorHAnsi" w:hAnsiTheme="minorHAnsi" w:cstheme="minorHAnsi"/>
        </w:rPr>
        <w:t xml:space="preserve">100 stärksten Bäume pro Hektar. Da die erhobenen Plots maximal 75 Bäume pro Plot haben, besteht also keine Möglichkeit die </w:t>
      </w:r>
      <w:proofErr w:type="spellStart"/>
      <w:r w:rsidRPr="00687919">
        <w:rPr>
          <w:rFonts w:asciiTheme="minorHAnsi" w:hAnsiTheme="minorHAnsi" w:cstheme="minorHAnsi"/>
        </w:rPr>
        <w:t>Oberhöhe</w:t>
      </w:r>
      <w:proofErr w:type="spellEnd"/>
      <w:r w:rsidRPr="00687919">
        <w:rPr>
          <w:rFonts w:asciiTheme="minorHAnsi" w:hAnsiTheme="minorHAnsi" w:cstheme="minorHAnsi"/>
        </w:rPr>
        <w:t xml:space="preserve"> direkt zu berechnen. </w:t>
      </w:r>
      <w:r w:rsidR="00B23F48">
        <w:rPr>
          <w:rFonts w:asciiTheme="minorHAnsi" w:hAnsiTheme="minorHAnsi" w:cstheme="minorHAnsi"/>
        </w:rPr>
        <w:t xml:space="preserve">Um die Aufwendigere Ermittlung der </w:t>
      </w:r>
      <w:proofErr w:type="spellStart"/>
      <w:r w:rsidR="00B23F48">
        <w:rPr>
          <w:rFonts w:asciiTheme="minorHAnsi" w:hAnsiTheme="minorHAnsi" w:cstheme="minorHAnsi"/>
        </w:rPr>
        <w:t>Oberhöhe</w:t>
      </w:r>
      <w:proofErr w:type="spellEnd"/>
      <w:r w:rsidR="00B23F48">
        <w:rPr>
          <w:rFonts w:asciiTheme="minorHAnsi" w:hAnsiTheme="minorHAnsi" w:cstheme="minorHAnsi"/>
        </w:rPr>
        <w:t xml:space="preserve"> über</w:t>
      </w:r>
      <w:r w:rsidRPr="00687919">
        <w:rPr>
          <w:rFonts w:asciiTheme="minorHAnsi" w:hAnsiTheme="minorHAnsi" w:cstheme="minorHAnsi"/>
        </w:rPr>
        <w:t xml:space="preserve"> Bestimmen </w:t>
      </w:r>
      <w:r w:rsidR="00B23F48">
        <w:rPr>
          <w:rFonts w:asciiTheme="minorHAnsi" w:hAnsiTheme="minorHAnsi" w:cstheme="minorHAnsi"/>
        </w:rPr>
        <w:t>der</w:t>
      </w:r>
      <w:r w:rsidRPr="00687919">
        <w:rPr>
          <w:rFonts w:asciiTheme="minorHAnsi" w:hAnsiTheme="minorHAnsi" w:cstheme="minorHAnsi"/>
        </w:rPr>
        <w:t xml:space="preserve"> Bonität und das manuelle Ablesen der </w:t>
      </w:r>
      <w:proofErr w:type="spellStart"/>
      <w:r w:rsidRPr="00687919">
        <w:rPr>
          <w:rFonts w:asciiTheme="minorHAnsi" w:hAnsiTheme="minorHAnsi" w:cstheme="minorHAnsi"/>
        </w:rPr>
        <w:t>Oberhöhe</w:t>
      </w:r>
      <w:proofErr w:type="spellEnd"/>
      <w:r w:rsidRPr="00687919">
        <w:rPr>
          <w:rFonts w:asciiTheme="minorHAnsi" w:hAnsiTheme="minorHAnsi" w:cstheme="minorHAnsi"/>
        </w:rPr>
        <w:t xml:space="preserve"> aus </w:t>
      </w:r>
      <w:r w:rsidR="00B23F48">
        <w:rPr>
          <w:rFonts w:asciiTheme="minorHAnsi" w:hAnsiTheme="minorHAnsi" w:cstheme="minorHAnsi"/>
        </w:rPr>
        <w:t>E</w:t>
      </w:r>
      <w:r w:rsidRPr="00687919">
        <w:rPr>
          <w:rFonts w:asciiTheme="minorHAnsi" w:hAnsiTheme="minorHAnsi" w:cstheme="minorHAnsi"/>
        </w:rPr>
        <w:t xml:space="preserve">rtragstafeln oder die </w:t>
      </w:r>
      <w:r w:rsidR="00B23F48">
        <w:rPr>
          <w:rFonts w:asciiTheme="minorHAnsi" w:hAnsiTheme="minorHAnsi" w:cstheme="minorHAnsi"/>
        </w:rPr>
        <w:t>A</w:t>
      </w:r>
      <w:r w:rsidRPr="00687919">
        <w:rPr>
          <w:rFonts w:asciiTheme="minorHAnsi" w:hAnsiTheme="minorHAnsi" w:cstheme="minorHAnsi"/>
        </w:rPr>
        <w:t>nwendung weiterer Schätzfunktionen</w:t>
      </w:r>
      <w:r w:rsidR="00B23F48">
        <w:rPr>
          <w:rFonts w:asciiTheme="minorHAnsi" w:hAnsiTheme="minorHAnsi" w:cstheme="minorHAnsi"/>
        </w:rPr>
        <w:t xml:space="preserve"> zu</w:t>
      </w:r>
      <w:r w:rsidRPr="00687919">
        <w:rPr>
          <w:rFonts w:asciiTheme="minorHAnsi" w:hAnsiTheme="minorHAnsi" w:cstheme="minorHAnsi"/>
        </w:rPr>
        <w:t xml:space="preserve"> vermeiden, </w:t>
      </w:r>
      <w:r w:rsidR="00B23F48">
        <w:rPr>
          <w:rFonts w:asciiTheme="minorHAnsi" w:hAnsiTheme="minorHAnsi" w:cstheme="minorHAnsi"/>
        </w:rPr>
        <w:t xml:space="preserve">werden die Bäume die in die Oberhöhenberechnung pro Plot einfließen folgendermaßen ausgewählt: </w:t>
      </w:r>
    </w:p>
    <w:p w14:paraId="512964A1" w14:textId="77777777" w:rsidR="00B23F48" w:rsidRDefault="00B23F48" w:rsidP="00B23F48">
      <w:pPr>
        <w:sectPr w:rsidR="00B23F48" w:rsidSect="00542EF4">
          <w:pgSz w:w="11913" w:h="16834" w:code="9"/>
          <w:pgMar w:top="1701" w:right="1191" w:bottom="1134" w:left="1191" w:header="567" w:footer="720" w:gutter="0"/>
          <w:cols w:space="720"/>
          <w:docGrid w:linePitch="326"/>
        </w:sectPr>
      </w:pPr>
    </w:p>
    <w:p w14:paraId="07405236" w14:textId="777B52EE" w:rsidR="00B23F48" w:rsidRDefault="00B23F48" w:rsidP="00B23F48">
      <w:r>
        <w:t xml:space="preserve">Gegeben: </w:t>
      </w:r>
    </w:p>
    <w:p w14:paraId="6A915F24" w14:textId="35C6D730" w:rsidR="00B23F48" w:rsidRDefault="004E200E" w:rsidP="00B23F48">
      <w:pPr>
        <w:pStyle w:val="Liste-1"/>
      </w:pPr>
      <w:r w:rsidRPr="00687919">
        <w:t>Anzahl der Bäume</w:t>
      </w:r>
      <w:r w:rsidR="00B23F48">
        <w:t xml:space="preserve"> pro </w:t>
      </w:r>
      <w:proofErr w:type="spellStart"/>
      <w:r w:rsidR="00B23F48">
        <w:t>Plotfläche</w:t>
      </w:r>
      <w:proofErr w:type="spellEnd"/>
      <w:r w:rsidR="00B23F48">
        <w:t xml:space="preserve"> in Hektar: N/ha</w:t>
      </w:r>
    </w:p>
    <w:p w14:paraId="15789569" w14:textId="201683A7" w:rsidR="006A748F" w:rsidRDefault="006A748F" w:rsidP="00FA78C8">
      <w:pPr>
        <w:pStyle w:val="Liste-1"/>
        <w:numPr>
          <w:ilvl w:val="0"/>
          <w:numId w:val="0"/>
        </w:numPr>
        <w:ind w:left="281"/>
      </w:pPr>
      <w:r>
        <w:t>Radius</w:t>
      </w:r>
      <w:r w:rsidR="004E200E" w:rsidRPr="00687919">
        <w:t xml:space="preserve"> </w:t>
      </w:r>
      <w:proofErr w:type="gramStart"/>
      <w:r w:rsidR="004E200E" w:rsidRPr="00687919">
        <w:t>des Plot</w:t>
      </w:r>
      <w:proofErr w:type="gramEnd"/>
      <w:r w:rsidR="004E200E" w:rsidRPr="00687919">
        <w:t xml:space="preserve"> in Hektar</w:t>
      </w:r>
      <w:r w:rsidR="00B23F48">
        <w:t xml:space="preserve">: </w:t>
      </w:r>
      <w:r>
        <w:t>12,52m</w:t>
      </w:r>
    </w:p>
    <w:p w14:paraId="715D4A2A" w14:textId="12AD17D9" w:rsidR="00B23F48" w:rsidRDefault="00B23F48" w:rsidP="006A748F">
      <w:pPr>
        <w:pStyle w:val="Liste-1"/>
      </w:pPr>
      <w:r>
        <w:t xml:space="preserve">erforderliche </w:t>
      </w:r>
      <w:proofErr w:type="spellStart"/>
      <w:r>
        <w:t>Baumzahl</w:t>
      </w:r>
      <w:proofErr w:type="spellEnd"/>
      <w:r>
        <w:t xml:space="preserve"> pro Hektar für die Oberhöhenberechnung: 100 B/ha</w:t>
      </w:r>
    </w:p>
    <w:p w14:paraId="6349BA76" w14:textId="5DEDBE3B" w:rsidR="00B23F48" w:rsidRDefault="00B23F48" w:rsidP="00B23F48">
      <w:pPr>
        <w:pStyle w:val="Liste-1"/>
        <w:numPr>
          <w:ilvl w:val="0"/>
          <w:numId w:val="0"/>
        </w:numPr>
        <w:ind w:left="281" w:hanging="281"/>
      </w:pPr>
      <w:r>
        <w:t xml:space="preserve">Gesucht: </w:t>
      </w:r>
    </w:p>
    <w:p w14:paraId="04A7C118" w14:textId="40691B88" w:rsidR="00B23F48" w:rsidRDefault="00B23F48" w:rsidP="00B23F48">
      <w:pPr>
        <w:pStyle w:val="Liste-1"/>
      </w:pPr>
      <w:r>
        <w:t>Anzahl der auszuwählenden Bäume pro Plot</w:t>
      </w:r>
    </w:p>
    <w:p w14:paraId="2942254B" w14:textId="77777777" w:rsidR="00B23F48" w:rsidRPr="00687919" w:rsidRDefault="00B23F48" w:rsidP="00B23F48">
      <w:pPr>
        <w:pStyle w:val="Liste-1"/>
        <w:numPr>
          <w:ilvl w:val="0"/>
          <w:numId w:val="0"/>
        </w:numPr>
        <w:ind w:left="281"/>
      </w:pPr>
    </w:p>
    <w:p w14:paraId="2A40E7BA" w14:textId="77777777" w:rsidR="00B23F48" w:rsidRDefault="00B23F48" w:rsidP="00B23F48"/>
    <w:p w14:paraId="587F039E" w14:textId="680F33BE" w:rsidR="00B23F48" w:rsidRDefault="00B23F48" w:rsidP="00B23F48">
      <w:pPr>
        <w:sectPr w:rsidR="00B23F48" w:rsidSect="00B23F48">
          <w:type w:val="continuous"/>
          <w:pgSz w:w="11913" w:h="16834" w:code="9"/>
          <w:pgMar w:top="1701" w:right="1191" w:bottom="1134" w:left="1191" w:header="567" w:footer="720" w:gutter="0"/>
          <w:cols w:num="2" w:space="720"/>
          <w:docGrid w:linePitch="326"/>
        </w:sectPr>
      </w:pPr>
    </w:p>
    <w:p w14:paraId="160346C1" w14:textId="1AC55EEF" w:rsidR="00324B1F" w:rsidRDefault="00324B1F" w:rsidP="00324B1F">
      <w:r>
        <w:t>Rechnung: Dreisatz</w:t>
      </w:r>
    </w:p>
    <w:p w14:paraId="45AA4D2C" w14:textId="77777777" w:rsidR="006A748F" w:rsidRDefault="006A748F" w:rsidP="006A748F">
      <w:pPr>
        <w:pStyle w:val="Liste-1"/>
        <w:numPr>
          <w:ilvl w:val="0"/>
          <w:numId w:val="31"/>
        </w:numPr>
      </w:pPr>
      <w:r>
        <w:t>Fläche des Plots in Hektar berechnen: (Radius</w:t>
      </w:r>
      <w:r w:rsidRPr="006A748F">
        <w:rPr>
          <w:vertAlign w:val="subscript"/>
        </w:rPr>
        <w:t>plot</w:t>
      </w:r>
      <w:r>
        <w:t>^2*</w:t>
      </w:r>
      <w:proofErr w:type="spellStart"/>
      <w:proofErr w:type="gramStart"/>
      <w:r>
        <w:t>pi</w:t>
      </w:r>
      <w:proofErr w:type="spellEnd"/>
      <w:r>
        <w:t>)/</w:t>
      </w:r>
      <w:proofErr w:type="gramEnd"/>
      <w:r>
        <w:t>10 000</w:t>
      </w:r>
    </w:p>
    <w:p w14:paraId="480FC38B" w14:textId="77777777" w:rsidR="006A748F" w:rsidRDefault="006A748F" w:rsidP="006A748F">
      <w:pPr>
        <w:pStyle w:val="Liste-1"/>
        <w:numPr>
          <w:ilvl w:val="0"/>
          <w:numId w:val="31"/>
        </w:numPr>
      </w:pPr>
      <w:r>
        <w:t xml:space="preserve">Dreisatz anwenden: </w:t>
      </w:r>
    </w:p>
    <w:p w14:paraId="1EFB77E8" w14:textId="77777777" w:rsidR="006A748F" w:rsidRDefault="00B23F48" w:rsidP="006A748F">
      <w:pPr>
        <w:pStyle w:val="Liste-1"/>
        <w:numPr>
          <w:ilvl w:val="1"/>
          <w:numId w:val="31"/>
        </w:numPr>
      </w:pPr>
      <w:r>
        <w:t xml:space="preserve">100 Bäume </w:t>
      </w:r>
      <w:r>
        <w:sym w:font="Wingdings" w:char="F0F3"/>
      </w:r>
      <w:r>
        <w:t xml:space="preserve"> 1 Hektar</w:t>
      </w:r>
    </w:p>
    <w:p w14:paraId="3B0787CA" w14:textId="77777777" w:rsidR="006A748F" w:rsidRDefault="00B23F48" w:rsidP="006A748F">
      <w:pPr>
        <w:pStyle w:val="Liste-1"/>
        <w:numPr>
          <w:ilvl w:val="1"/>
          <w:numId w:val="31"/>
        </w:numPr>
      </w:pPr>
      <w:r>
        <w:t>100</w:t>
      </w:r>
      <w:proofErr w:type="gramStart"/>
      <w:r>
        <w:t>/(</w:t>
      </w:r>
      <w:proofErr w:type="gramEnd"/>
      <w:r>
        <w:t>1 Hektar/</w:t>
      </w:r>
      <w:proofErr w:type="spellStart"/>
      <w:r>
        <w:t>Plotfläche</w:t>
      </w:r>
      <w:proofErr w:type="spellEnd"/>
      <w:r>
        <w:t xml:space="preserve"> in Hektar) </w:t>
      </w:r>
      <w:r>
        <w:sym w:font="Wingdings" w:char="F0F3"/>
      </w:r>
      <w:r>
        <w:t xml:space="preserve"> 1 Hektar/(1 </w:t>
      </w:r>
      <w:proofErr w:type="spellStart"/>
      <w:r>
        <w:t>Hekar</w:t>
      </w:r>
      <w:proofErr w:type="spellEnd"/>
      <w:r>
        <w:t xml:space="preserve">/ </w:t>
      </w:r>
      <w:proofErr w:type="spellStart"/>
      <w:r>
        <w:t>Plotfläche</w:t>
      </w:r>
      <w:proofErr w:type="spellEnd"/>
      <w:r>
        <w:t xml:space="preserve"> in Hektar)</w:t>
      </w:r>
    </w:p>
    <w:p w14:paraId="65B1EC0F" w14:textId="62CF0534" w:rsidR="004E200E" w:rsidRPr="001B412B" w:rsidRDefault="00324B1F" w:rsidP="006A748F">
      <w:pPr>
        <w:pStyle w:val="Liste-1"/>
        <w:numPr>
          <w:ilvl w:val="1"/>
          <w:numId w:val="31"/>
        </w:numPr>
      </w:pPr>
      <w:r>
        <w:t xml:space="preserve">N Bäume pro Plot </w:t>
      </w:r>
      <w:r>
        <w:sym w:font="Wingdings" w:char="F0F3"/>
      </w:r>
      <w:r>
        <w:t xml:space="preserve"> </w:t>
      </w:r>
      <w:proofErr w:type="spellStart"/>
      <w:r>
        <w:t>Plotfläche</w:t>
      </w:r>
      <w:proofErr w:type="spellEnd"/>
      <w:r>
        <w:t xml:space="preserve"> in Hektar</w:t>
      </w:r>
    </w:p>
    <w:p w14:paraId="75B9E565" w14:textId="77777777" w:rsidR="004E200E" w:rsidRPr="00687919" w:rsidRDefault="004E200E" w:rsidP="001D0D18">
      <w:pPr>
        <w:pStyle w:val="berschrift3"/>
        <w:numPr>
          <w:ilvl w:val="2"/>
          <w:numId w:val="9"/>
        </w:numPr>
        <w:rPr>
          <w:rFonts w:asciiTheme="minorHAnsi" w:hAnsiTheme="minorHAnsi" w:cstheme="minorHAnsi"/>
        </w:rPr>
      </w:pPr>
      <w:bookmarkStart w:id="11" w:name="_Toc137711754"/>
      <w:r w:rsidRPr="00687919">
        <w:rPr>
          <w:rFonts w:asciiTheme="minorHAnsi" w:hAnsiTheme="minorHAnsi" w:cstheme="minorHAnsi"/>
          <w:shd w:val="clear" w:color="auto" w:fill="FFFFFF"/>
        </w:rPr>
        <w:lastRenderedPageBreak/>
        <w:t>Berechnung unterirdische Biomasse</w:t>
      </w:r>
      <w:bookmarkEnd w:id="11"/>
      <w:r w:rsidRPr="00687919">
        <w:rPr>
          <w:rFonts w:asciiTheme="minorHAnsi" w:hAnsiTheme="minorHAnsi" w:cstheme="minorHAnsi"/>
          <w:shd w:val="clear" w:color="auto" w:fill="FFFFFF"/>
        </w:rPr>
        <w:t> </w:t>
      </w:r>
    </w:p>
    <w:p w14:paraId="77A24DBF" w14:textId="77777777" w:rsidR="004E200E" w:rsidRPr="00687919" w:rsidRDefault="004E200E" w:rsidP="004E200E">
      <w:pPr>
        <w:rPr>
          <w:rFonts w:asciiTheme="minorHAnsi" w:hAnsiTheme="minorHAnsi" w:cstheme="minorHAnsi"/>
          <w:sz w:val="24"/>
          <w:szCs w:val="24"/>
        </w:rPr>
      </w:pPr>
      <w:r w:rsidRPr="00687919">
        <w:rPr>
          <w:rFonts w:asciiTheme="minorHAnsi" w:hAnsiTheme="minorHAnsi" w:cstheme="minorHAnsi"/>
          <w:shd w:val="clear" w:color="auto" w:fill="FFFFFF"/>
        </w:rPr>
        <w:t xml:space="preserve">Die unterirdische Biomasse wird mittels der in THGI und BWI hinterlegten Funktion berechnet. </w:t>
      </w:r>
    </w:p>
    <w:p w14:paraId="288D948B" w14:textId="77777777" w:rsidR="004E200E" w:rsidRPr="00687919" w:rsidRDefault="004E200E" w:rsidP="004E200E">
      <w:pPr>
        <w:rPr>
          <w:rFonts w:asciiTheme="minorHAnsi" w:hAnsiTheme="minorHAnsi" w:cstheme="minorHAnsi"/>
          <w:sz w:val="24"/>
          <w:szCs w:val="24"/>
        </w:rPr>
      </w:pPr>
      <w:r w:rsidRPr="00687919">
        <w:rPr>
          <w:rFonts w:asciiTheme="minorHAnsi" w:hAnsiTheme="minorHAnsi" w:cstheme="minorHAnsi"/>
          <w:sz w:val="24"/>
          <w:szCs w:val="24"/>
        </w:rPr>
        <w:t>Zu b</w:t>
      </w:r>
      <w:r w:rsidRPr="00687919">
        <w:rPr>
          <w:rFonts w:asciiTheme="minorHAnsi" w:hAnsiTheme="minorHAnsi" w:cstheme="minorHAnsi"/>
          <w:shd w:val="clear" w:color="auto" w:fill="FFFFFF"/>
        </w:rPr>
        <w:t xml:space="preserve">edenken bleibt hierbei, dass moorspezifisches Wachstumsverhalten durch Staunässe &amp; Veränderungen des Wasserspiegels auftreten können, welche in der TGHI &amp; BWI Methodik nicht berücksichtigt werden. </w:t>
      </w:r>
    </w:p>
    <w:p w14:paraId="5A887196" w14:textId="77777777" w:rsidR="004E200E" w:rsidRPr="00687919" w:rsidRDefault="004E200E" w:rsidP="004E200E">
      <w:pPr>
        <w:rPr>
          <w:rFonts w:asciiTheme="minorHAnsi" w:hAnsiTheme="minorHAnsi" w:cstheme="minorHAnsi"/>
          <w:sz w:val="24"/>
          <w:szCs w:val="24"/>
        </w:rPr>
      </w:pPr>
      <w:r w:rsidRPr="00687919">
        <w:rPr>
          <w:rFonts w:asciiTheme="minorHAnsi" w:hAnsiTheme="minorHAnsi" w:cstheme="minorHAnsi"/>
          <w:shd w:val="clear" w:color="auto" w:fill="FFFFFF"/>
        </w:rPr>
        <w:t xml:space="preserve">Hierzu wird seitens des </w:t>
      </w:r>
      <w:proofErr w:type="spellStart"/>
      <w:r w:rsidRPr="00687919">
        <w:rPr>
          <w:rFonts w:asciiTheme="minorHAnsi" w:hAnsiTheme="minorHAnsi" w:cstheme="minorHAnsi"/>
          <w:shd w:val="clear" w:color="auto" w:fill="FFFFFF"/>
        </w:rPr>
        <w:t>MoMoK</w:t>
      </w:r>
      <w:proofErr w:type="spellEnd"/>
      <w:r w:rsidRPr="00687919">
        <w:rPr>
          <w:rFonts w:asciiTheme="minorHAnsi" w:hAnsiTheme="minorHAnsi" w:cstheme="minorHAnsi"/>
          <w:shd w:val="clear" w:color="auto" w:fill="FFFFFF"/>
        </w:rPr>
        <w:t xml:space="preserve"> Teams bereits recherchiert. </w:t>
      </w:r>
    </w:p>
    <w:p w14:paraId="3F7A6035" w14:textId="77777777" w:rsidR="004E200E" w:rsidRPr="00687919" w:rsidRDefault="004E200E" w:rsidP="001D0D18">
      <w:pPr>
        <w:pStyle w:val="berschrift3"/>
        <w:numPr>
          <w:ilvl w:val="2"/>
          <w:numId w:val="9"/>
        </w:numPr>
        <w:rPr>
          <w:rFonts w:asciiTheme="minorHAnsi" w:hAnsiTheme="minorHAnsi" w:cstheme="minorHAnsi"/>
        </w:rPr>
      </w:pPr>
      <w:bookmarkStart w:id="12" w:name="_Toc137711755"/>
      <w:r w:rsidRPr="00687919">
        <w:rPr>
          <w:rFonts w:asciiTheme="minorHAnsi" w:hAnsiTheme="minorHAnsi" w:cstheme="minorHAnsi"/>
        </w:rPr>
        <w:t>Berechnung Kohlenstoff</w:t>
      </w:r>
      <w:bookmarkEnd w:id="12"/>
    </w:p>
    <w:p w14:paraId="54C9AD7D" w14:textId="77777777" w:rsidR="004E200E" w:rsidRPr="00687919" w:rsidRDefault="004E200E" w:rsidP="004E200E">
      <w:pPr>
        <w:rPr>
          <w:rFonts w:asciiTheme="minorHAnsi" w:hAnsiTheme="minorHAnsi" w:cstheme="minorHAnsi"/>
        </w:rPr>
      </w:pPr>
      <w:r w:rsidRPr="00687919">
        <w:rPr>
          <w:rFonts w:asciiTheme="minorHAnsi" w:hAnsiTheme="minorHAnsi" w:cstheme="minorHAnsi"/>
        </w:rPr>
        <w:t>Die Berechnung des Kohlenstoffvorrates erfolgt dann durch die Multiplikation der Biomasse mit dem Kohlenstoffgehalt, welcher gemäß IPCC Methodik zur Treibhausgasinventur 2006 0.5 beträgt und so auch in der TGHI und BWI verwendet wird.</w:t>
      </w:r>
    </w:p>
    <w:p w14:paraId="58118540" w14:textId="77777777" w:rsidR="004E200E" w:rsidRPr="00442C14" w:rsidRDefault="004E200E" w:rsidP="001D0D18">
      <w:pPr>
        <w:pStyle w:val="berschrift3"/>
        <w:numPr>
          <w:ilvl w:val="2"/>
          <w:numId w:val="9"/>
        </w:numPr>
        <w:rPr>
          <w:rFonts w:asciiTheme="minorHAnsi" w:hAnsiTheme="minorHAnsi" w:cstheme="minorHAnsi"/>
        </w:rPr>
      </w:pPr>
      <w:bookmarkStart w:id="13" w:name="_Toc137711756"/>
      <w:r w:rsidRPr="00442C14">
        <w:rPr>
          <w:rFonts w:asciiTheme="minorHAnsi" w:hAnsiTheme="minorHAnsi" w:cstheme="minorHAnsi"/>
          <w:shd w:val="clear" w:color="auto" w:fill="FFFD59"/>
        </w:rPr>
        <w:t>Berechnung Stickstoffvorrat / andere Elemente</w:t>
      </w:r>
      <w:bookmarkEnd w:id="13"/>
    </w:p>
    <w:p w14:paraId="3331D738" w14:textId="77777777" w:rsidR="004E200E" w:rsidRPr="00687919" w:rsidRDefault="004E200E" w:rsidP="004E200E">
      <w:pPr>
        <w:rPr>
          <w:rFonts w:asciiTheme="minorHAnsi" w:hAnsiTheme="minorHAnsi" w:cstheme="minorHAnsi"/>
        </w:rPr>
      </w:pPr>
      <w:r w:rsidRPr="00687919">
        <w:rPr>
          <w:rFonts w:asciiTheme="minorHAnsi" w:hAnsiTheme="minorHAnsi" w:cstheme="minorHAnsi"/>
        </w:rPr>
        <w:t xml:space="preserve">Hierfür stehen verschiedene Literaturquellen zur Auswahl. Generell kann man festhalten, dass alle Quellen mindestens in die Kompartimente Derbholz, Derbholzrinde, Nichtderbholz, Blätter unterscheiden. </w:t>
      </w:r>
    </w:p>
    <w:p w14:paraId="1A1A598F" w14:textId="3958DD03" w:rsidR="004E200E" w:rsidRPr="00687919" w:rsidRDefault="004E200E" w:rsidP="004E200E">
      <w:pPr>
        <w:rPr>
          <w:rFonts w:asciiTheme="minorHAnsi" w:hAnsiTheme="minorHAnsi" w:cstheme="minorHAnsi"/>
        </w:rPr>
      </w:pPr>
      <w:r w:rsidRPr="00687919">
        <w:rPr>
          <w:rFonts w:asciiTheme="minorHAnsi" w:hAnsiTheme="minorHAnsi" w:cstheme="minorHAnsi"/>
        </w:rPr>
        <w:t xml:space="preserve">Im Bereich Nährstoffkonzentrationen </w:t>
      </w:r>
      <w:r w:rsidR="00E32E23">
        <w:rPr>
          <w:rFonts w:asciiTheme="minorHAnsi" w:hAnsiTheme="minorHAnsi" w:cstheme="minorHAnsi"/>
        </w:rPr>
        <w:t xml:space="preserve">standen verschiedene </w:t>
      </w:r>
      <w:r w:rsidRPr="00687919">
        <w:rPr>
          <w:rFonts w:asciiTheme="minorHAnsi" w:hAnsiTheme="minorHAnsi" w:cstheme="minorHAnsi"/>
        </w:rPr>
        <w:t xml:space="preserve">Quellen als </w:t>
      </w:r>
      <w:proofErr w:type="spellStart"/>
      <w:r w:rsidRPr="00687919">
        <w:rPr>
          <w:rFonts w:asciiTheme="minorHAnsi" w:hAnsiTheme="minorHAnsi" w:cstheme="minorHAnsi"/>
        </w:rPr>
        <w:t>Mögliche</w:t>
      </w:r>
      <w:proofErr w:type="spellEnd"/>
      <w:r w:rsidRPr="00687919">
        <w:rPr>
          <w:rFonts w:asciiTheme="minorHAnsi" w:hAnsiTheme="minorHAnsi" w:cstheme="minorHAnsi"/>
        </w:rPr>
        <w:t xml:space="preserve"> Brechungsgrundlage zur Auswahl</w:t>
      </w:r>
      <w:r w:rsidR="00E32E23">
        <w:rPr>
          <w:rFonts w:asciiTheme="minorHAnsi" w:hAnsiTheme="minorHAnsi" w:cstheme="minorHAnsi"/>
        </w:rPr>
        <w:t xml:space="preserve">: </w:t>
      </w:r>
    </w:p>
    <w:p w14:paraId="7FEA9119" w14:textId="77777777" w:rsidR="004E200E" w:rsidRPr="00687919" w:rsidRDefault="004E200E" w:rsidP="00E32E23">
      <w:pPr>
        <w:pStyle w:val="Liste-1"/>
      </w:pPr>
      <w:proofErr w:type="spellStart"/>
      <w:r w:rsidRPr="00687919">
        <w:rPr>
          <w:lang w:val="en-GB"/>
        </w:rPr>
        <w:t>Paré</w:t>
      </w:r>
      <w:proofErr w:type="spellEnd"/>
      <w:r w:rsidRPr="00687919">
        <w:rPr>
          <w:lang w:val="en-GB"/>
        </w:rPr>
        <w:t xml:space="preserve"> David, </w:t>
      </w:r>
      <w:proofErr w:type="spellStart"/>
      <w:r w:rsidRPr="00687919">
        <w:rPr>
          <w:lang w:val="en-GB"/>
        </w:rPr>
        <w:t>BernierPierre</w:t>
      </w:r>
      <w:proofErr w:type="spellEnd"/>
      <w:r w:rsidRPr="00687919">
        <w:rPr>
          <w:lang w:val="en-GB"/>
        </w:rPr>
        <w:t xml:space="preserve">, </w:t>
      </w:r>
      <w:proofErr w:type="spellStart"/>
      <w:r w:rsidRPr="00687919">
        <w:rPr>
          <w:lang w:val="en-GB"/>
        </w:rPr>
        <w:t>LafleurBenoit</w:t>
      </w:r>
      <w:proofErr w:type="spellEnd"/>
      <w:r w:rsidRPr="00687919">
        <w:rPr>
          <w:lang w:val="en-GB"/>
        </w:rPr>
        <w:t xml:space="preserve">, </w:t>
      </w:r>
      <w:proofErr w:type="spellStart"/>
      <w:r w:rsidRPr="00687919">
        <w:rPr>
          <w:lang w:val="en-GB"/>
        </w:rPr>
        <w:t>TitusBrian</w:t>
      </w:r>
      <w:proofErr w:type="spellEnd"/>
      <w:r w:rsidRPr="00687919">
        <w:rPr>
          <w:lang w:val="en-GB"/>
        </w:rPr>
        <w:t xml:space="preserve"> D., </w:t>
      </w:r>
      <w:proofErr w:type="spellStart"/>
      <w:r w:rsidRPr="00687919">
        <w:rPr>
          <w:lang w:val="en-GB"/>
        </w:rPr>
        <w:t>ThiffaultEvelyne</w:t>
      </w:r>
      <w:proofErr w:type="spellEnd"/>
      <w:r w:rsidRPr="00687919">
        <w:rPr>
          <w:lang w:val="en-GB"/>
        </w:rPr>
        <w:t xml:space="preserve">, </w:t>
      </w:r>
      <w:proofErr w:type="spellStart"/>
      <w:r w:rsidRPr="00687919">
        <w:rPr>
          <w:lang w:val="en-GB"/>
        </w:rPr>
        <w:t>MaynardDoug</w:t>
      </w:r>
      <w:proofErr w:type="spellEnd"/>
      <w:r w:rsidRPr="00687919">
        <w:rPr>
          <w:lang w:val="en-GB"/>
        </w:rPr>
        <w:t xml:space="preserve"> G., and </w:t>
      </w:r>
      <w:proofErr w:type="spellStart"/>
      <w:r w:rsidRPr="00687919">
        <w:rPr>
          <w:lang w:val="en-GB"/>
        </w:rPr>
        <w:t>GuoXiaojing</w:t>
      </w:r>
      <w:proofErr w:type="spellEnd"/>
      <w:r w:rsidRPr="00687919">
        <w:rPr>
          <w:lang w:val="en-GB"/>
        </w:rPr>
        <w:t xml:space="preserve">. Estimating stand-scale biomass, nutrient contents, and associated uncertainties for tree species of Canadian forests. </w:t>
      </w:r>
      <w:r w:rsidRPr="00687919">
        <w:rPr>
          <w:i/>
          <w:iCs/>
        </w:rPr>
        <w:t xml:space="preserve">Canadian Journal </w:t>
      </w:r>
      <w:proofErr w:type="spellStart"/>
      <w:r w:rsidRPr="00687919">
        <w:rPr>
          <w:i/>
          <w:iCs/>
        </w:rPr>
        <w:t>of</w:t>
      </w:r>
      <w:proofErr w:type="spellEnd"/>
      <w:r w:rsidRPr="00687919">
        <w:rPr>
          <w:i/>
          <w:iCs/>
        </w:rPr>
        <w:t xml:space="preserve"> Forest Research</w:t>
      </w:r>
      <w:r w:rsidRPr="00687919">
        <w:t xml:space="preserve">.2012. </w:t>
      </w:r>
      <w:r w:rsidRPr="00687919">
        <w:rPr>
          <w:b/>
          <w:bCs/>
        </w:rPr>
        <w:t>43</w:t>
      </w:r>
      <w:r w:rsidRPr="00687919">
        <w:t xml:space="preserve">(7): 599-608. </w:t>
      </w:r>
      <w:hyperlink r:id="rId24" w:history="1">
        <w:r w:rsidRPr="00687919">
          <w:rPr>
            <w:rStyle w:val="Hyperlink"/>
            <w:rFonts w:asciiTheme="minorHAnsi" w:hAnsiTheme="minorHAnsi" w:cstheme="minorHAnsi"/>
            <w:color w:val="000080"/>
            <w:sz w:val="24"/>
            <w:szCs w:val="24"/>
          </w:rPr>
          <w:t>https://doi.org/10.1139/cjfr-2012-0454</w:t>
        </w:r>
      </w:hyperlink>
      <w:r w:rsidRPr="00687919">
        <w:t xml:space="preserve"> </w:t>
      </w:r>
    </w:p>
    <w:p w14:paraId="349842AF" w14:textId="77777777" w:rsidR="004E200E" w:rsidRPr="00687919" w:rsidRDefault="004E200E" w:rsidP="00E32E23">
      <w:pPr>
        <w:pStyle w:val="Liste-1"/>
        <w:rPr>
          <w:highlight w:val="yellow"/>
        </w:rPr>
      </w:pPr>
      <w:commentRangeStart w:id="14"/>
      <w:r w:rsidRPr="00687919">
        <w:rPr>
          <w:highlight w:val="yellow"/>
        </w:rPr>
        <w:t xml:space="preserve">Rumpf, Sabine &amp; Schönfelder, Egbert &amp; Ahrends, Bernd. (2018). Biometrische Schätzmodelle für Nährelementgehalte in Baumkompartimenten. </w:t>
      </w:r>
      <w:commentRangeEnd w:id="14"/>
      <w:r w:rsidRPr="00687919">
        <w:rPr>
          <w:rStyle w:val="Kommentarzeichen"/>
          <w:rFonts w:asciiTheme="minorHAnsi" w:hAnsiTheme="minorHAnsi" w:cstheme="minorHAnsi"/>
        </w:rPr>
        <w:commentReference w:id="14"/>
      </w:r>
    </w:p>
    <w:p w14:paraId="50D085C9" w14:textId="77777777" w:rsidR="004E200E" w:rsidRPr="00687919" w:rsidRDefault="004E200E" w:rsidP="00E32E23">
      <w:pPr>
        <w:pStyle w:val="Liste-1"/>
      </w:pPr>
      <w:r w:rsidRPr="00687919">
        <w:t xml:space="preserve">Jacobsen, Carsten &amp; Rademacher, Peter &amp; </w:t>
      </w:r>
      <w:proofErr w:type="spellStart"/>
      <w:r w:rsidRPr="00687919">
        <w:t>Meesenburg</w:t>
      </w:r>
      <w:proofErr w:type="spellEnd"/>
      <w:r w:rsidRPr="00687919">
        <w:t xml:space="preserve">, Henning &amp; </w:t>
      </w:r>
      <w:proofErr w:type="spellStart"/>
      <w:r w:rsidRPr="00687919">
        <w:t>Meiwes</w:t>
      </w:r>
      <w:proofErr w:type="spellEnd"/>
      <w:r w:rsidRPr="00687919">
        <w:t xml:space="preserve">, </w:t>
      </w:r>
      <w:proofErr w:type="gramStart"/>
      <w:r w:rsidRPr="00687919">
        <w:t>K..</w:t>
      </w:r>
      <w:proofErr w:type="gramEnd"/>
      <w:r w:rsidRPr="00687919">
        <w:t xml:space="preserve"> (2003). Gehalte chemischer Elemente in Baumkompartimenten: Literaturstudie und Datensammlung. </w:t>
      </w:r>
    </w:p>
    <w:p w14:paraId="5210E653" w14:textId="77777777" w:rsidR="004E200E" w:rsidRPr="00687919" w:rsidRDefault="004E200E" w:rsidP="00E32E23">
      <w:pPr>
        <w:pStyle w:val="Liste-1"/>
      </w:pPr>
      <w:r w:rsidRPr="00687919">
        <w:t>Elementgehalte in Baumkompartimenten, Radem</w:t>
      </w:r>
      <w:r w:rsidRPr="00E32E23">
        <w:t xml:space="preserve">acher, </w:t>
      </w:r>
      <w:proofErr w:type="spellStart"/>
      <w:r w:rsidRPr="00E32E23">
        <w:t>Meewes</w:t>
      </w:r>
      <w:proofErr w:type="spellEnd"/>
      <w:r w:rsidRPr="00E32E23">
        <w:t xml:space="preserve">, </w:t>
      </w:r>
      <w:proofErr w:type="spellStart"/>
      <w:r w:rsidRPr="00E32E23">
        <w:t>SChoenfeld</w:t>
      </w:r>
      <w:proofErr w:type="spellEnd"/>
      <w:r w:rsidRPr="00E32E23">
        <w:t xml:space="preserve">, </w:t>
      </w:r>
      <w:hyperlink r:id="rId25" w:history="1">
        <w:r w:rsidRPr="00E32E23">
          <w:t>https://www.fnr.de/ftp/pdf/berichte/22015407.pdf</w:t>
        </w:r>
      </w:hyperlink>
      <w:r w:rsidRPr="00E32E23">
        <w:t>, S. 125</w:t>
      </w:r>
    </w:p>
    <w:p w14:paraId="4E8C6CE6" w14:textId="5FA30F16" w:rsidR="004E200E" w:rsidRPr="00E32E23" w:rsidRDefault="004E200E" w:rsidP="00E32E23">
      <w:pPr>
        <w:pStyle w:val="Liste-1"/>
      </w:pPr>
      <w:r w:rsidRPr="00687919">
        <w:t xml:space="preserve">Weis, Wendelin &amp; </w:t>
      </w:r>
      <w:proofErr w:type="spellStart"/>
      <w:r w:rsidRPr="00687919">
        <w:t>Göttlein</w:t>
      </w:r>
      <w:proofErr w:type="spellEnd"/>
      <w:r w:rsidRPr="00687919">
        <w:t xml:space="preserve">, </w:t>
      </w:r>
      <w:proofErr w:type="gramStart"/>
      <w:r w:rsidRPr="00687919">
        <w:t>A..</w:t>
      </w:r>
      <w:proofErr w:type="gramEnd"/>
      <w:r w:rsidRPr="00687919">
        <w:t xml:space="preserve"> (2012). Nährstoffnachhaltige Biomassenutzung/</w:t>
      </w:r>
      <w:proofErr w:type="spellStart"/>
      <w:r w:rsidRPr="00687919">
        <w:t>Nutrient-sustainable</w:t>
      </w:r>
      <w:proofErr w:type="spellEnd"/>
      <w:r w:rsidRPr="00687919">
        <w:t xml:space="preserve"> </w:t>
      </w:r>
      <w:proofErr w:type="spellStart"/>
      <w:r w:rsidRPr="00687919">
        <w:t>biomass</w:t>
      </w:r>
      <w:proofErr w:type="spellEnd"/>
      <w:r w:rsidRPr="00687919">
        <w:t xml:space="preserve"> </w:t>
      </w:r>
      <w:proofErr w:type="spellStart"/>
      <w:r w:rsidRPr="00687919">
        <w:t>utilization</w:t>
      </w:r>
      <w:proofErr w:type="spellEnd"/>
      <w:r w:rsidRPr="00687919">
        <w:t xml:space="preserve"> (in German). LWF aktuell. 90. 44-47. </w:t>
      </w:r>
    </w:p>
    <w:p w14:paraId="6CB6D437" w14:textId="7BFACD4D" w:rsidR="004E200E" w:rsidRPr="00E32E23" w:rsidRDefault="004E200E" w:rsidP="00E32E23">
      <w:pPr>
        <w:pStyle w:val="Liste-1"/>
      </w:pPr>
      <w:r w:rsidRPr="00E32E23">
        <w:t>Im Thünen Report von 2014</w:t>
      </w:r>
      <w:r w:rsidR="00E32E23">
        <w:t>:</w:t>
      </w:r>
      <w:r w:rsidR="00E32E23" w:rsidRPr="00E32E23">
        <w:t xml:space="preserve"> </w:t>
      </w:r>
      <w:hyperlink r:id="rId26" w:history="1">
        <w:r w:rsidRPr="00E32E23">
          <w:rPr>
            <w:rStyle w:val="Hyperlink"/>
            <w:color w:val="auto"/>
            <w:u w:val="none"/>
          </w:rPr>
          <w:t>ThnenReport16_C_und_Nhrelementspeicherung_Wald_RP_2014.pdf</w:t>
        </w:r>
      </w:hyperlink>
      <w:r w:rsidRPr="00E32E23">
        <w:t xml:space="preserve"> </w:t>
      </w:r>
    </w:p>
    <w:p w14:paraId="0122145D" w14:textId="0D86B29C" w:rsidR="004E200E" w:rsidRPr="00E32E23" w:rsidRDefault="004E200E" w:rsidP="00E32E23">
      <w:pPr>
        <w:pStyle w:val="Liste-1"/>
      </w:pPr>
      <w:r w:rsidRPr="00687919">
        <w:t xml:space="preserve">Jacobsen, BLOCK, J. UND SCHUCK, J. (2002): Nährstoffentzüge durch die Holzernte und ihr Einfluss auf den </w:t>
      </w:r>
      <w:r w:rsidRPr="00E32E23">
        <w:t>Nährstoffhaushalt armer Standorte in Rheinland-Pfalz. Forstliche Forschungsberichte München, 186, S. 150–151</w:t>
      </w:r>
    </w:p>
    <w:p w14:paraId="1373E790" w14:textId="77777777" w:rsidR="004E200E" w:rsidRPr="00E32E23" w:rsidRDefault="004E200E" w:rsidP="00E32E23">
      <w:pPr>
        <w:pStyle w:val="Liste-1"/>
      </w:pPr>
      <w:r w:rsidRPr="00E32E23">
        <w:t xml:space="preserve">Herleitung von Trockenmassen und Nährstoffspeicherungen in Buchenbeständen, Landesforstanstalt </w:t>
      </w:r>
      <w:proofErr w:type="gramStart"/>
      <w:r w:rsidRPr="00E32E23">
        <w:t>Eberswalde ,</w:t>
      </w:r>
      <w:proofErr w:type="gramEnd"/>
      <w:r w:rsidRPr="00E32E23">
        <w:t xml:space="preserve"> 2008 </w:t>
      </w:r>
    </w:p>
    <w:p w14:paraId="40A84A8B" w14:textId="77777777" w:rsidR="004E200E" w:rsidRPr="00E32E23" w:rsidRDefault="007833DD" w:rsidP="00E32E23">
      <w:pPr>
        <w:pStyle w:val="Liste-1"/>
      </w:pPr>
      <w:hyperlink r:id="rId27" w:history="1">
        <w:r w:rsidR="004E200E" w:rsidRPr="00E32E23">
          <w:rPr>
            <w:rStyle w:val="Hyperlink"/>
            <w:color w:val="auto"/>
            <w:u w:val="none"/>
          </w:rPr>
          <w:t xml:space="preserve">Pretzsch, H.; Block, J.; Böttcher, M.; </w:t>
        </w:r>
        <w:proofErr w:type="spellStart"/>
        <w:r w:rsidR="004E200E" w:rsidRPr="00E32E23">
          <w:rPr>
            <w:rStyle w:val="Hyperlink"/>
            <w:color w:val="auto"/>
            <w:u w:val="none"/>
          </w:rPr>
          <w:t>Dieler</w:t>
        </w:r>
        <w:proofErr w:type="spellEnd"/>
        <w:r w:rsidR="004E200E" w:rsidRPr="00E32E23">
          <w:rPr>
            <w:rStyle w:val="Hyperlink"/>
            <w:color w:val="auto"/>
            <w:u w:val="none"/>
          </w:rPr>
          <w:t xml:space="preserve">, J.; </w:t>
        </w:r>
        <w:proofErr w:type="spellStart"/>
        <w:r w:rsidR="004E200E" w:rsidRPr="00E32E23">
          <w:rPr>
            <w:rStyle w:val="Hyperlink"/>
            <w:color w:val="auto"/>
            <w:u w:val="none"/>
          </w:rPr>
          <w:t>Gauer</w:t>
        </w:r>
        <w:proofErr w:type="spellEnd"/>
        <w:r w:rsidR="004E200E" w:rsidRPr="00E32E23">
          <w:rPr>
            <w:rStyle w:val="Hyperlink"/>
            <w:color w:val="auto"/>
            <w:u w:val="none"/>
          </w:rPr>
          <w:t xml:space="preserve">, J.; </w:t>
        </w:r>
        <w:proofErr w:type="spellStart"/>
        <w:r w:rsidR="004E200E" w:rsidRPr="00E32E23">
          <w:rPr>
            <w:rStyle w:val="Hyperlink"/>
            <w:color w:val="auto"/>
            <w:u w:val="none"/>
          </w:rPr>
          <w:t>Göttlein</w:t>
        </w:r>
        <w:proofErr w:type="spellEnd"/>
        <w:r w:rsidR="004E200E" w:rsidRPr="00E32E23">
          <w:rPr>
            <w:rStyle w:val="Hyperlink"/>
            <w:color w:val="auto"/>
            <w:u w:val="none"/>
          </w:rPr>
          <w:t xml:space="preserve">, A.; Moshammer, R.; Schuck, J.; Weis, W.; </w:t>
        </w:r>
        <w:proofErr w:type="spellStart"/>
        <w:r w:rsidR="004E200E" w:rsidRPr="00E32E23">
          <w:rPr>
            <w:rStyle w:val="Hyperlink"/>
            <w:color w:val="auto"/>
            <w:u w:val="none"/>
          </w:rPr>
          <w:t>Wunn</w:t>
        </w:r>
        <w:proofErr w:type="spellEnd"/>
        <w:r w:rsidR="004E200E" w:rsidRPr="00E32E23">
          <w:rPr>
            <w:rStyle w:val="Hyperlink"/>
            <w:color w:val="auto"/>
            <w:u w:val="none"/>
          </w:rPr>
          <w:t>, U. (2013): </w:t>
        </w:r>
      </w:hyperlink>
      <w:hyperlink r:id="rId28" w:history="1">
        <w:r w:rsidR="004E200E" w:rsidRPr="00E32E23">
          <w:rPr>
            <w:rStyle w:val="Hyperlink"/>
            <w:color w:val="auto"/>
            <w:u w:val="none"/>
          </w:rPr>
          <w:t>Entscheidungsstützungssystem zum Nährstoffentzug im Rahmen der Holzernte - Nährstoffbilanzen wichtiger Waldstandorte in Bayern und Rheinland-Pfalz.</w:t>
        </w:r>
      </w:hyperlink>
      <w:r w:rsidR="004E200E" w:rsidRPr="00E32E23">
        <w:t> Schlussbericht zum Projekt 25966-33/0, Deutsche Bundesstiftung Umwelt, 204 S. und </w:t>
      </w:r>
      <w:hyperlink r:id="rId29" w:history="1">
        <w:r w:rsidR="004E200E" w:rsidRPr="00E32E23">
          <w:rPr>
            <w:rStyle w:val="Hyperlink"/>
            <w:color w:val="auto"/>
            <w:u w:val="none"/>
          </w:rPr>
          <w:t>Anhang</w:t>
        </w:r>
      </w:hyperlink>
      <w:r w:rsidR="004E200E" w:rsidRPr="00E32E23">
        <w:t xml:space="preserve"> </w:t>
      </w:r>
    </w:p>
    <w:p w14:paraId="134094E9" w14:textId="77777777" w:rsidR="004E200E" w:rsidRPr="00E32E23" w:rsidRDefault="007833DD" w:rsidP="00E32E23">
      <w:pPr>
        <w:pStyle w:val="Liste-1"/>
      </w:pPr>
      <w:hyperlink r:id="rId30" w:history="1">
        <w:r w:rsidR="004E200E" w:rsidRPr="00E32E23">
          <w:rPr>
            <w:rStyle w:val="Hyperlink"/>
            <w:color w:val="auto"/>
            <w:u w:val="none"/>
          </w:rPr>
          <w:t>https://fawf.wald.rlp.de/index.php?eID=dumpFile&amp;t=f&amp;f=19278&amp;token=3666547a435508f1f0990da23976af6c254ee0af</w:t>
        </w:r>
      </w:hyperlink>
      <w:r w:rsidR="004E200E" w:rsidRPr="00E32E23">
        <w:t>, S. 95</w:t>
      </w:r>
    </w:p>
    <w:p w14:paraId="6F4459A5" w14:textId="77777777" w:rsidR="004E200E" w:rsidRPr="00E32E23" w:rsidRDefault="004E200E" w:rsidP="00E32E23">
      <w:pPr>
        <w:pStyle w:val="Liste-1"/>
      </w:pPr>
      <w:r w:rsidRPr="00E32E23">
        <w:t>https://www.iww.uni-freiburg.de/publik/pdf/Morhart%20Sheppard%202013</w:t>
      </w:r>
    </w:p>
    <w:p w14:paraId="5B06CA11" w14:textId="6F1D9A1C" w:rsidR="004E200E" w:rsidRPr="00E32E23" w:rsidRDefault="004E200E" w:rsidP="00E32E23">
      <w:pPr>
        <w:pStyle w:val="Liste-1"/>
      </w:pPr>
      <w:r w:rsidRPr="00E32E23">
        <w:lastRenderedPageBreak/>
        <w:t>https://fawf.wald.rlp.de/index.php?eID=dumpFile&amp;t=f&amp;f=282882&amp;token=c06b8e69d1289db86a33a90e429f74712400886d</w:t>
      </w:r>
    </w:p>
    <w:p w14:paraId="2E82C2C5" w14:textId="77777777" w:rsidR="004E200E" w:rsidRPr="009B4B7A" w:rsidRDefault="004E200E" w:rsidP="009B4B7A">
      <w:pPr>
        <w:pStyle w:val="berschrift4"/>
        <w:numPr>
          <w:ilvl w:val="3"/>
          <w:numId w:val="9"/>
        </w:numPr>
      </w:pPr>
      <w:r w:rsidRPr="009B4B7A">
        <w:t xml:space="preserve">Rumpf et al. 2018 Stickstoffvorrat: Kompartimente &amp; Artengruppen </w:t>
      </w:r>
    </w:p>
    <w:p w14:paraId="6976DC2D" w14:textId="1AC690E4" w:rsidR="004E200E" w:rsidRPr="00687919" w:rsidRDefault="004E200E" w:rsidP="00B61278">
      <w:r w:rsidRPr="00687919">
        <w:t xml:space="preserve">Nach dem Vergleich der Verfügbaren Daten über Nährelemente sowie zugehöriger Möglichkeiten nachträglich zu </w:t>
      </w:r>
      <w:r w:rsidR="0085465A" w:rsidRPr="00687919">
        <w:t>Kompartimentierung</w:t>
      </w:r>
      <w:r w:rsidRPr="00687919">
        <w:t xml:space="preserve">, ergibt Rumpf et al. </w:t>
      </w:r>
      <w:r w:rsidR="00F9738A">
        <w:t>(</w:t>
      </w:r>
      <w:r w:rsidRPr="00687919">
        <w:t>2018</w:t>
      </w:r>
      <w:r w:rsidR="00F9738A">
        <w:t>)</w:t>
      </w:r>
      <w:r w:rsidRPr="00687919">
        <w:t xml:space="preserve"> als die vielversprechendste Datengrundlage, aufgrund (1) der Aktualität der Veröffentlichung, (2) der Anwendbar der Daten für Deutsche Waldökosysteme und Baumarten, (3) der Möglichkeit die Gesamtbiomasse entsprechend der Kompartimente in denen Stickstoff gemessen wurde nachträglich aufzuteilen.</w:t>
      </w:r>
    </w:p>
    <w:p w14:paraId="0FE997AC" w14:textId="48A5634F" w:rsidR="004E200E" w:rsidRPr="00687919" w:rsidRDefault="004E200E" w:rsidP="00EF614E">
      <w:pPr>
        <w:pStyle w:val="berschrift5"/>
      </w:pPr>
      <w:r w:rsidRPr="00687919">
        <w:t>Kompartimente</w:t>
      </w:r>
    </w:p>
    <w:p w14:paraId="0F6C557D" w14:textId="77777777" w:rsidR="004E200E" w:rsidRPr="00687919" w:rsidRDefault="004E200E" w:rsidP="004E200E">
      <w:pPr>
        <w:spacing w:before="100" w:beforeAutospacing="1" w:line="240" w:lineRule="auto"/>
        <w:rPr>
          <w:rFonts w:asciiTheme="minorHAnsi" w:hAnsiTheme="minorHAnsi" w:cstheme="minorHAnsi"/>
          <w:color w:val="000000"/>
          <w:sz w:val="24"/>
          <w:szCs w:val="24"/>
        </w:rPr>
      </w:pPr>
      <w:r w:rsidRPr="00B61278">
        <w:t xml:space="preserve">Rumpf et al. 2018 enthält Stickstoffgehalte für die Kompartimente: Nichtderbholz inkl. Rinde, Derbholz ohne Rinde, Derbholzrinde und Nadelmasse. Dementsprechend fehlen Stickstoffgehalte für Laubbäume und Stock- und Stockrinde, wobei der Stickstoffvorrat von Stock &amp; Stockrinde über die Werte von Derbholz &amp; Derbholzrinde berechnet werden können. Die Stickstoffgehalte in der Blattmasse von Laubbäumen erfordert weitere Literaturrecherche. </w:t>
      </w:r>
    </w:p>
    <w:p w14:paraId="4A185222" w14:textId="387C3EA4" w:rsidR="004E200E" w:rsidRPr="00687919" w:rsidRDefault="004E200E" w:rsidP="00A87E33">
      <w:pPr>
        <w:pStyle w:val="berschrift5"/>
      </w:pPr>
      <w:r w:rsidRPr="00687919">
        <w:t>Artengruppen</w:t>
      </w:r>
    </w:p>
    <w:p w14:paraId="2213C542" w14:textId="77777777" w:rsidR="004E200E" w:rsidRPr="00687919" w:rsidRDefault="004E200E" w:rsidP="002C2898">
      <w:r w:rsidRPr="00687919">
        <w:t xml:space="preserve">Rumpf et al. 2013 deckt folgende Baumarten ab: Eiche, Buche, Ahorn, Esche, Birke, Erle, Kiefer, Douglasie, Fichte. </w:t>
      </w:r>
    </w:p>
    <w:p w14:paraId="6B8345D2" w14:textId="77777777" w:rsidR="004E200E" w:rsidRPr="00687919" w:rsidRDefault="004E200E" w:rsidP="002C2898">
      <w:r w:rsidRPr="00687919">
        <w:t xml:space="preserve">Die Artengruppierung für die Stickstoffberechnung orientiert sich an der Artengruppierung der BWI in Buche, Eiche, anderes Laubholz langer Lebensdauer, anderes Laubholz niedriger Lebensdauer, Fichte, Kiefer. </w:t>
      </w:r>
    </w:p>
    <w:p w14:paraId="261A891E" w14:textId="77777777" w:rsidR="004E200E" w:rsidRPr="00687919" w:rsidRDefault="004E200E" w:rsidP="006245BA">
      <w:pPr>
        <w:pStyle w:val="Liste-1"/>
      </w:pPr>
      <w:r w:rsidRPr="00687919">
        <w:t>Bäume des botanischen Genus „Quercus“ werden der Stickstoff Artengruppe (</w:t>
      </w:r>
      <w:proofErr w:type="spellStart"/>
      <w:r w:rsidRPr="00687919">
        <w:t>N_SP_group</w:t>
      </w:r>
      <w:proofErr w:type="spellEnd"/>
      <w:r w:rsidRPr="00687919">
        <w:t>) Eiche (EI) zugeordnet</w:t>
      </w:r>
    </w:p>
    <w:p w14:paraId="630B193D" w14:textId="77777777" w:rsidR="004E200E" w:rsidRPr="00687919" w:rsidRDefault="004E200E" w:rsidP="006245BA">
      <w:pPr>
        <w:pStyle w:val="Liste-1"/>
      </w:pPr>
      <w:r w:rsidRPr="00687919">
        <w:t>Bäume des botanischen Genus „Fagus“ und Bäume der BWI artengruppe Laubholz hoher Lebenserwartung (</w:t>
      </w:r>
      <w:proofErr w:type="spellStart"/>
      <w:r w:rsidRPr="00687919">
        <w:t>aLh</w:t>
      </w:r>
      <w:proofErr w:type="spellEnd"/>
      <w:r w:rsidRPr="00687919">
        <w:t xml:space="preserve">) (siehe </w:t>
      </w:r>
      <w:proofErr w:type="gramStart"/>
      <w:r w:rsidRPr="00687919">
        <w:t>2.1.3. )</w:t>
      </w:r>
      <w:proofErr w:type="gramEnd"/>
      <w:r w:rsidRPr="00687919">
        <w:t xml:space="preserve"> werden der Stickstoff Artengruppe (</w:t>
      </w:r>
      <w:proofErr w:type="spellStart"/>
      <w:r w:rsidRPr="00687919">
        <w:t>N_SP_group</w:t>
      </w:r>
      <w:proofErr w:type="spellEnd"/>
      <w:r w:rsidRPr="00687919">
        <w:t xml:space="preserve">) Buche (BU) zugeordnet. </w:t>
      </w:r>
    </w:p>
    <w:p w14:paraId="3BD43518" w14:textId="77777777" w:rsidR="004E200E" w:rsidRPr="00687919" w:rsidRDefault="004E200E" w:rsidP="006245BA">
      <w:pPr>
        <w:pStyle w:val="Liste-1"/>
      </w:pPr>
      <w:r w:rsidRPr="00687919">
        <w:t>wobei die Arten welche in der BWI in die BWI Artengruppe anderes Laubholz hoher Lebenserwartung (</w:t>
      </w:r>
      <w:proofErr w:type="spellStart"/>
      <w:r w:rsidRPr="00687919">
        <w:t>aLh</w:t>
      </w:r>
      <w:proofErr w:type="spellEnd"/>
      <w:r w:rsidRPr="00687919">
        <w:t xml:space="preserve">) fallen, jedoch in der Stickstoffdatenbank separat betrachtet werden, aus der Gruppe „herausgenommen“ und gemäß ihres botanischen </w:t>
      </w:r>
      <w:proofErr w:type="spellStart"/>
      <w:r w:rsidRPr="00687919">
        <w:t>Genus</w:t>
      </w:r>
      <w:proofErr w:type="spellEnd"/>
      <w:r w:rsidRPr="00687919">
        <w:t xml:space="preserve"> einer eigenen Stickstoff Artengruppe zugeordnet werden. </w:t>
      </w:r>
    </w:p>
    <w:p w14:paraId="57059DD4" w14:textId="77777777" w:rsidR="004E200E" w:rsidRPr="00687919" w:rsidRDefault="004E200E" w:rsidP="006245BA">
      <w:pPr>
        <w:pStyle w:val="Liste-1"/>
      </w:pPr>
      <w:r w:rsidRPr="00687919">
        <w:t xml:space="preserve">Hierzu zählen: Acer und Fraxinus </w:t>
      </w:r>
    </w:p>
    <w:p w14:paraId="0D84AC21" w14:textId="77777777" w:rsidR="004E200E" w:rsidRPr="00687919" w:rsidRDefault="004E200E" w:rsidP="006245BA">
      <w:pPr>
        <w:pStyle w:val="Liste-1"/>
      </w:pPr>
      <w:r w:rsidRPr="00687919">
        <w:t>Bäume des botanischen Genus „Acer“ werden der Stickstoff Artengruppe (</w:t>
      </w:r>
      <w:proofErr w:type="spellStart"/>
      <w:r w:rsidRPr="00687919">
        <w:t>N_SP_group</w:t>
      </w:r>
      <w:proofErr w:type="spellEnd"/>
      <w:r w:rsidRPr="00687919">
        <w:t>) Ahorn (AH) zugeordnet</w:t>
      </w:r>
    </w:p>
    <w:p w14:paraId="35CC26DC" w14:textId="77777777" w:rsidR="004E200E" w:rsidRPr="00687919" w:rsidRDefault="004E200E" w:rsidP="006245BA">
      <w:pPr>
        <w:pStyle w:val="Liste-1"/>
      </w:pPr>
      <w:r w:rsidRPr="00687919">
        <w:t>Bäume des botanischen Genus „Fraxinus“ werden der Stickstoff Artengruppe (</w:t>
      </w:r>
      <w:proofErr w:type="spellStart"/>
      <w:r w:rsidRPr="00687919">
        <w:t>N_SP_group</w:t>
      </w:r>
      <w:proofErr w:type="spellEnd"/>
      <w:r w:rsidRPr="00687919">
        <w:t>) Esche (ES) zugeordnet</w:t>
      </w:r>
    </w:p>
    <w:p w14:paraId="73FB9A97" w14:textId="77777777" w:rsidR="004E200E" w:rsidRPr="00687919" w:rsidRDefault="004E200E" w:rsidP="006245BA">
      <w:pPr>
        <w:pStyle w:val="Liste-1"/>
      </w:pPr>
      <w:r w:rsidRPr="00687919">
        <w:t>Bäume des botanischen Genus „Betula“ und Bäume der BWI Artengruppe anderes Laubholz niedriger Lebenserwartung (</w:t>
      </w:r>
      <w:proofErr w:type="spellStart"/>
      <w:r w:rsidRPr="00687919">
        <w:t>aLn</w:t>
      </w:r>
      <w:proofErr w:type="spellEnd"/>
      <w:r w:rsidRPr="00687919">
        <w:t>) (siehe 2.1.3.) werden der Stickstoff Artengruppe (</w:t>
      </w:r>
      <w:proofErr w:type="spellStart"/>
      <w:r w:rsidRPr="00687919">
        <w:t>N_SP_group</w:t>
      </w:r>
      <w:proofErr w:type="spellEnd"/>
      <w:r w:rsidRPr="00687919">
        <w:t xml:space="preserve">) Birke (BI) zugeordnet. </w:t>
      </w:r>
    </w:p>
    <w:p w14:paraId="16667670" w14:textId="77777777" w:rsidR="004E200E" w:rsidRPr="00687919" w:rsidRDefault="004E200E" w:rsidP="006245BA">
      <w:pPr>
        <w:pStyle w:val="Liste-1"/>
      </w:pPr>
      <w:r w:rsidRPr="00687919">
        <w:t>wobei die Arten welche in der BWI in die BWI Artengruppe anderes Laubholz niedriger Lebenserwartung (</w:t>
      </w:r>
      <w:proofErr w:type="spellStart"/>
      <w:r w:rsidRPr="00687919">
        <w:t>aLn</w:t>
      </w:r>
      <w:proofErr w:type="spellEnd"/>
      <w:r w:rsidRPr="00687919">
        <w:t xml:space="preserve">) fallen, jedoch in der Stickstoffdatenbank separat betrachtet werden, aus der Gruppe „herausgenommen“ und gemäß ihres botanischen </w:t>
      </w:r>
      <w:proofErr w:type="spellStart"/>
      <w:r w:rsidRPr="00687919">
        <w:t>Genus</w:t>
      </w:r>
      <w:proofErr w:type="spellEnd"/>
      <w:r w:rsidRPr="00687919">
        <w:t xml:space="preserve"> einer eigenen Stickstoff Artengruppe zugeordnet werden. </w:t>
      </w:r>
    </w:p>
    <w:p w14:paraId="73DA6998" w14:textId="77777777" w:rsidR="004E200E" w:rsidRPr="00687919" w:rsidRDefault="004E200E" w:rsidP="006245BA">
      <w:pPr>
        <w:pStyle w:val="Liste-1"/>
      </w:pPr>
      <w:r w:rsidRPr="00687919">
        <w:t>Hierzu zählt: Alnus</w:t>
      </w:r>
    </w:p>
    <w:p w14:paraId="1D11F44A" w14:textId="77777777" w:rsidR="004E200E" w:rsidRPr="00687919" w:rsidRDefault="004E200E" w:rsidP="006245BA">
      <w:pPr>
        <w:pStyle w:val="Liste-1"/>
      </w:pPr>
      <w:r w:rsidRPr="00687919">
        <w:t>Bäume des botanischen Genus „Pinus“ oder „Larix“ werden der Stickstoff Artengruppe (</w:t>
      </w:r>
      <w:proofErr w:type="spellStart"/>
      <w:r w:rsidRPr="00687919">
        <w:t>N_SP_group</w:t>
      </w:r>
      <w:proofErr w:type="spellEnd"/>
      <w:r w:rsidRPr="00687919">
        <w:t>) Kiefer (KI) zugeordnet</w:t>
      </w:r>
    </w:p>
    <w:p w14:paraId="54D58F53" w14:textId="77777777" w:rsidR="004E200E" w:rsidRPr="00687919" w:rsidRDefault="004E200E" w:rsidP="006245BA">
      <w:pPr>
        <w:pStyle w:val="Liste-1"/>
      </w:pPr>
      <w:r w:rsidRPr="00687919">
        <w:lastRenderedPageBreak/>
        <w:t>Bäume des botanischen Genus „</w:t>
      </w:r>
      <w:proofErr w:type="spellStart"/>
      <w:r w:rsidRPr="00687919">
        <w:t>Pseudotzuga</w:t>
      </w:r>
      <w:proofErr w:type="spellEnd"/>
      <w:r w:rsidRPr="00687919">
        <w:t>“ werden der Stickstoff Artengruppe (</w:t>
      </w:r>
      <w:proofErr w:type="spellStart"/>
      <w:r w:rsidRPr="00687919">
        <w:t>N_SP_group</w:t>
      </w:r>
      <w:proofErr w:type="spellEnd"/>
      <w:r w:rsidRPr="00687919">
        <w:t>) Douglasie (DGL) zugeordnet</w:t>
      </w:r>
    </w:p>
    <w:p w14:paraId="2F8C1F00" w14:textId="15FD38B1" w:rsidR="004E200E" w:rsidRPr="00A87E33" w:rsidRDefault="004E200E" w:rsidP="006245BA">
      <w:pPr>
        <w:pStyle w:val="Liste-1"/>
      </w:pPr>
      <w:r w:rsidRPr="00687919">
        <w:t xml:space="preserve">Bäume des botanischen Genus „Picea“ und alle anderen Nadelbaumarten die nicht </w:t>
      </w:r>
      <w:proofErr w:type="gramStart"/>
      <w:r w:rsidRPr="00687919">
        <w:t>den botanischen Genus</w:t>
      </w:r>
      <w:proofErr w:type="gramEnd"/>
      <w:r w:rsidRPr="00687919">
        <w:t xml:space="preserve"> „Pinus“, „Larix“, „</w:t>
      </w:r>
      <w:proofErr w:type="spellStart"/>
      <w:r w:rsidRPr="00687919">
        <w:t>Pseudotzuga</w:t>
      </w:r>
      <w:proofErr w:type="spellEnd"/>
      <w:r w:rsidRPr="00687919">
        <w:t>“ haben, werden der Stickstoff Artengruppe (</w:t>
      </w:r>
      <w:proofErr w:type="spellStart"/>
      <w:r w:rsidRPr="00687919">
        <w:t>N_SP_group</w:t>
      </w:r>
      <w:proofErr w:type="spellEnd"/>
      <w:r w:rsidRPr="00687919">
        <w:t>) Fichte (FI) zugeordnet</w:t>
      </w:r>
    </w:p>
    <w:p w14:paraId="2D8E1C9E" w14:textId="77777777" w:rsidR="004E200E" w:rsidRPr="00E33A6F" w:rsidRDefault="004E200E" w:rsidP="004E200E">
      <w:pPr>
        <w:pStyle w:val="berschrift4"/>
        <w:numPr>
          <w:ilvl w:val="3"/>
          <w:numId w:val="1"/>
        </w:numPr>
        <w:rPr>
          <w:rFonts w:asciiTheme="minorHAnsi" w:hAnsiTheme="minorHAnsi" w:cstheme="minorHAnsi"/>
        </w:rPr>
      </w:pPr>
      <w:r w:rsidRPr="00E33A6F">
        <w:rPr>
          <w:rFonts w:asciiTheme="minorHAnsi" w:hAnsiTheme="minorHAnsi" w:cstheme="minorHAnsi"/>
        </w:rPr>
        <w:t xml:space="preserve">Fehlende Stickstoffgehalte </w:t>
      </w:r>
    </w:p>
    <w:p w14:paraId="3FEC962A" w14:textId="37345C85" w:rsidR="004E200E" w:rsidRDefault="004E200E" w:rsidP="0025622B">
      <w:r w:rsidRPr="00E658DA">
        <w:t xml:space="preserve">Da für die unterirdische Biomasse sowie für die Blattmasse von Laubbäumen keine Stickstoffgehalte in Rumpf et al. 2018 gelistet werden, müssen hierfür zusätzliche Quellen </w:t>
      </w:r>
      <w:r w:rsidR="00353321" w:rsidRPr="00E658DA">
        <w:t>herangezogen</w:t>
      </w:r>
      <w:r w:rsidRPr="00E658DA">
        <w:t xml:space="preserve"> werden.  </w:t>
      </w:r>
    </w:p>
    <w:p w14:paraId="7249AF02" w14:textId="77777777" w:rsidR="004E200E" w:rsidRPr="00E33A6F" w:rsidRDefault="004E200E" w:rsidP="004E200E">
      <w:pPr>
        <w:pStyle w:val="berschrift5"/>
        <w:numPr>
          <w:ilvl w:val="4"/>
          <w:numId w:val="1"/>
        </w:numPr>
        <w:rPr>
          <w:rFonts w:asciiTheme="minorHAnsi" w:hAnsiTheme="minorHAnsi" w:cstheme="minorHAnsi"/>
        </w:rPr>
      </w:pPr>
      <w:r w:rsidRPr="00E33A6F">
        <w:rPr>
          <w:rFonts w:asciiTheme="minorHAnsi" w:hAnsiTheme="minorHAnsi" w:cstheme="minorHAnsi"/>
        </w:rPr>
        <w:t>Fehlende Stickstoffgehalte Blattmasse an Laubbäumen</w:t>
      </w:r>
    </w:p>
    <w:p w14:paraId="5E89E23A" w14:textId="7AE117C8" w:rsidR="0062619D" w:rsidRDefault="0062619D" w:rsidP="004E200E">
      <w:pPr>
        <w:spacing w:before="100" w:beforeAutospacing="1" w:line="240" w:lineRule="auto"/>
        <w:rPr>
          <w:rFonts w:asciiTheme="minorHAnsi" w:hAnsiTheme="minorHAnsi" w:cstheme="minorHAnsi"/>
        </w:rPr>
      </w:pPr>
      <w:r>
        <w:rPr>
          <w:rFonts w:asciiTheme="minorHAnsi" w:hAnsiTheme="minorHAnsi" w:cstheme="minorHAnsi"/>
        </w:rPr>
        <w:t xml:space="preserve">Hierfür wurden die Ergebnisse der Stickstoffgehalte der Blatt- und Nadelanalysen </w:t>
      </w:r>
      <w:r w:rsidR="001806CD">
        <w:rPr>
          <w:rFonts w:asciiTheme="minorHAnsi" w:hAnsiTheme="minorHAnsi" w:cstheme="minorHAnsi"/>
        </w:rPr>
        <w:t xml:space="preserve">über alle BZE </w:t>
      </w:r>
      <w:r>
        <w:rPr>
          <w:rFonts w:asciiTheme="minorHAnsi" w:hAnsiTheme="minorHAnsi" w:cstheme="minorHAnsi"/>
        </w:rPr>
        <w:t>Probepunkte</w:t>
      </w:r>
      <w:r w:rsidR="001806CD">
        <w:rPr>
          <w:rFonts w:asciiTheme="minorHAnsi" w:hAnsiTheme="minorHAnsi" w:cstheme="minorHAnsi"/>
        </w:rPr>
        <w:t xml:space="preserve"> für die Baumartengattungen Betula, Alnus, Pinus und Picea </w:t>
      </w:r>
      <w:r>
        <w:rPr>
          <w:rFonts w:asciiTheme="minorHAnsi" w:hAnsiTheme="minorHAnsi" w:cstheme="minorHAnsi"/>
        </w:rPr>
        <w:t xml:space="preserve">arithmetisch gemittelt. Die Daten wurden von Marvin </w:t>
      </w:r>
      <w:r w:rsidR="00EE67C0">
        <w:rPr>
          <w:rFonts w:asciiTheme="minorHAnsi" w:hAnsiTheme="minorHAnsi" w:cstheme="minorHAnsi"/>
        </w:rPr>
        <w:t xml:space="preserve">Gabriel </w:t>
      </w:r>
      <w:r>
        <w:rPr>
          <w:rFonts w:asciiTheme="minorHAnsi" w:hAnsiTheme="minorHAnsi" w:cstheme="minorHAnsi"/>
        </w:rPr>
        <w:t xml:space="preserve">geliefert. Da die Analysen </w:t>
      </w:r>
      <w:r w:rsidR="000B4AD1">
        <w:rPr>
          <w:rFonts w:asciiTheme="minorHAnsi" w:hAnsiTheme="minorHAnsi" w:cstheme="minorHAnsi"/>
        </w:rPr>
        <w:t>g</w:t>
      </w:r>
      <w:r w:rsidR="001806CD">
        <w:rPr>
          <w:rFonts w:asciiTheme="minorHAnsi" w:hAnsiTheme="minorHAnsi" w:cstheme="minorHAnsi"/>
        </w:rPr>
        <w:t>attung</w:t>
      </w:r>
      <w:r w:rsidR="000B4AD1">
        <w:rPr>
          <w:rFonts w:asciiTheme="minorHAnsi" w:hAnsiTheme="minorHAnsi" w:cstheme="minorHAnsi"/>
        </w:rPr>
        <w:t>s</w:t>
      </w:r>
      <w:r w:rsidR="001806CD">
        <w:rPr>
          <w:rFonts w:asciiTheme="minorHAnsi" w:hAnsiTheme="minorHAnsi" w:cstheme="minorHAnsi"/>
        </w:rPr>
        <w:t>spezifisch</w:t>
      </w:r>
      <w:r>
        <w:rPr>
          <w:rFonts w:asciiTheme="minorHAnsi" w:hAnsiTheme="minorHAnsi" w:cstheme="minorHAnsi"/>
        </w:rPr>
        <w:t xml:space="preserve"> durchgeführt wurden, </w:t>
      </w:r>
      <w:r w:rsidR="000B4AD1">
        <w:rPr>
          <w:rFonts w:asciiTheme="minorHAnsi" w:hAnsiTheme="minorHAnsi" w:cstheme="minorHAnsi"/>
        </w:rPr>
        <w:t>mussten</w:t>
      </w:r>
      <w:r>
        <w:rPr>
          <w:rFonts w:asciiTheme="minorHAnsi" w:hAnsiTheme="minorHAnsi" w:cstheme="minorHAnsi"/>
        </w:rPr>
        <w:t xml:space="preserve"> die Baumarten noch einmal separat </w:t>
      </w:r>
      <w:r w:rsidR="000326DA">
        <w:rPr>
          <w:rFonts w:asciiTheme="minorHAnsi" w:hAnsiTheme="minorHAnsi" w:cstheme="minorHAnsi"/>
        </w:rPr>
        <w:t>gemäß dem nachfolgenden Schema</w:t>
      </w:r>
      <w:r w:rsidR="00EE67C0">
        <w:rPr>
          <w:rFonts w:asciiTheme="minorHAnsi" w:hAnsiTheme="minorHAnsi" w:cstheme="minorHAnsi"/>
        </w:rPr>
        <w:t xml:space="preserve"> </w:t>
      </w:r>
      <w:r w:rsidR="000B4AD1">
        <w:rPr>
          <w:rFonts w:asciiTheme="minorHAnsi" w:hAnsiTheme="minorHAnsi" w:cstheme="minorHAnsi"/>
        </w:rPr>
        <w:t xml:space="preserve">gruppiert werden. Die </w:t>
      </w:r>
      <w:r w:rsidR="00EE67C0">
        <w:rPr>
          <w:rFonts w:asciiTheme="minorHAnsi" w:hAnsiTheme="minorHAnsi" w:cstheme="minorHAnsi"/>
        </w:rPr>
        <w:t>respektiven</w:t>
      </w:r>
      <w:r w:rsidR="000B4AD1">
        <w:rPr>
          <w:rFonts w:asciiTheme="minorHAnsi" w:hAnsiTheme="minorHAnsi" w:cstheme="minorHAnsi"/>
        </w:rPr>
        <w:t xml:space="preserve"> Artengruppen </w:t>
      </w:r>
      <w:proofErr w:type="gramStart"/>
      <w:r w:rsidR="00EE262E">
        <w:rPr>
          <w:rFonts w:asciiTheme="minorHAnsi" w:hAnsiTheme="minorHAnsi" w:cstheme="minorHAnsi"/>
        </w:rPr>
        <w:t xml:space="preserve">werden </w:t>
      </w:r>
      <w:r w:rsidR="000B4AD1">
        <w:rPr>
          <w:rFonts w:asciiTheme="minorHAnsi" w:hAnsiTheme="minorHAnsi" w:cstheme="minorHAnsi"/>
        </w:rPr>
        <w:t xml:space="preserve"> in</w:t>
      </w:r>
      <w:proofErr w:type="gramEnd"/>
      <w:r w:rsidR="000B4AD1">
        <w:rPr>
          <w:rFonts w:asciiTheme="minorHAnsi" w:hAnsiTheme="minorHAnsi" w:cstheme="minorHAnsi"/>
        </w:rPr>
        <w:t xml:space="preserve"> der Spalte (</w:t>
      </w:r>
      <w:proofErr w:type="spellStart"/>
      <w:r w:rsidR="000B4AD1">
        <w:rPr>
          <w:rFonts w:asciiTheme="minorHAnsi" w:hAnsiTheme="minorHAnsi" w:cstheme="minorHAnsi"/>
        </w:rPr>
        <w:t>N_f_SP_group_MoMoK</w:t>
      </w:r>
      <w:proofErr w:type="spellEnd"/>
      <w:r w:rsidR="000B4AD1">
        <w:rPr>
          <w:rFonts w:asciiTheme="minorHAnsi" w:hAnsiTheme="minorHAnsi" w:cstheme="minorHAnsi"/>
        </w:rPr>
        <w:t xml:space="preserve">) hinterlegt:  </w:t>
      </w:r>
    </w:p>
    <w:p w14:paraId="48B259E6" w14:textId="735AFEA6" w:rsidR="000B4AD1" w:rsidRPr="00687919" w:rsidRDefault="000B4AD1" w:rsidP="000B4AD1">
      <w:pPr>
        <w:pStyle w:val="Liste-2"/>
      </w:pPr>
      <w:r w:rsidRPr="00687919">
        <w:t>Bäume des botanischen Genus „</w:t>
      </w:r>
      <w:r>
        <w:t>Alnus</w:t>
      </w:r>
      <w:r w:rsidRPr="00687919">
        <w:t>“ werden der Stickstoff Artengruppe (</w:t>
      </w:r>
      <w:proofErr w:type="spellStart"/>
      <w:r>
        <w:rPr>
          <w:rFonts w:asciiTheme="minorHAnsi" w:hAnsiTheme="minorHAnsi" w:cstheme="minorHAnsi"/>
        </w:rPr>
        <w:t>N_f_SP_group_MoMoK</w:t>
      </w:r>
      <w:proofErr w:type="spellEnd"/>
      <w:r w:rsidRPr="00687919">
        <w:t xml:space="preserve">) </w:t>
      </w:r>
      <w:r>
        <w:t>Erle</w:t>
      </w:r>
      <w:r w:rsidRPr="00687919">
        <w:t xml:space="preserve"> (</w:t>
      </w:r>
      <w:r>
        <w:t>ERL</w:t>
      </w:r>
      <w:r w:rsidRPr="00687919">
        <w:t>) zugeordnet</w:t>
      </w:r>
    </w:p>
    <w:p w14:paraId="2849C5B9" w14:textId="16B6FB20" w:rsidR="000B4AD1" w:rsidRPr="00687919" w:rsidRDefault="000B4AD1" w:rsidP="000B4AD1">
      <w:pPr>
        <w:pStyle w:val="Liste-2"/>
      </w:pPr>
      <w:r w:rsidRPr="00687919">
        <w:t>Bäume des botanischen Genus „</w:t>
      </w:r>
      <w:r>
        <w:t>Betula</w:t>
      </w:r>
      <w:r w:rsidRPr="00687919">
        <w:t>“ werden der Stickstoff Artengruppe (</w:t>
      </w:r>
      <w:proofErr w:type="spellStart"/>
      <w:r>
        <w:rPr>
          <w:rFonts w:asciiTheme="minorHAnsi" w:hAnsiTheme="minorHAnsi" w:cstheme="minorHAnsi"/>
        </w:rPr>
        <w:t>N_f_SP_group_MoMoK</w:t>
      </w:r>
      <w:proofErr w:type="spellEnd"/>
      <w:r w:rsidRPr="00687919">
        <w:t xml:space="preserve">) </w:t>
      </w:r>
      <w:r>
        <w:t>Birke</w:t>
      </w:r>
      <w:r w:rsidRPr="00687919">
        <w:t xml:space="preserve"> (</w:t>
      </w:r>
      <w:r>
        <w:t>BI</w:t>
      </w:r>
      <w:r w:rsidRPr="00687919">
        <w:t>) zugeordnet</w:t>
      </w:r>
    </w:p>
    <w:p w14:paraId="5E57A242" w14:textId="4AA68FCA" w:rsidR="000B4AD1" w:rsidRDefault="000B4AD1" w:rsidP="000B4AD1">
      <w:pPr>
        <w:pStyle w:val="Liste-2"/>
      </w:pPr>
      <w:r>
        <w:t xml:space="preserve">Laubbäume die nicht dem </w:t>
      </w:r>
      <w:r w:rsidRPr="00687919">
        <w:t>botanischen Genus „</w:t>
      </w:r>
      <w:r>
        <w:t>Alnus</w:t>
      </w:r>
      <w:r w:rsidRPr="00687919">
        <w:t>“</w:t>
      </w:r>
      <w:r>
        <w:t xml:space="preserve"> oder dem </w:t>
      </w:r>
      <w:r w:rsidRPr="00687919">
        <w:t>botanischen Genus „</w:t>
      </w:r>
      <w:r>
        <w:t>Betula</w:t>
      </w:r>
      <w:r w:rsidRPr="00687919">
        <w:t>“</w:t>
      </w:r>
      <w:r>
        <w:t xml:space="preserve"> zuzuordnen sind werden </w:t>
      </w:r>
      <w:proofErr w:type="gramStart"/>
      <w:r>
        <w:t>mit andere Laubbäume</w:t>
      </w:r>
      <w:proofErr w:type="gramEnd"/>
      <w:r>
        <w:t xml:space="preserve"> (</w:t>
      </w:r>
      <w:proofErr w:type="spellStart"/>
      <w:r>
        <w:t>aLB</w:t>
      </w:r>
      <w:proofErr w:type="spellEnd"/>
      <w:r>
        <w:t>) bezeichnet</w:t>
      </w:r>
    </w:p>
    <w:p w14:paraId="4DEA27A3" w14:textId="4DDBF3E2" w:rsidR="000B4AD1" w:rsidRPr="00687919" w:rsidRDefault="000B4AD1" w:rsidP="000B4AD1">
      <w:pPr>
        <w:pStyle w:val="Liste-2"/>
      </w:pPr>
      <w:r w:rsidRPr="00687919">
        <w:t>Bäume des botanischen Genus „</w:t>
      </w:r>
      <w:r>
        <w:t>Picea</w:t>
      </w:r>
      <w:r w:rsidRPr="00687919">
        <w:t>“ werden der Stickstoff Artengruppe (</w:t>
      </w:r>
      <w:proofErr w:type="spellStart"/>
      <w:r>
        <w:rPr>
          <w:rFonts w:asciiTheme="minorHAnsi" w:hAnsiTheme="minorHAnsi" w:cstheme="minorHAnsi"/>
        </w:rPr>
        <w:t>N_f_SP_group_MoMoK</w:t>
      </w:r>
      <w:proofErr w:type="spellEnd"/>
      <w:r w:rsidRPr="00687919">
        <w:t xml:space="preserve">) </w:t>
      </w:r>
      <w:r>
        <w:t>Fichte</w:t>
      </w:r>
      <w:r w:rsidRPr="00687919">
        <w:t xml:space="preserve"> (</w:t>
      </w:r>
      <w:r>
        <w:t>FI</w:t>
      </w:r>
      <w:r w:rsidRPr="00687919">
        <w:t>) zugeordnet</w:t>
      </w:r>
    </w:p>
    <w:p w14:paraId="2AFF8862" w14:textId="213F3F2A" w:rsidR="000B4AD1" w:rsidRPr="00687919" w:rsidRDefault="000B4AD1" w:rsidP="000B4AD1">
      <w:pPr>
        <w:pStyle w:val="Liste-2"/>
      </w:pPr>
      <w:r w:rsidRPr="00687919">
        <w:t>Bäume des botanischen Genus „</w:t>
      </w:r>
      <w:r>
        <w:t>Pinus</w:t>
      </w:r>
      <w:r w:rsidRPr="00687919">
        <w:t>“ werden der Stickstoff Artengruppe (</w:t>
      </w:r>
      <w:proofErr w:type="spellStart"/>
      <w:r>
        <w:rPr>
          <w:rFonts w:asciiTheme="minorHAnsi" w:hAnsiTheme="minorHAnsi" w:cstheme="minorHAnsi"/>
        </w:rPr>
        <w:t>N_f_SP_group_MoMoK</w:t>
      </w:r>
      <w:proofErr w:type="spellEnd"/>
      <w:r w:rsidRPr="00687919">
        <w:t xml:space="preserve">) </w:t>
      </w:r>
      <w:r>
        <w:t>Kiefer</w:t>
      </w:r>
      <w:r w:rsidRPr="00687919">
        <w:t xml:space="preserve"> (</w:t>
      </w:r>
      <w:r>
        <w:t>KI</w:t>
      </w:r>
      <w:r w:rsidRPr="00687919">
        <w:t>) zugeordnet</w:t>
      </w:r>
    </w:p>
    <w:p w14:paraId="281FEE38" w14:textId="17651999" w:rsidR="000B4AD1" w:rsidRDefault="000B4AD1" w:rsidP="000B4AD1">
      <w:pPr>
        <w:pStyle w:val="Liste-2"/>
      </w:pPr>
      <w:r>
        <w:t xml:space="preserve">Laubbäume die nicht dem </w:t>
      </w:r>
      <w:r w:rsidRPr="00687919">
        <w:t>botanischen Genus „</w:t>
      </w:r>
      <w:r>
        <w:t>Picea</w:t>
      </w:r>
      <w:r w:rsidRPr="00687919">
        <w:t>“</w:t>
      </w:r>
      <w:r>
        <w:t xml:space="preserve"> oder dem </w:t>
      </w:r>
      <w:r w:rsidRPr="00687919">
        <w:t>botanischen Genus „</w:t>
      </w:r>
      <w:r>
        <w:t>Pinus</w:t>
      </w:r>
      <w:r w:rsidRPr="00687919">
        <w:t>“</w:t>
      </w:r>
      <w:r>
        <w:t xml:space="preserve"> zuzuordnen sind werden </w:t>
      </w:r>
      <w:proofErr w:type="gramStart"/>
      <w:r>
        <w:t>mit andere Nadelbäume</w:t>
      </w:r>
      <w:proofErr w:type="gramEnd"/>
      <w:r>
        <w:t xml:space="preserve"> (</w:t>
      </w:r>
      <w:proofErr w:type="spellStart"/>
      <w:r>
        <w:t>aNB</w:t>
      </w:r>
      <w:proofErr w:type="spellEnd"/>
      <w:r>
        <w:t>) bezeichnet</w:t>
      </w:r>
    </w:p>
    <w:p w14:paraId="1C93B157" w14:textId="73AD70F6" w:rsidR="000B4AD1" w:rsidRDefault="000B4AD1" w:rsidP="0025263D">
      <w:r>
        <w:t xml:space="preserve">Die Stickstoffgehalte in der Blattmasse für Bäume in den jeweiligen Gattungen wurden mittels des Mittelwertes des Stickstoffgehaltes in Blattproben </w:t>
      </w:r>
      <w:r w:rsidR="0025263D">
        <w:t>der entsprechenden Gattung über alle</w:t>
      </w:r>
      <w:r>
        <w:t xml:space="preserve"> BZE Punkte</w:t>
      </w:r>
      <w:r w:rsidR="0025263D">
        <w:t xml:space="preserve"> (also nicht standortspezifisch)</w:t>
      </w:r>
      <w:r>
        <w:t xml:space="preserve"> über alle BZE Zeitpunkte hinweg </w:t>
      </w:r>
      <w:r w:rsidR="0025263D">
        <w:t xml:space="preserve">berechnet. </w:t>
      </w:r>
      <w:r>
        <w:t xml:space="preserve"> </w:t>
      </w:r>
    </w:p>
    <w:p w14:paraId="5FD39356" w14:textId="1E6B1E61" w:rsidR="0025263D" w:rsidRDefault="0025263D" w:rsidP="0025263D">
      <w:r>
        <w:t xml:space="preserve">Für Bäume der Kategorien </w:t>
      </w:r>
      <w:proofErr w:type="spellStart"/>
      <w:r>
        <w:t>aLB</w:t>
      </w:r>
      <w:proofErr w:type="spellEnd"/>
      <w:r>
        <w:t xml:space="preserve"> und </w:t>
      </w:r>
      <w:proofErr w:type="spellStart"/>
      <w:r>
        <w:t>aNB</w:t>
      </w:r>
      <w:proofErr w:type="spellEnd"/>
      <w:r>
        <w:t xml:space="preserve"> werden die Stickstoffwerte aller vorhandenen Laubbaumgattungen (Birke und Erle) bzw. aller vorhandenen Nadelbaumgattungen (Fichte und Kiefer) über alle BZE Standorte und BZE Zeitpunkte hinweg gemittelt und zur </w:t>
      </w:r>
      <w:r w:rsidR="000326DA">
        <w:t>Berechnung</w:t>
      </w:r>
      <w:r>
        <w:t xml:space="preserve"> des Stickstoffvorrates in der Blattmasse verwendet. </w:t>
      </w:r>
    </w:p>
    <w:p w14:paraId="72E705A2" w14:textId="77777777" w:rsidR="000B4AD1" w:rsidRPr="000B4AD1" w:rsidRDefault="000B4AD1" w:rsidP="000B4AD1">
      <w:pPr>
        <w:pStyle w:val="Liste-2"/>
        <w:numPr>
          <w:ilvl w:val="0"/>
          <w:numId w:val="0"/>
        </w:numPr>
      </w:pPr>
    </w:p>
    <w:p w14:paraId="58EB8075" w14:textId="243C6BF1" w:rsidR="001806CD" w:rsidRDefault="001806CD" w:rsidP="004E200E">
      <w:pPr>
        <w:spacing w:before="100" w:beforeAutospacing="1" w:line="240" w:lineRule="auto"/>
        <w:rPr>
          <w:rFonts w:asciiTheme="minorHAnsi" w:hAnsiTheme="minorHAnsi" w:cstheme="minorHAnsi"/>
        </w:rPr>
      </w:pPr>
      <w:r>
        <w:rPr>
          <w:rFonts w:asciiTheme="minorHAnsi" w:hAnsiTheme="minorHAnsi" w:cstheme="minorHAnsi"/>
        </w:rPr>
        <w:t xml:space="preserve">Die </w:t>
      </w:r>
      <w:r w:rsidR="00BB609A">
        <w:rPr>
          <w:rFonts w:asciiTheme="minorHAnsi" w:hAnsiTheme="minorHAnsi" w:cstheme="minorHAnsi"/>
        </w:rPr>
        <w:t xml:space="preserve">detaillierte </w:t>
      </w:r>
      <w:r>
        <w:rPr>
          <w:rFonts w:asciiTheme="minorHAnsi" w:hAnsiTheme="minorHAnsi" w:cstheme="minorHAnsi"/>
        </w:rPr>
        <w:t xml:space="preserve">Herleitung </w:t>
      </w:r>
      <w:r w:rsidR="00BB609A">
        <w:rPr>
          <w:rFonts w:asciiTheme="minorHAnsi" w:hAnsiTheme="minorHAnsi" w:cstheme="minorHAnsi"/>
        </w:rPr>
        <w:t>und der Prozess der Entscheidungsfindung für die</w:t>
      </w:r>
      <w:r>
        <w:rPr>
          <w:rFonts w:asciiTheme="minorHAnsi" w:hAnsiTheme="minorHAnsi" w:cstheme="minorHAnsi"/>
        </w:rPr>
        <w:t xml:space="preserve"> Stickstoffgehalte in der Blattmasse kann in folgender Dokumentation von Marvin nachvollzogen werden: </w:t>
      </w:r>
    </w:p>
    <w:p w14:paraId="2382A09D" w14:textId="6733BEAE" w:rsidR="001806CD" w:rsidRPr="001806CD" w:rsidRDefault="001806CD" w:rsidP="001806CD">
      <w:pPr>
        <w:rPr>
          <w:b/>
        </w:rPr>
      </w:pPr>
      <w:r w:rsidRPr="001C7DF8">
        <w:rPr>
          <w:b/>
        </w:rPr>
        <w:t>Stickstoffgehalte in Blättern und Nadeln von Bäumen auf Moorstandorten/organischen Standorten</w:t>
      </w:r>
    </w:p>
    <w:p w14:paraId="6558763B" w14:textId="77777777" w:rsidR="001806CD" w:rsidRDefault="001806CD" w:rsidP="001806CD">
      <w:r w:rsidRPr="001C7DF8">
        <w:rPr>
          <w:u w:val="single"/>
        </w:rPr>
        <w:t>Frage:</w:t>
      </w:r>
      <w:r>
        <w:t xml:space="preserve"> Wie hoch sind die Stickstoffgehalte in Blättern und Nadeln von </w:t>
      </w:r>
      <w:proofErr w:type="spellStart"/>
      <w:r>
        <w:t>MoMoK</w:t>
      </w:r>
      <w:proofErr w:type="spellEnd"/>
      <w:r>
        <w:t>-Bäumen (Fichte, Kiefer, Erle, Birke) auf organischen Standorten?</w:t>
      </w:r>
    </w:p>
    <w:p w14:paraId="0DBCB56A" w14:textId="77777777" w:rsidR="001806CD" w:rsidRDefault="001806CD" w:rsidP="001806CD">
      <w:r w:rsidRPr="001C7DF8">
        <w:rPr>
          <w:u w:val="single"/>
        </w:rPr>
        <w:lastRenderedPageBreak/>
        <w:t xml:space="preserve">Herangehensweise: </w:t>
      </w:r>
      <w:r w:rsidRPr="001C7DF8">
        <w:t>Analyse der Werte der BZE-Datenbank</w:t>
      </w:r>
      <w:r w:rsidRPr="00A9664D">
        <w:t xml:space="preserve">. </w:t>
      </w:r>
      <w:r>
        <w:t xml:space="preserve">Auswahl aller BZE-Standorte die </w:t>
      </w:r>
      <w:r w:rsidRPr="00C62505">
        <w:rPr>
          <w:u w:val="single"/>
        </w:rPr>
        <w:t>eindeutig</w:t>
      </w:r>
      <w:r>
        <w:t xml:space="preserve"> einen Oberbodenhorizont haben der &gt;10 cm mächtig ist und &gt; 7,5 % Kohlenstoff besitzt (Definition organischer Boden).</w:t>
      </w:r>
    </w:p>
    <w:p w14:paraId="1B886047" w14:textId="77777777" w:rsidR="001806CD" w:rsidRDefault="001806CD" w:rsidP="001806CD">
      <w:r>
        <w:t xml:space="preserve">Von 53 Standorten, die nach jeweiliger Begutachtung der </w:t>
      </w:r>
      <w:proofErr w:type="spellStart"/>
      <w:r>
        <w:t>Horizontierung</w:t>
      </w:r>
      <w:proofErr w:type="spellEnd"/>
      <w:r>
        <w:t xml:space="preserve"> als organisch betrachtet wurden, blieben für die betreffenden Baumtypen 25 Standorte übrig, zu denen es Stickstoffwerte für Blätter oder Nadeln gibt (Tabelle 1). Bei </w:t>
      </w:r>
      <w:proofErr w:type="spellStart"/>
      <w:r>
        <w:t>Mehrfachbeprobungen</w:t>
      </w:r>
      <w:proofErr w:type="spellEnd"/>
      <w:r>
        <w:t xml:space="preserve"> pro Standort, wurden Mittelwerte gebildet. Anzahl [N] entspricht hier Anzahl der BZE-Standorte.</w:t>
      </w:r>
    </w:p>
    <w:p w14:paraId="59E2432E" w14:textId="77777777" w:rsidR="001806CD" w:rsidRDefault="001806CD" w:rsidP="001806CD">
      <w:pPr>
        <w:pStyle w:val="Beschriftung"/>
      </w:pPr>
      <w:r>
        <w:t xml:space="preserve">Tabelle </w:t>
      </w:r>
      <w:r>
        <w:fldChar w:fldCharType="begin"/>
      </w:r>
      <w:r>
        <w:instrText xml:space="preserve"> SEQ Tabelle \* ARABIC </w:instrText>
      </w:r>
      <w:r>
        <w:fldChar w:fldCharType="separate"/>
      </w:r>
      <w:r>
        <w:t>1</w:t>
      </w:r>
      <w:r>
        <w:fldChar w:fldCharType="end"/>
      </w:r>
      <w:r>
        <w:t>: Mittelwerte, Standardabweichung und Stichprobenzahl der Stickstoffgehalte in Blatt- und Nadelwerk von Erle, Fichte und Kiefer auf organischen Standorten</w:t>
      </w:r>
    </w:p>
    <w:tbl>
      <w:tblPr>
        <w:tblW w:w="8080" w:type="dxa"/>
        <w:tblCellMar>
          <w:left w:w="70" w:type="dxa"/>
          <w:right w:w="70" w:type="dxa"/>
        </w:tblCellMar>
        <w:tblLook w:val="04A0" w:firstRow="1" w:lastRow="0" w:firstColumn="1" w:lastColumn="0" w:noHBand="0" w:noVBand="1"/>
      </w:tblPr>
      <w:tblGrid>
        <w:gridCol w:w="2360"/>
        <w:gridCol w:w="3720"/>
        <w:gridCol w:w="809"/>
        <w:gridCol w:w="1191"/>
      </w:tblGrid>
      <w:tr w:rsidR="001806CD" w:rsidRPr="00CE716A" w14:paraId="41CC39E1" w14:textId="77777777" w:rsidTr="001806CD">
        <w:trPr>
          <w:trHeight w:val="300"/>
        </w:trPr>
        <w:tc>
          <w:tcPr>
            <w:tcW w:w="2360" w:type="dxa"/>
            <w:tcBorders>
              <w:top w:val="nil"/>
              <w:left w:val="nil"/>
              <w:bottom w:val="single" w:sz="4" w:space="0" w:color="95B3D7"/>
              <w:right w:val="nil"/>
            </w:tcBorders>
            <w:shd w:val="clear" w:color="DCE6F1" w:fill="DCE6F1"/>
            <w:noWrap/>
            <w:vAlign w:val="bottom"/>
            <w:hideMark/>
          </w:tcPr>
          <w:p w14:paraId="58382F2D" w14:textId="77777777" w:rsidR="001806CD" w:rsidRPr="00CE716A" w:rsidRDefault="001806CD" w:rsidP="001806CD">
            <w:pPr>
              <w:spacing w:line="240" w:lineRule="auto"/>
              <w:rPr>
                <w:rFonts w:cs="Calibri"/>
                <w:b/>
                <w:bCs/>
                <w:color w:val="000000"/>
              </w:rPr>
            </w:pPr>
            <w:proofErr w:type="spellStart"/>
            <w:r w:rsidRPr="00CE716A">
              <w:rPr>
                <w:rFonts w:cs="Calibri"/>
                <w:b/>
                <w:bCs/>
                <w:color w:val="000000"/>
              </w:rPr>
              <w:t>Baumtyp</w:t>
            </w:r>
            <w:proofErr w:type="spellEnd"/>
            <w:r w:rsidRPr="00CE716A">
              <w:rPr>
                <w:rFonts w:cs="Calibri"/>
                <w:b/>
                <w:bCs/>
                <w:color w:val="000000"/>
              </w:rPr>
              <w:t xml:space="preserve"> auf Moor</w:t>
            </w:r>
          </w:p>
        </w:tc>
        <w:tc>
          <w:tcPr>
            <w:tcW w:w="3720" w:type="dxa"/>
            <w:tcBorders>
              <w:top w:val="nil"/>
              <w:left w:val="nil"/>
              <w:bottom w:val="single" w:sz="4" w:space="0" w:color="95B3D7"/>
              <w:right w:val="nil"/>
            </w:tcBorders>
            <w:shd w:val="clear" w:color="DCE6F1" w:fill="DCE6F1"/>
            <w:noWrap/>
            <w:vAlign w:val="bottom"/>
            <w:hideMark/>
          </w:tcPr>
          <w:p w14:paraId="7E76A7A9" w14:textId="77777777" w:rsidR="001806CD" w:rsidRPr="00CE716A" w:rsidRDefault="001806CD" w:rsidP="001806CD">
            <w:pPr>
              <w:spacing w:line="240" w:lineRule="auto"/>
              <w:rPr>
                <w:rFonts w:cs="Calibri"/>
                <w:b/>
                <w:bCs/>
                <w:color w:val="000000"/>
              </w:rPr>
            </w:pPr>
            <w:proofErr w:type="spellStart"/>
            <w:r w:rsidRPr="00CE716A">
              <w:rPr>
                <w:rFonts w:cs="Calibri"/>
                <w:b/>
                <w:bCs/>
                <w:color w:val="000000"/>
              </w:rPr>
              <w:t>Mittelw</w:t>
            </w:r>
            <w:proofErr w:type="spellEnd"/>
            <w:r w:rsidRPr="00CE716A">
              <w:rPr>
                <w:rFonts w:cs="Calibri"/>
                <w:b/>
                <w:bCs/>
                <w:color w:val="000000"/>
              </w:rPr>
              <w:t>. N-Content Blatt/Nadel [g/kg]</w:t>
            </w:r>
          </w:p>
        </w:tc>
        <w:tc>
          <w:tcPr>
            <w:tcW w:w="809" w:type="dxa"/>
            <w:tcBorders>
              <w:top w:val="nil"/>
              <w:left w:val="nil"/>
              <w:bottom w:val="single" w:sz="4" w:space="0" w:color="95B3D7"/>
              <w:right w:val="nil"/>
            </w:tcBorders>
            <w:shd w:val="clear" w:color="DCE6F1" w:fill="DCE6F1"/>
            <w:noWrap/>
            <w:vAlign w:val="bottom"/>
            <w:hideMark/>
          </w:tcPr>
          <w:p w14:paraId="290B0830" w14:textId="77777777" w:rsidR="001806CD" w:rsidRPr="00CE716A" w:rsidRDefault="001806CD" w:rsidP="001806CD">
            <w:pPr>
              <w:spacing w:line="240" w:lineRule="auto"/>
              <w:rPr>
                <w:rFonts w:cs="Calibri"/>
                <w:b/>
                <w:bCs/>
                <w:color w:val="000000"/>
              </w:rPr>
            </w:pPr>
            <w:r w:rsidRPr="00CE716A">
              <w:rPr>
                <w:rFonts w:cs="Calibri"/>
                <w:b/>
                <w:bCs/>
                <w:color w:val="000000"/>
              </w:rPr>
              <w:t>STABW</w:t>
            </w:r>
          </w:p>
        </w:tc>
        <w:tc>
          <w:tcPr>
            <w:tcW w:w="1191" w:type="dxa"/>
            <w:tcBorders>
              <w:top w:val="nil"/>
              <w:left w:val="nil"/>
              <w:bottom w:val="single" w:sz="4" w:space="0" w:color="95B3D7"/>
              <w:right w:val="nil"/>
            </w:tcBorders>
            <w:shd w:val="clear" w:color="DCE6F1" w:fill="DCE6F1"/>
            <w:noWrap/>
            <w:vAlign w:val="bottom"/>
            <w:hideMark/>
          </w:tcPr>
          <w:p w14:paraId="2745F4C7" w14:textId="77777777" w:rsidR="001806CD" w:rsidRPr="00CE716A" w:rsidRDefault="001806CD" w:rsidP="001806CD">
            <w:pPr>
              <w:spacing w:line="240" w:lineRule="auto"/>
              <w:rPr>
                <w:rFonts w:cs="Calibri"/>
                <w:b/>
                <w:bCs/>
                <w:color w:val="000000"/>
              </w:rPr>
            </w:pPr>
            <w:r w:rsidRPr="00CE716A">
              <w:rPr>
                <w:rFonts w:cs="Calibri"/>
                <w:b/>
                <w:bCs/>
                <w:color w:val="000000"/>
              </w:rPr>
              <w:t>Anzahl [N]</w:t>
            </w:r>
          </w:p>
        </w:tc>
      </w:tr>
      <w:tr w:rsidR="001806CD" w:rsidRPr="00CE716A" w14:paraId="6CD37D44" w14:textId="77777777" w:rsidTr="001806CD">
        <w:trPr>
          <w:trHeight w:val="300"/>
        </w:trPr>
        <w:tc>
          <w:tcPr>
            <w:tcW w:w="2360" w:type="dxa"/>
            <w:tcBorders>
              <w:top w:val="nil"/>
              <w:left w:val="nil"/>
              <w:bottom w:val="nil"/>
              <w:right w:val="nil"/>
            </w:tcBorders>
            <w:shd w:val="clear" w:color="auto" w:fill="auto"/>
            <w:noWrap/>
            <w:vAlign w:val="bottom"/>
            <w:hideMark/>
          </w:tcPr>
          <w:p w14:paraId="52D5406F" w14:textId="77777777" w:rsidR="001806CD" w:rsidRPr="00CE716A" w:rsidRDefault="001806CD" w:rsidP="001806CD">
            <w:pPr>
              <w:spacing w:line="240" w:lineRule="auto"/>
              <w:rPr>
                <w:rFonts w:cs="Calibri"/>
                <w:color w:val="000000"/>
              </w:rPr>
            </w:pPr>
            <w:r w:rsidRPr="00CE716A">
              <w:rPr>
                <w:rFonts w:cs="Calibri"/>
                <w:color w:val="000000"/>
              </w:rPr>
              <w:t>Erle</w:t>
            </w:r>
          </w:p>
        </w:tc>
        <w:tc>
          <w:tcPr>
            <w:tcW w:w="3720" w:type="dxa"/>
            <w:tcBorders>
              <w:top w:val="nil"/>
              <w:left w:val="nil"/>
              <w:bottom w:val="nil"/>
              <w:right w:val="nil"/>
            </w:tcBorders>
            <w:shd w:val="clear" w:color="auto" w:fill="auto"/>
            <w:noWrap/>
            <w:vAlign w:val="bottom"/>
            <w:hideMark/>
          </w:tcPr>
          <w:p w14:paraId="5A15B80A" w14:textId="77777777" w:rsidR="001806CD" w:rsidRPr="00CE716A" w:rsidRDefault="001806CD" w:rsidP="001806CD">
            <w:pPr>
              <w:spacing w:line="240" w:lineRule="auto"/>
              <w:jc w:val="right"/>
              <w:rPr>
                <w:rFonts w:cs="Calibri"/>
                <w:color w:val="000000"/>
              </w:rPr>
            </w:pPr>
            <w:r w:rsidRPr="00CE716A">
              <w:rPr>
                <w:rFonts w:cs="Calibri"/>
                <w:color w:val="000000"/>
              </w:rPr>
              <w:t>28,4</w:t>
            </w:r>
          </w:p>
        </w:tc>
        <w:tc>
          <w:tcPr>
            <w:tcW w:w="809" w:type="dxa"/>
            <w:tcBorders>
              <w:top w:val="nil"/>
              <w:left w:val="nil"/>
              <w:bottom w:val="nil"/>
              <w:right w:val="nil"/>
            </w:tcBorders>
            <w:shd w:val="clear" w:color="auto" w:fill="auto"/>
            <w:noWrap/>
            <w:vAlign w:val="bottom"/>
            <w:hideMark/>
          </w:tcPr>
          <w:p w14:paraId="0E42500C" w14:textId="77777777" w:rsidR="001806CD" w:rsidRPr="00CE716A" w:rsidRDefault="001806CD" w:rsidP="001806CD">
            <w:pPr>
              <w:spacing w:line="240" w:lineRule="auto"/>
              <w:jc w:val="right"/>
              <w:rPr>
                <w:rFonts w:cs="Calibri"/>
                <w:color w:val="000000"/>
              </w:rPr>
            </w:pPr>
            <w:r w:rsidRPr="00CE716A">
              <w:rPr>
                <w:rFonts w:cs="Calibri"/>
                <w:color w:val="000000"/>
              </w:rPr>
              <w:t>1,6</w:t>
            </w:r>
          </w:p>
        </w:tc>
        <w:tc>
          <w:tcPr>
            <w:tcW w:w="1191" w:type="dxa"/>
            <w:tcBorders>
              <w:top w:val="nil"/>
              <w:left w:val="nil"/>
              <w:bottom w:val="nil"/>
              <w:right w:val="nil"/>
            </w:tcBorders>
            <w:shd w:val="clear" w:color="auto" w:fill="auto"/>
            <w:noWrap/>
            <w:vAlign w:val="bottom"/>
            <w:hideMark/>
          </w:tcPr>
          <w:p w14:paraId="21058BDE" w14:textId="77777777" w:rsidR="001806CD" w:rsidRPr="00CE716A" w:rsidRDefault="001806CD" w:rsidP="001806CD">
            <w:pPr>
              <w:spacing w:line="240" w:lineRule="auto"/>
              <w:jc w:val="right"/>
              <w:rPr>
                <w:rFonts w:cs="Calibri"/>
                <w:color w:val="000000"/>
              </w:rPr>
            </w:pPr>
            <w:r w:rsidRPr="00CE716A">
              <w:rPr>
                <w:rFonts w:cs="Calibri"/>
                <w:color w:val="000000"/>
              </w:rPr>
              <w:t>3</w:t>
            </w:r>
          </w:p>
        </w:tc>
      </w:tr>
      <w:tr w:rsidR="001806CD" w:rsidRPr="00CE716A" w14:paraId="311E2BF6" w14:textId="77777777" w:rsidTr="001806CD">
        <w:trPr>
          <w:trHeight w:val="300"/>
        </w:trPr>
        <w:tc>
          <w:tcPr>
            <w:tcW w:w="2360" w:type="dxa"/>
            <w:tcBorders>
              <w:top w:val="nil"/>
              <w:left w:val="nil"/>
              <w:bottom w:val="nil"/>
              <w:right w:val="nil"/>
            </w:tcBorders>
            <w:shd w:val="clear" w:color="auto" w:fill="auto"/>
            <w:noWrap/>
            <w:vAlign w:val="bottom"/>
            <w:hideMark/>
          </w:tcPr>
          <w:p w14:paraId="08798DB2" w14:textId="77777777" w:rsidR="001806CD" w:rsidRPr="00CE716A" w:rsidRDefault="001806CD" w:rsidP="001806CD">
            <w:pPr>
              <w:spacing w:line="240" w:lineRule="auto"/>
              <w:rPr>
                <w:rFonts w:cs="Calibri"/>
                <w:color w:val="000000"/>
              </w:rPr>
            </w:pPr>
            <w:r w:rsidRPr="00CE716A">
              <w:rPr>
                <w:rFonts w:cs="Calibri"/>
                <w:color w:val="000000"/>
              </w:rPr>
              <w:t>Fichte</w:t>
            </w:r>
          </w:p>
        </w:tc>
        <w:tc>
          <w:tcPr>
            <w:tcW w:w="3720" w:type="dxa"/>
            <w:tcBorders>
              <w:top w:val="nil"/>
              <w:left w:val="nil"/>
              <w:bottom w:val="nil"/>
              <w:right w:val="nil"/>
            </w:tcBorders>
            <w:shd w:val="clear" w:color="auto" w:fill="auto"/>
            <w:noWrap/>
            <w:vAlign w:val="bottom"/>
            <w:hideMark/>
          </w:tcPr>
          <w:p w14:paraId="3A3DA009" w14:textId="77777777" w:rsidR="001806CD" w:rsidRPr="00CE716A" w:rsidRDefault="001806CD" w:rsidP="001806CD">
            <w:pPr>
              <w:spacing w:line="240" w:lineRule="auto"/>
              <w:jc w:val="right"/>
              <w:rPr>
                <w:rFonts w:cs="Calibri"/>
                <w:color w:val="000000"/>
              </w:rPr>
            </w:pPr>
            <w:r w:rsidRPr="00CE716A">
              <w:rPr>
                <w:rFonts w:cs="Calibri"/>
                <w:color w:val="000000"/>
              </w:rPr>
              <w:t>14,2</w:t>
            </w:r>
          </w:p>
        </w:tc>
        <w:tc>
          <w:tcPr>
            <w:tcW w:w="809" w:type="dxa"/>
            <w:tcBorders>
              <w:top w:val="nil"/>
              <w:left w:val="nil"/>
              <w:bottom w:val="nil"/>
              <w:right w:val="nil"/>
            </w:tcBorders>
            <w:shd w:val="clear" w:color="auto" w:fill="auto"/>
            <w:noWrap/>
            <w:vAlign w:val="bottom"/>
            <w:hideMark/>
          </w:tcPr>
          <w:p w14:paraId="69313FDA" w14:textId="77777777" w:rsidR="001806CD" w:rsidRPr="00CE716A" w:rsidRDefault="001806CD" w:rsidP="001806CD">
            <w:pPr>
              <w:spacing w:line="240" w:lineRule="auto"/>
              <w:jc w:val="right"/>
              <w:rPr>
                <w:rFonts w:cs="Calibri"/>
                <w:color w:val="000000"/>
              </w:rPr>
            </w:pPr>
            <w:r w:rsidRPr="00CE716A">
              <w:rPr>
                <w:rFonts w:cs="Calibri"/>
                <w:color w:val="000000"/>
              </w:rPr>
              <w:t>2,3</w:t>
            </w:r>
          </w:p>
        </w:tc>
        <w:tc>
          <w:tcPr>
            <w:tcW w:w="1191" w:type="dxa"/>
            <w:tcBorders>
              <w:top w:val="nil"/>
              <w:left w:val="nil"/>
              <w:bottom w:val="nil"/>
              <w:right w:val="nil"/>
            </w:tcBorders>
            <w:shd w:val="clear" w:color="auto" w:fill="auto"/>
            <w:noWrap/>
            <w:vAlign w:val="bottom"/>
            <w:hideMark/>
          </w:tcPr>
          <w:p w14:paraId="216B6C15" w14:textId="77777777" w:rsidR="001806CD" w:rsidRPr="00CE716A" w:rsidRDefault="001806CD" w:rsidP="001806CD">
            <w:pPr>
              <w:spacing w:line="240" w:lineRule="auto"/>
              <w:jc w:val="right"/>
              <w:rPr>
                <w:rFonts w:cs="Calibri"/>
                <w:color w:val="000000"/>
              </w:rPr>
            </w:pPr>
            <w:r w:rsidRPr="00CE716A">
              <w:rPr>
                <w:rFonts w:cs="Calibri"/>
                <w:color w:val="000000"/>
              </w:rPr>
              <w:t>11</w:t>
            </w:r>
          </w:p>
        </w:tc>
      </w:tr>
      <w:tr w:rsidR="001806CD" w:rsidRPr="00CE716A" w14:paraId="3F71DD3F" w14:textId="77777777" w:rsidTr="001806CD">
        <w:trPr>
          <w:trHeight w:val="300"/>
        </w:trPr>
        <w:tc>
          <w:tcPr>
            <w:tcW w:w="2360" w:type="dxa"/>
            <w:tcBorders>
              <w:top w:val="nil"/>
              <w:left w:val="nil"/>
              <w:bottom w:val="nil"/>
              <w:right w:val="nil"/>
            </w:tcBorders>
            <w:shd w:val="clear" w:color="auto" w:fill="auto"/>
            <w:noWrap/>
            <w:vAlign w:val="bottom"/>
            <w:hideMark/>
          </w:tcPr>
          <w:p w14:paraId="6D893709" w14:textId="77777777" w:rsidR="001806CD" w:rsidRPr="00CE716A" w:rsidRDefault="001806CD" w:rsidP="001806CD">
            <w:pPr>
              <w:spacing w:line="240" w:lineRule="auto"/>
              <w:rPr>
                <w:rFonts w:cs="Calibri"/>
                <w:color w:val="000000"/>
              </w:rPr>
            </w:pPr>
            <w:r w:rsidRPr="00CE716A">
              <w:rPr>
                <w:rFonts w:cs="Calibri"/>
                <w:color w:val="000000"/>
              </w:rPr>
              <w:t>Kiefer</w:t>
            </w:r>
          </w:p>
        </w:tc>
        <w:tc>
          <w:tcPr>
            <w:tcW w:w="3720" w:type="dxa"/>
            <w:tcBorders>
              <w:top w:val="nil"/>
              <w:left w:val="nil"/>
              <w:bottom w:val="nil"/>
              <w:right w:val="nil"/>
            </w:tcBorders>
            <w:shd w:val="clear" w:color="auto" w:fill="auto"/>
            <w:noWrap/>
            <w:vAlign w:val="bottom"/>
            <w:hideMark/>
          </w:tcPr>
          <w:p w14:paraId="441136BA" w14:textId="77777777" w:rsidR="001806CD" w:rsidRPr="00CE716A" w:rsidRDefault="001806CD" w:rsidP="001806CD">
            <w:pPr>
              <w:spacing w:line="240" w:lineRule="auto"/>
              <w:jc w:val="right"/>
              <w:rPr>
                <w:rFonts w:cs="Calibri"/>
                <w:color w:val="000000"/>
              </w:rPr>
            </w:pPr>
            <w:r w:rsidRPr="00CE716A">
              <w:rPr>
                <w:rFonts w:cs="Calibri"/>
                <w:color w:val="000000"/>
              </w:rPr>
              <w:t>16,9</w:t>
            </w:r>
          </w:p>
        </w:tc>
        <w:tc>
          <w:tcPr>
            <w:tcW w:w="809" w:type="dxa"/>
            <w:tcBorders>
              <w:top w:val="nil"/>
              <w:left w:val="nil"/>
              <w:bottom w:val="nil"/>
              <w:right w:val="nil"/>
            </w:tcBorders>
            <w:shd w:val="clear" w:color="auto" w:fill="auto"/>
            <w:noWrap/>
            <w:vAlign w:val="bottom"/>
            <w:hideMark/>
          </w:tcPr>
          <w:p w14:paraId="636D4B1F" w14:textId="77777777" w:rsidR="001806CD" w:rsidRPr="00CE716A" w:rsidRDefault="001806CD" w:rsidP="001806CD">
            <w:pPr>
              <w:spacing w:line="240" w:lineRule="auto"/>
              <w:jc w:val="right"/>
              <w:rPr>
                <w:rFonts w:cs="Calibri"/>
                <w:color w:val="000000"/>
              </w:rPr>
            </w:pPr>
            <w:r w:rsidRPr="00CE716A">
              <w:rPr>
                <w:rFonts w:cs="Calibri"/>
                <w:color w:val="000000"/>
              </w:rPr>
              <w:t>5,4</w:t>
            </w:r>
          </w:p>
        </w:tc>
        <w:tc>
          <w:tcPr>
            <w:tcW w:w="1191" w:type="dxa"/>
            <w:tcBorders>
              <w:top w:val="nil"/>
              <w:left w:val="nil"/>
              <w:bottom w:val="nil"/>
              <w:right w:val="nil"/>
            </w:tcBorders>
            <w:shd w:val="clear" w:color="auto" w:fill="auto"/>
            <w:noWrap/>
            <w:vAlign w:val="bottom"/>
            <w:hideMark/>
          </w:tcPr>
          <w:p w14:paraId="72E7BE06" w14:textId="77777777" w:rsidR="001806CD" w:rsidRPr="00CE716A" w:rsidRDefault="001806CD" w:rsidP="001806CD">
            <w:pPr>
              <w:spacing w:line="240" w:lineRule="auto"/>
              <w:jc w:val="right"/>
              <w:rPr>
                <w:rFonts w:cs="Calibri"/>
                <w:color w:val="000000"/>
              </w:rPr>
            </w:pPr>
            <w:r w:rsidRPr="00CE716A">
              <w:rPr>
                <w:rFonts w:cs="Calibri"/>
                <w:color w:val="000000"/>
              </w:rPr>
              <w:t>11</w:t>
            </w:r>
          </w:p>
        </w:tc>
      </w:tr>
      <w:tr w:rsidR="001806CD" w:rsidRPr="00CE716A" w14:paraId="35F7D000" w14:textId="77777777" w:rsidTr="001806CD">
        <w:trPr>
          <w:trHeight w:val="300"/>
        </w:trPr>
        <w:tc>
          <w:tcPr>
            <w:tcW w:w="2360" w:type="dxa"/>
            <w:tcBorders>
              <w:top w:val="single" w:sz="4" w:space="0" w:color="95B3D7"/>
              <w:left w:val="nil"/>
              <w:bottom w:val="nil"/>
              <w:right w:val="nil"/>
            </w:tcBorders>
            <w:shd w:val="clear" w:color="DCE6F1" w:fill="DCE6F1"/>
            <w:noWrap/>
            <w:vAlign w:val="bottom"/>
            <w:hideMark/>
          </w:tcPr>
          <w:p w14:paraId="0E41977A" w14:textId="77777777" w:rsidR="001806CD" w:rsidRPr="00CE716A" w:rsidRDefault="001806CD" w:rsidP="001806CD">
            <w:pPr>
              <w:spacing w:line="240" w:lineRule="auto"/>
              <w:rPr>
                <w:rFonts w:cs="Calibri"/>
                <w:b/>
                <w:bCs/>
                <w:color w:val="000000"/>
              </w:rPr>
            </w:pPr>
            <w:r w:rsidRPr="00CE716A">
              <w:rPr>
                <w:rFonts w:cs="Calibri"/>
                <w:b/>
                <w:bCs/>
                <w:color w:val="000000"/>
              </w:rPr>
              <w:t>Gesamtergebnis</w:t>
            </w:r>
          </w:p>
        </w:tc>
        <w:tc>
          <w:tcPr>
            <w:tcW w:w="3720" w:type="dxa"/>
            <w:tcBorders>
              <w:top w:val="single" w:sz="4" w:space="0" w:color="95B3D7"/>
              <w:left w:val="nil"/>
              <w:bottom w:val="nil"/>
              <w:right w:val="nil"/>
            </w:tcBorders>
            <w:shd w:val="clear" w:color="DCE6F1" w:fill="DCE6F1"/>
            <w:noWrap/>
            <w:vAlign w:val="bottom"/>
            <w:hideMark/>
          </w:tcPr>
          <w:p w14:paraId="055CD1C8" w14:textId="77777777" w:rsidR="001806CD" w:rsidRPr="00CE716A" w:rsidRDefault="001806CD" w:rsidP="001806CD">
            <w:pPr>
              <w:spacing w:line="240" w:lineRule="auto"/>
              <w:jc w:val="right"/>
              <w:rPr>
                <w:rFonts w:cs="Calibri"/>
                <w:b/>
                <w:bCs/>
                <w:color w:val="000000"/>
              </w:rPr>
            </w:pPr>
            <w:r w:rsidRPr="00CE716A">
              <w:rPr>
                <w:rFonts w:cs="Calibri"/>
                <w:b/>
                <w:bCs/>
                <w:color w:val="000000"/>
              </w:rPr>
              <w:t>17,1</w:t>
            </w:r>
          </w:p>
        </w:tc>
        <w:tc>
          <w:tcPr>
            <w:tcW w:w="809" w:type="dxa"/>
            <w:tcBorders>
              <w:top w:val="single" w:sz="4" w:space="0" w:color="95B3D7"/>
              <w:left w:val="nil"/>
              <w:bottom w:val="nil"/>
              <w:right w:val="nil"/>
            </w:tcBorders>
            <w:shd w:val="clear" w:color="DCE6F1" w:fill="DCE6F1"/>
            <w:noWrap/>
            <w:vAlign w:val="bottom"/>
            <w:hideMark/>
          </w:tcPr>
          <w:p w14:paraId="54E88A72" w14:textId="77777777" w:rsidR="001806CD" w:rsidRPr="00CE716A" w:rsidRDefault="001806CD" w:rsidP="001806CD">
            <w:pPr>
              <w:spacing w:line="240" w:lineRule="auto"/>
              <w:jc w:val="right"/>
              <w:rPr>
                <w:rFonts w:cs="Calibri"/>
                <w:b/>
                <w:bCs/>
                <w:color w:val="000000"/>
              </w:rPr>
            </w:pPr>
            <w:r w:rsidRPr="00CE716A">
              <w:rPr>
                <w:rFonts w:cs="Calibri"/>
                <w:b/>
                <w:bCs/>
                <w:color w:val="000000"/>
              </w:rPr>
              <w:t>5,9</w:t>
            </w:r>
          </w:p>
        </w:tc>
        <w:tc>
          <w:tcPr>
            <w:tcW w:w="1191" w:type="dxa"/>
            <w:tcBorders>
              <w:top w:val="single" w:sz="4" w:space="0" w:color="95B3D7"/>
              <w:left w:val="nil"/>
              <w:bottom w:val="nil"/>
              <w:right w:val="nil"/>
            </w:tcBorders>
            <w:shd w:val="clear" w:color="DCE6F1" w:fill="DCE6F1"/>
            <w:noWrap/>
            <w:vAlign w:val="bottom"/>
            <w:hideMark/>
          </w:tcPr>
          <w:p w14:paraId="7814185E" w14:textId="77777777" w:rsidR="001806CD" w:rsidRPr="00CE716A" w:rsidRDefault="001806CD" w:rsidP="001806CD">
            <w:pPr>
              <w:spacing w:line="240" w:lineRule="auto"/>
              <w:jc w:val="right"/>
              <w:rPr>
                <w:rFonts w:cs="Calibri"/>
                <w:b/>
                <w:bCs/>
                <w:color w:val="000000"/>
              </w:rPr>
            </w:pPr>
            <w:r w:rsidRPr="00CE716A">
              <w:rPr>
                <w:rFonts w:cs="Calibri"/>
                <w:b/>
                <w:bCs/>
                <w:color w:val="000000"/>
              </w:rPr>
              <w:t>25</w:t>
            </w:r>
          </w:p>
        </w:tc>
      </w:tr>
    </w:tbl>
    <w:p w14:paraId="7EF36198" w14:textId="77777777" w:rsidR="001806CD" w:rsidRDefault="001806CD" w:rsidP="001806CD"/>
    <w:p w14:paraId="59F3FD00" w14:textId="77777777" w:rsidR="001806CD" w:rsidRDefault="001806CD" w:rsidP="001806CD">
      <w:r>
        <w:t xml:space="preserve">Da die Datengrundlage sehr schwach ist (und im Falle der Birke für organische Standorte nicht existent), verglichen wir die Werte für Erle, Fichte und Kiefer mit denen von nicht-organischen Standorten, um zu sehen, ob es die erwarteten Abweichungen gibt. Die berechneten N-Gehalte für die betreffenden Baumtypen auf nicht-organischen Standorten gibt Tabelle 2. Anzahl entspricht hier der Anzahl der Proben insgesamt. Mittelwerte von </w:t>
      </w:r>
      <w:proofErr w:type="spellStart"/>
      <w:r>
        <w:t>Mehrfachbeprobungen</w:t>
      </w:r>
      <w:proofErr w:type="spellEnd"/>
      <w:r>
        <w:t xml:space="preserve"> pro Standort wurden nicht gebildet. </w:t>
      </w:r>
    </w:p>
    <w:p w14:paraId="003DE1B7" w14:textId="77777777" w:rsidR="001806CD" w:rsidRDefault="001806CD" w:rsidP="001806CD">
      <w:pPr>
        <w:pStyle w:val="Beschriftung"/>
      </w:pPr>
      <w:r>
        <w:t xml:space="preserve">Tabelle </w:t>
      </w:r>
      <w:r>
        <w:fldChar w:fldCharType="begin"/>
      </w:r>
      <w:r>
        <w:instrText xml:space="preserve"> SEQ Tabelle \* ARABIC </w:instrText>
      </w:r>
      <w:r>
        <w:fldChar w:fldCharType="separate"/>
      </w:r>
      <w:r>
        <w:t>2</w:t>
      </w:r>
      <w:r>
        <w:fldChar w:fldCharType="end"/>
      </w:r>
      <w:r>
        <w:t>:</w:t>
      </w:r>
      <w:r w:rsidRPr="00B42A04">
        <w:t xml:space="preserve"> </w:t>
      </w:r>
      <w:r>
        <w:t>Mittelwerte, Standardabweichung und Stichprobenzahl der Stickstoffgehalte in Blatt- und Nadelwerk von Birke, Erle, Fichte und Kiefer auf nicht-organischen Standorten</w:t>
      </w:r>
    </w:p>
    <w:tbl>
      <w:tblPr>
        <w:tblW w:w="7720" w:type="dxa"/>
        <w:tblCellMar>
          <w:left w:w="70" w:type="dxa"/>
          <w:right w:w="70" w:type="dxa"/>
        </w:tblCellMar>
        <w:tblLook w:val="04A0" w:firstRow="1" w:lastRow="0" w:firstColumn="1" w:lastColumn="0" w:noHBand="0" w:noVBand="1"/>
      </w:tblPr>
      <w:tblGrid>
        <w:gridCol w:w="2360"/>
        <w:gridCol w:w="3060"/>
        <w:gridCol w:w="1000"/>
        <w:gridCol w:w="1300"/>
      </w:tblGrid>
      <w:tr w:rsidR="001806CD" w:rsidRPr="001C7DF8" w14:paraId="30245283" w14:textId="77777777" w:rsidTr="001806CD">
        <w:trPr>
          <w:trHeight w:val="300"/>
        </w:trPr>
        <w:tc>
          <w:tcPr>
            <w:tcW w:w="2360" w:type="dxa"/>
            <w:tcBorders>
              <w:top w:val="nil"/>
              <w:left w:val="nil"/>
              <w:bottom w:val="single" w:sz="4" w:space="0" w:color="95B3D7"/>
              <w:right w:val="nil"/>
            </w:tcBorders>
            <w:shd w:val="clear" w:color="DCE6F1" w:fill="DCE6F1"/>
            <w:noWrap/>
            <w:vAlign w:val="bottom"/>
            <w:hideMark/>
          </w:tcPr>
          <w:p w14:paraId="6108CE7E" w14:textId="77777777" w:rsidR="001806CD" w:rsidRPr="001C7DF8" w:rsidRDefault="001806CD" w:rsidP="001806CD">
            <w:pPr>
              <w:spacing w:line="240" w:lineRule="auto"/>
              <w:rPr>
                <w:rFonts w:cs="Calibri"/>
                <w:b/>
                <w:bCs/>
                <w:color w:val="000000"/>
              </w:rPr>
            </w:pPr>
            <w:proofErr w:type="spellStart"/>
            <w:r w:rsidRPr="001C7DF8">
              <w:rPr>
                <w:rFonts w:cs="Calibri"/>
                <w:b/>
                <w:bCs/>
                <w:color w:val="000000"/>
              </w:rPr>
              <w:t>Baumtyp</w:t>
            </w:r>
            <w:proofErr w:type="spellEnd"/>
            <w:r w:rsidRPr="001C7DF8">
              <w:rPr>
                <w:rFonts w:cs="Calibri"/>
                <w:b/>
                <w:bCs/>
                <w:color w:val="000000"/>
              </w:rPr>
              <w:t xml:space="preserve"> nicht-Moor</w:t>
            </w:r>
          </w:p>
        </w:tc>
        <w:tc>
          <w:tcPr>
            <w:tcW w:w="3060" w:type="dxa"/>
            <w:tcBorders>
              <w:top w:val="nil"/>
              <w:left w:val="nil"/>
              <w:bottom w:val="single" w:sz="4" w:space="0" w:color="95B3D7"/>
              <w:right w:val="nil"/>
            </w:tcBorders>
            <w:shd w:val="clear" w:color="DCE6F1" w:fill="DCE6F1"/>
            <w:noWrap/>
            <w:vAlign w:val="bottom"/>
            <w:hideMark/>
          </w:tcPr>
          <w:p w14:paraId="29E6ADA4" w14:textId="77777777" w:rsidR="001806CD" w:rsidRPr="001C7DF8" w:rsidRDefault="001806CD" w:rsidP="001806CD">
            <w:pPr>
              <w:spacing w:line="240" w:lineRule="auto"/>
              <w:rPr>
                <w:rFonts w:cs="Calibri"/>
                <w:b/>
                <w:bCs/>
                <w:color w:val="000000"/>
              </w:rPr>
            </w:pPr>
            <w:r w:rsidRPr="001C7DF8">
              <w:rPr>
                <w:rFonts w:cs="Calibri"/>
                <w:b/>
                <w:bCs/>
                <w:color w:val="000000"/>
              </w:rPr>
              <w:t>Mittelwert von N-Gehalt [g/kg]</w:t>
            </w:r>
          </w:p>
        </w:tc>
        <w:tc>
          <w:tcPr>
            <w:tcW w:w="1000" w:type="dxa"/>
            <w:tcBorders>
              <w:top w:val="nil"/>
              <w:left w:val="nil"/>
              <w:bottom w:val="single" w:sz="4" w:space="0" w:color="95B3D7"/>
              <w:right w:val="nil"/>
            </w:tcBorders>
            <w:shd w:val="clear" w:color="DCE6F1" w:fill="DCE6F1"/>
            <w:noWrap/>
            <w:vAlign w:val="bottom"/>
            <w:hideMark/>
          </w:tcPr>
          <w:p w14:paraId="11A023BA" w14:textId="77777777" w:rsidR="001806CD" w:rsidRPr="001C7DF8" w:rsidRDefault="001806CD" w:rsidP="001806CD">
            <w:pPr>
              <w:spacing w:line="240" w:lineRule="auto"/>
              <w:rPr>
                <w:rFonts w:cs="Calibri"/>
                <w:b/>
                <w:bCs/>
                <w:color w:val="000000"/>
              </w:rPr>
            </w:pPr>
            <w:r w:rsidRPr="001C7DF8">
              <w:rPr>
                <w:rFonts w:cs="Calibri"/>
                <w:b/>
                <w:bCs/>
                <w:color w:val="000000"/>
              </w:rPr>
              <w:t xml:space="preserve">STABW </w:t>
            </w:r>
          </w:p>
        </w:tc>
        <w:tc>
          <w:tcPr>
            <w:tcW w:w="1300" w:type="dxa"/>
            <w:tcBorders>
              <w:top w:val="nil"/>
              <w:left w:val="nil"/>
              <w:bottom w:val="single" w:sz="4" w:space="0" w:color="95B3D7"/>
              <w:right w:val="nil"/>
            </w:tcBorders>
            <w:shd w:val="clear" w:color="DCE6F1" w:fill="DCE6F1"/>
            <w:noWrap/>
            <w:vAlign w:val="bottom"/>
            <w:hideMark/>
          </w:tcPr>
          <w:p w14:paraId="4787646C" w14:textId="77777777" w:rsidR="001806CD" w:rsidRPr="001C7DF8" w:rsidRDefault="001806CD" w:rsidP="001806CD">
            <w:pPr>
              <w:spacing w:line="240" w:lineRule="auto"/>
              <w:rPr>
                <w:rFonts w:cs="Calibri"/>
                <w:b/>
                <w:bCs/>
                <w:color w:val="000000"/>
              </w:rPr>
            </w:pPr>
            <w:r w:rsidRPr="001C7DF8">
              <w:rPr>
                <w:rFonts w:cs="Calibri"/>
                <w:b/>
                <w:bCs/>
                <w:color w:val="000000"/>
              </w:rPr>
              <w:t>Anzahl [N]</w:t>
            </w:r>
          </w:p>
        </w:tc>
      </w:tr>
      <w:tr w:rsidR="001806CD" w:rsidRPr="001C7DF8" w14:paraId="58F739EF" w14:textId="77777777" w:rsidTr="001806CD">
        <w:trPr>
          <w:trHeight w:val="300"/>
        </w:trPr>
        <w:tc>
          <w:tcPr>
            <w:tcW w:w="2360" w:type="dxa"/>
            <w:tcBorders>
              <w:top w:val="nil"/>
              <w:left w:val="nil"/>
              <w:bottom w:val="nil"/>
              <w:right w:val="nil"/>
            </w:tcBorders>
            <w:shd w:val="clear" w:color="auto" w:fill="auto"/>
            <w:noWrap/>
            <w:vAlign w:val="bottom"/>
            <w:hideMark/>
          </w:tcPr>
          <w:p w14:paraId="7C7E25CE" w14:textId="77777777" w:rsidR="001806CD" w:rsidRPr="001C7DF8" w:rsidRDefault="001806CD" w:rsidP="001806CD">
            <w:pPr>
              <w:spacing w:line="240" w:lineRule="auto"/>
              <w:rPr>
                <w:rFonts w:cs="Calibri"/>
                <w:color w:val="000000"/>
              </w:rPr>
            </w:pPr>
            <w:r w:rsidRPr="001C7DF8">
              <w:rPr>
                <w:rFonts w:cs="Calibri"/>
                <w:color w:val="000000"/>
              </w:rPr>
              <w:t>Birke</w:t>
            </w:r>
          </w:p>
        </w:tc>
        <w:tc>
          <w:tcPr>
            <w:tcW w:w="3060" w:type="dxa"/>
            <w:tcBorders>
              <w:top w:val="nil"/>
              <w:left w:val="nil"/>
              <w:bottom w:val="nil"/>
              <w:right w:val="nil"/>
            </w:tcBorders>
            <w:shd w:val="clear" w:color="auto" w:fill="auto"/>
            <w:noWrap/>
            <w:vAlign w:val="bottom"/>
            <w:hideMark/>
          </w:tcPr>
          <w:p w14:paraId="0E7D5536" w14:textId="77777777" w:rsidR="001806CD" w:rsidRPr="001C7DF8" w:rsidRDefault="001806CD" w:rsidP="001806CD">
            <w:pPr>
              <w:spacing w:line="240" w:lineRule="auto"/>
              <w:jc w:val="right"/>
              <w:rPr>
                <w:rFonts w:cs="Calibri"/>
                <w:color w:val="000000"/>
              </w:rPr>
            </w:pPr>
            <w:r w:rsidRPr="001C7DF8">
              <w:rPr>
                <w:rFonts w:cs="Calibri"/>
                <w:color w:val="000000"/>
              </w:rPr>
              <w:t>28,0</w:t>
            </w:r>
          </w:p>
        </w:tc>
        <w:tc>
          <w:tcPr>
            <w:tcW w:w="1000" w:type="dxa"/>
            <w:tcBorders>
              <w:top w:val="nil"/>
              <w:left w:val="nil"/>
              <w:bottom w:val="nil"/>
              <w:right w:val="nil"/>
            </w:tcBorders>
            <w:shd w:val="clear" w:color="auto" w:fill="auto"/>
            <w:noWrap/>
            <w:vAlign w:val="bottom"/>
            <w:hideMark/>
          </w:tcPr>
          <w:p w14:paraId="793AB861" w14:textId="77777777" w:rsidR="001806CD" w:rsidRPr="001C7DF8" w:rsidRDefault="001806CD" w:rsidP="001806CD">
            <w:pPr>
              <w:spacing w:line="240" w:lineRule="auto"/>
              <w:jc w:val="right"/>
              <w:rPr>
                <w:rFonts w:cs="Calibri"/>
                <w:color w:val="000000"/>
              </w:rPr>
            </w:pPr>
            <w:r w:rsidRPr="001C7DF8">
              <w:rPr>
                <w:rFonts w:cs="Calibri"/>
                <w:color w:val="000000"/>
              </w:rPr>
              <w:t>2,8</w:t>
            </w:r>
          </w:p>
        </w:tc>
        <w:tc>
          <w:tcPr>
            <w:tcW w:w="1300" w:type="dxa"/>
            <w:tcBorders>
              <w:top w:val="nil"/>
              <w:left w:val="nil"/>
              <w:bottom w:val="nil"/>
              <w:right w:val="nil"/>
            </w:tcBorders>
            <w:shd w:val="clear" w:color="auto" w:fill="auto"/>
            <w:noWrap/>
            <w:vAlign w:val="bottom"/>
            <w:hideMark/>
          </w:tcPr>
          <w:p w14:paraId="5CC0512E" w14:textId="77777777" w:rsidR="001806CD" w:rsidRPr="001C7DF8" w:rsidRDefault="001806CD" w:rsidP="001806CD">
            <w:pPr>
              <w:spacing w:line="240" w:lineRule="auto"/>
              <w:jc w:val="right"/>
              <w:rPr>
                <w:rFonts w:cs="Calibri"/>
                <w:color w:val="000000"/>
              </w:rPr>
            </w:pPr>
            <w:r w:rsidRPr="001C7DF8">
              <w:rPr>
                <w:rFonts w:cs="Calibri"/>
                <w:color w:val="000000"/>
              </w:rPr>
              <w:t>26</w:t>
            </w:r>
          </w:p>
        </w:tc>
      </w:tr>
      <w:tr w:rsidR="001806CD" w:rsidRPr="001C7DF8" w14:paraId="71B30093" w14:textId="77777777" w:rsidTr="001806CD">
        <w:trPr>
          <w:trHeight w:val="300"/>
        </w:trPr>
        <w:tc>
          <w:tcPr>
            <w:tcW w:w="2360" w:type="dxa"/>
            <w:tcBorders>
              <w:top w:val="nil"/>
              <w:left w:val="nil"/>
              <w:bottom w:val="nil"/>
              <w:right w:val="nil"/>
            </w:tcBorders>
            <w:shd w:val="clear" w:color="auto" w:fill="auto"/>
            <w:noWrap/>
            <w:vAlign w:val="bottom"/>
            <w:hideMark/>
          </w:tcPr>
          <w:p w14:paraId="1F767911" w14:textId="77777777" w:rsidR="001806CD" w:rsidRPr="001C7DF8" w:rsidRDefault="001806CD" w:rsidP="001806CD">
            <w:pPr>
              <w:spacing w:line="240" w:lineRule="auto"/>
              <w:rPr>
                <w:rFonts w:cs="Calibri"/>
                <w:color w:val="000000"/>
              </w:rPr>
            </w:pPr>
            <w:r w:rsidRPr="001C7DF8">
              <w:rPr>
                <w:rFonts w:cs="Calibri"/>
                <w:color w:val="000000"/>
              </w:rPr>
              <w:t>Erle</w:t>
            </w:r>
          </w:p>
        </w:tc>
        <w:tc>
          <w:tcPr>
            <w:tcW w:w="3060" w:type="dxa"/>
            <w:tcBorders>
              <w:top w:val="nil"/>
              <w:left w:val="nil"/>
              <w:bottom w:val="nil"/>
              <w:right w:val="nil"/>
            </w:tcBorders>
            <w:shd w:val="clear" w:color="auto" w:fill="auto"/>
            <w:noWrap/>
            <w:vAlign w:val="bottom"/>
            <w:hideMark/>
          </w:tcPr>
          <w:p w14:paraId="1F0F4297" w14:textId="77777777" w:rsidR="001806CD" w:rsidRPr="001C7DF8" w:rsidRDefault="001806CD" w:rsidP="001806CD">
            <w:pPr>
              <w:spacing w:line="240" w:lineRule="auto"/>
              <w:jc w:val="right"/>
              <w:rPr>
                <w:rFonts w:cs="Calibri"/>
                <w:color w:val="000000"/>
              </w:rPr>
            </w:pPr>
            <w:r w:rsidRPr="001C7DF8">
              <w:rPr>
                <w:rFonts w:cs="Calibri"/>
                <w:color w:val="000000"/>
              </w:rPr>
              <w:t>27,0</w:t>
            </w:r>
          </w:p>
        </w:tc>
        <w:tc>
          <w:tcPr>
            <w:tcW w:w="1000" w:type="dxa"/>
            <w:tcBorders>
              <w:top w:val="nil"/>
              <w:left w:val="nil"/>
              <w:bottom w:val="nil"/>
              <w:right w:val="nil"/>
            </w:tcBorders>
            <w:shd w:val="clear" w:color="auto" w:fill="auto"/>
            <w:noWrap/>
            <w:vAlign w:val="bottom"/>
            <w:hideMark/>
          </w:tcPr>
          <w:p w14:paraId="277A6449" w14:textId="77777777" w:rsidR="001806CD" w:rsidRPr="001C7DF8" w:rsidRDefault="001806CD" w:rsidP="001806CD">
            <w:pPr>
              <w:spacing w:line="240" w:lineRule="auto"/>
              <w:jc w:val="right"/>
              <w:rPr>
                <w:rFonts w:cs="Calibri"/>
                <w:color w:val="000000"/>
              </w:rPr>
            </w:pPr>
            <w:r w:rsidRPr="001C7DF8">
              <w:rPr>
                <w:rFonts w:cs="Calibri"/>
                <w:color w:val="000000"/>
              </w:rPr>
              <w:t>2,7</w:t>
            </w:r>
          </w:p>
        </w:tc>
        <w:tc>
          <w:tcPr>
            <w:tcW w:w="1300" w:type="dxa"/>
            <w:tcBorders>
              <w:top w:val="nil"/>
              <w:left w:val="nil"/>
              <w:bottom w:val="nil"/>
              <w:right w:val="nil"/>
            </w:tcBorders>
            <w:shd w:val="clear" w:color="auto" w:fill="auto"/>
            <w:noWrap/>
            <w:vAlign w:val="bottom"/>
            <w:hideMark/>
          </w:tcPr>
          <w:p w14:paraId="1D661EA9" w14:textId="77777777" w:rsidR="001806CD" w:rsidRPr="001C7DF8" w:rsidRDefault="001806CD" w:rsidP="001806CD">
            <w:pPr>
              <w:spacing w:line="240" w:lineRule="auto"/>
              <w:jc w:val="right"/>
              <w:rPr>
                <w:rFonts w:cs="Calibri"/>
                <w:color w:val="000000"/>
              </w:rPr>
            </w:pPr>
            <w:r w:rsidRPr="001C7DF8">
              <w:rPr>
                <w:rFonts w:cs="Calibri"/>
                <w:color w:val="000000"/>
              </w:rPr>
              <w:t>18</w:t>
            </w:r>
          </w:p>
        </w:tc>
      </w:tr>
      <w:tr w:rsidR="001806CD" w:rsidRPr="001C7DF8" w14:paraId="772879F0" w14:textId="77777777" w:rsidTr="001806CD">
        <w:trPr>
          <w:trHeight w:val="300"/>
        </w:trPr>
        <w:tc>
          <w:tcPr>
            <w:tcW w:w="2360" w:type="dxa"/>
            <w:tcBorders>
              <w:top w:val="nil"/>
              <w:left w:val="nil"/>
              <w:bottom w:val="nil"/>
              <w:right w:val="nil"/>
            </w:tcBorders>
            <w:shd w:val="clear" w:color="auto" w:fill="auto"/>
            <w:noWrap/>
            <w:vAlign w:val="bottom"/>
            <w:hideMark/>
          </w:tcPr>
          <w:p w14:paraId="7B29F6AB" w14:textId="77777777" w:rsidR="001806CD" w:rsidRPr="001C7DF8" w:rsidRDefault="001806CD" w:rsidP="001806CD">
            <w:pPr>
              <w:spacing w:line="240" w:lineRule="auto"/>
              <w:rPr>
                <w:rFonts w:cs="Calibri"/>
                <w:color w:val="000000"/>
              </w:rPr>
            </w:pPr>
            <w:proofErr w:type="spellStart"/>
            <w:r w:rsidRPr="001C7DF8">
              <w:rPr>
                <w:rFonts w:cs="Calibri"/>
                <w:color w:val="000000"/>
              </w:rPr>
              <w:t>Gewoehnliche</w:t>
            </w:r>
            <w:proofErr w:type="spellEnd"/>
            <w:r w:rsidRPr="001C7DF8">
              <w:rPr>
                <w:rFonts w:cs="Calibri"/>
                <w:color w:val="000000"/>
              </w:rPr>
              <w:t xml:space="preserve"> Fichte</w:t>
            </w:r>
          </w:p>
        </w:tc>
        <w:tc>
          <w:tcPr>
            <w:tcW w:w="3060" w:type="dxa"/>
            <w:tcBorders>
              <w:top w:val="nil"/>
              <w:left w:val="nil"/>
              <w:bottom w:val="nil"/>
              <w:right w:val="nil"/>
            </w:tcBorders>
            <w:shd w:val="clear" w:color="auto" w:fill="auto"/>
            <w:noWrap/>
            <w:vAlign w:val="bottom"/>
            <w:hideMark/>
          </w:tcPr>
          <w:p w14:paraId="13E8F449" w14:textId="77777777" w:rsidR="001806CD" w:rsidRPr="001C7DF8" w:rsidRDefault="001806CD" w:rsidP="001806CD">
            <w:pPr>
              <w:spacing w:line="240" w:lineRule="auto"/>
              <w:jc w:val="right"/>
              <w:rPr>
                <w:rFonts w:cs="Calibri"/>
                <w:color w:val="000000"/>
              </w:rPr>
            </w:pPr>
            <w:r w:rsidRPr="001C7DF8">
              <w:rPr>
                <w:rFonts w:cs="Calibri"/>
                <w:color w:val="000000"/>
              </w:rPr>
              <w:t>14,1</w:t>
            </w:r>
          </w:p>
        </w:tc>
        <w:tc>
          <w:tcPr>
            <w:tcW w:w="1000" w:type="dxa"/>
            <w:tcBorders>
              <w:top w:val="nil"/>
              <w:left w:val="nil"/>
              <w:bottom w:val="nil"/>
              <w:right w:val="nil"/>
            </w:tcBorders>
            <w:shd w:val="clear" w:color="auto" w:fill="auto"/>
            <w:noWrap/>
            <w:vAlign w:val="bottom"/>
            <w:hideMark/>
          </w:tcPr>
          <w:p w14:paraId="6AF0593A" w14:textId="77777777" w:rsidR="001806CD" w:rsidRPr="001C7DF8" w:rsidRDefault="001806CD" w:rsidP="001806CD">
            <w:pPr>
              <w:spacing w:line="240" w:lineRule="auto"/>
              <w:jc w:val="right"/>
              <w:rPr>
                <w:rFonts w:cs="Calibri"/>
                <w:color w:val="000000"/>
              </w:rPr>
            </w:pPr>
            <w:r w:rsidRPr="001C7DF8">
              <w:rPr>
                <w:rFonts w:cs="Calibri"/>
                <w:color w:val="000000"/>
              </w:rPr>
              <w:t>2,4</w:t>
            </w:r>
          </w:p>
        </w:tc>
        <w:tc>
          <w:tcPr>
            <w:tcW w:w="1300" w:type="dxa"/>
            <w:tcBorders>
              <w:top w:val="nil"/>
              <w:left w:val="nil"/>
              <w:bottom w:val="nil"/>
              <w:right w:val="nil"/>
            </w:tcBorders>
            <w:shd w:val="clear" w:color="auto" w:fill="auto"/>
            <w:noWrap/>
            <w:vAlign w:val="bottom"/>
            <w:hideMark/>
          </w:tcPr>
          <w:p w14:paraId="219BF591" w14:textId="77777777" w:rsidR="001806CD" w:rsidRPr="001C7DF8" w:rsidRDefault="001806CD" w:rsidP="001806CD">
            <w:pPr>
              <w:spacing w:line="240" w:lineRule="auto"/>
              <w:jc w:val="right"/>
              <w:rPr>
                <w:rFonts w:cs="Calibri"/>
                <w:color w:val="000000"/>
              </w:rPr>
            </w:pPr>
            <w:r w:rsidRPr="001C7DF8">
              <w:rPr>
                <w:rFonts w:cs="Calibri"/>
                <w:color w:val="000000"/>
              </w:rPr>
              <w:t>3150</w:t>
            </w:r>
          </w:p>
        </w:tc>
      </w:tr>
      <w:tr w:rsidR="001806CD" w:rsidRPr="001C7DF8" w14:paraId="131182CA" w14:textId="77777777" w:rsidTr="001806CD">
        <w:trPr>
          <w:trHeight w:val="300"/>
        </w:trPr>
        <w:tc>
          <w:tcPr>
            <w:tcW w:w="2360" w:type="dxa"/>
            <w:tcBorders>
              <w:top w:val="nil"/>
              <w:left w:val="nil"/>
              <w:bottom w:val="nil"/>
              <w:right w:val="nil"/>
            </w:tcBorders>
            <w:shd w:val="clear" w:color="auto" w:fill="auto"/>
            <w:noWrap/>
            <w:vAlign w:val="bottom"/>
            <w:hideMark/>
          </w:tcPr>
          <w:p w14:paraId="66DAEA37" w14:textId="77777777" w:rsidR="001806CD" w:rsidRPr="001C7DF8" w:rsidRDefault="001806CD" w:rsidP="001806CD">
            <w:pPr>
              <w:spacing w:line="240" w:lineRule="auto"/>
              <w:rPr>
                <w:rFonts w:cs="Calibri"/>
                <w:color w:val="000000"/>
              </w:rPr>
            </w:pPr>
            <w:proofErr w:type="spellStart"/>
            <w:r w:rsidRPr="001C7DF8">
              <w:rPr>
                <w:rFonts w:cs="Calibri"/>
                <w:color w:val="000000"/>
              </w:rPr>
              <w:t>Gewoehnliche</w:t>
            </w:r>
            <w:proofErr w:type="spellEnd"/>
            <w:r w:rsidRPr="001C7DF8">
              <w:rPr>
                <w:rFonts w:cs="Calibri"/>
                <w:color w:val="000000"/>
              </w:rPr>
              <w:t xml:space="preserve"> Kiefer</w:t>
            </w:r>
          </w:p>
        </w:tc>
        <w:tc>
          <w:tcPr>
            <w:tcW w:w="3060" w:type="dxa"/>
            <w:tcBorders>
              <w:top w:val="nil"/>
              <w:left w:val="nil"/>
              <w:bottom w:val="nil"/>
              <w:right w:val="nil"/>
            </w:tcBorders>
            <w:shd w:val="clear" w:color="auto" w:fill="auto"/>
            <w:noWrap/>
            <w:vAlign w:val="bottom"/>
            <w:hideMark/>
          </w:tcPr>
          <w:p w14:paraId="77582DE6" w14:textId="77777777" w:rsidR="001806CD" w:rsidRPr="001C7DF8" w:rsidRDefault="001806CD" w:rsidP="001806CD">
            <w:pPr>
              <w:spacing w:line="240" w:lineRule="auto"/>
              <w:jc w:val="right"/>
              <w:rPr>
                <w:rFonts w:cs="Calibri"/>
                <w:color w:val="000000"/>
              </w:rPr>
            </w:pPr>
            <w:r w:rsidRPr="001C7DF8">
              <w:rPr>
                <w:rFonts w:cs="Calibri"/>
                <w:color w:val="000000"/>
              </w:rPr>
              <w:t>17,1</w:t>
            </w:r>
          </w:p>
        </w:tc>
        <w:tc>
          <w:tcPr>
            <w:tcW w:w="1000" w:type="dxa"/>
            <w:tcBorders>
              <w:top w:val="nil"/>
              <w:left w:val="nil"/>
              <w:bottom w:val="nil"/>
              <w:right w:val="nil"/>
            </w:tcBorders>
            <w:shd w:val="clear" w:color="auto" w:fill="auto"/>
            <w:noWrap/>
            <w:vAlign w:val="bottom"/>
            <w:hideMark/>
          </w:tcPr>
          <w:p w14:paraId="0CE5BC4E" w14:textId="77777777" w:rsidR="001806CD" w:rsidRPr="001C7DF8" w:rsidRDefault="001806CD" w:rsidP="001806CD">
            <w:pPr>
              <w:spacing w:line="240" w:lineRule="auto"/>
              <w:jc w:val="right"/>
              <w:rPr>
                <w:rFonts w:cs="Calibri"/>
                <w:color w:val="000000"/>
              </w:rPr>
            </w:pPr>
            <w:r w:rsidRPr="001C7DF8">
              <w:rPr>
                <w:rFonts w:cs="Calibri"/>
                <w:color w:val="000000"/>
              </w:rPr>
              <w:t>2,5</w:t>
            </w:r>
          </w:p>
        </w:tc>
        <w:tc>
          <w:tcPr>
            <w:tcW w:w="1300" w:type="dxa"/>
            <w:tcBorders>
              <w:top w:val="nil"/>
              <w:left w:val="nil"/>
              <w:bottom w:val="nil"/>
              <w:right w:val="nil"/>
            </w:tcBorders>
            <w:shd w:val="clear" w:color="auto" w:fill="auto"/>
            <w:noWrap/>
            <w:vAlign w:val="bottom"/>
            <w:hideMark/>
          </w:tcPr>
          <w:p w14:paraId="6475B79A" w14:textId="77777777" w:rsidR="001806CD" w:rsidRPr="001C7DF8" w:rsidRDefault="001806CD" w:rsidP="001806CD">
            <w:pPr>
              <w:spacing w:line="240" w:lineRule="auto"/>
              <w:jc w:val="right"/>
              <w:rPr>
                <w:rFonts w:cs="Calibri"/>
                <w:color w:val="000000"/>
              </w:rPr>
            </w:pPr>
            <w:r w:rsidRPr="001C7DF8">
              <w:rPr>
                <w:rFonts w:cs="Calibri"/>
                <w:color w:val="000000"/>
              </w:rPr>
              <w:t>1762</w:t>
            </w:r>
          </w:p>
        </w:tc>
      </w:tr>
      <w:tr w:rsidR="001806CD" w:rsidRPr="001C7DF8" w14:paraId="31A8439F" w14:textId="77777777" w:rsidTr="001806CD">
        <w:trPr>
          <w:trHeight w:val="300"/>
        </w:trPr>
        <w:tc>
          <w:tcPr>
            <w:tcW w:w="2360" w:type="dxa"/>
            <w:tcBorders>
              <w:top w:val="single" w:sz="4" w:space="0" w:color="95B3D7"/>
              <w:left w:val="nil"/>
              <w:bottom w:val="nil"/>
              <w:right w:val="nil"/>
            </w:tcBorders>
            <w:shd w:val="clear" w:color="DCE6F1" w:fill="DCE6F1"/>
            <w:noWrap/>
            <w:vAlign w:val="bottom"/>
            <w:hideMark/>
          </w:tcPr>
          <w:p w14:paraId="21D32BD1" w14:textId="77777777" w:rsidR="001806CD" w:rsidRPr="001C7DF8" w:rsidRDefault="001806CD" w:rsidP="001806CD">
            <w:pPr>
              <w:spacing w:line="240" w:lineRule="auto"/>
              <w:rPr>
                <w:rFonts w:cs="Calibri"/>
                <w:b/>
                <w:bCs/>
                <w:color w:val="000000"/>
              </w:rPr>
            </w:pPr>
            <w:r w:rsidRPr="001C7DF8">
              <w:rPr>
                <w:rFonts w:cs="Calibri"/>
                <w:b/>
                <w:bCs/>
                <w:color w:val="000000"/>
              </w:rPr>
              <w:t>Gesamtergebnis</w:t>
            </w:r>
          </w:p>
        </w:tc>
        <w:tc>
          <w:tcPr>
            <w:tcW w:w="3060" w:type="dxa"/>
            <w:tcBorders>
              <w:top w:val="single" w:sz="4" w:space="0" w:color="95B3D7"/>
              <w:left w:val="nil"/>
              <w:bottom w:val="nil"/>
              <w:right w:val="nil"/>
            </w:tcBorders>
            <w:shd w:val="clear" w:color="DCE6F1" w:fill="DCE6F1"/>
            <w:noWrap/>
            <w:vAlign w:val="bottom"/>
            <w:hideMark/>
          </w:tcPr>
          <w:p w14:paraId="3D44BFC0" w14:textId="77777777" w:rsidR="001806CD" w:rsidRPr="001C7DF8" w:rsidRDefault="001806CD" w:rsidP="001806CD">
            <w:pPr>
              <w:spacing w:line="240" w:lineRule="auto"/>
              <w:jc w:val="right"/>
              <w:rPr>
                <w:rFonts w:cs="Calibri"/>
                <w:b/>
                <w:bCs/>
                <w:color w:val="000000"/>
              </w:rPr>
            </w:pPr>
            <w:r w:rsidRPr="001C7DF8">
              <w:rPr>
                <w:rFonts w:cs="Calibri"/>
                <w:b/>
                <w:bCs/>
                <w:color w:val="000000"/>
              </w:rPr>
              <w:t>15,3</w:t>
            </w:r>
          </w:p>
        </w:tc>
        <w:tc>
          <w:tcPr>
            <w:tcW w:w="1000" w:type="dxa"/>
            <w:tcBorders>
              <w:top w:val="single" w:sz="4" w:space="0" w:color="95B3D7"/>
              <w:left w:val="nil"/>
              <w:bottom w:val="nil"/>
              <w:right w:val="nil"/>
            </w:tcBorders>
            <w:shd w:val="clear" w:color="DCE6F1" w:fill="DCE6F1"/>
            <w:noWrap/>
            <w:vAlign w:val="bottom"/>
            <w:hideMark/>
          </w:tcPr>
          <w:p w14:paraId="117D05E4" w14:textId="77777777" w:rsidR="001806CD" w:rsidRPr="001C7DF8" w:rsidRDefault="001806CD" w:rsidP="001806CD">
            <w:pPr>
              <w:spacing w:line="240" w:lineRule="auto"/>
              <w:jc w:val="right"/>
              <w:rPr>
                <w:rFonts w:cs="Calibri"/>
                <w:b/>
                <w:bCs/>
                <w:color w:val="000000"/>
              </w:rPr>
            </w:pPr>
            <w:r w:rsidRPr="001C7DF8">
              <w:rPr>
                <w:rFonts w:cs="Calibri"/>
                <w:b/>
                <w:bCs/>
                <w:color w:val="000000"/>
              </w:rPr>
              <w:t>3,0</w:t>
            </w:r>
          </w:p>
        </w:tc>
        <w:tc>
          <w:tcPr>
            <w:tcW w:w="1300" w:type="dxa"/>
            <w:tcBorders>
              <w:top w:val="single" w:sz="4" w:space="0" w:color="95B3D7"/>
              <w:left w:val="nil"/>
              <w:bottom w:val="nil"/>
              <w:right w:val="nil"/>
            </w:tcBorders>
            <w:shd w:val="clear" w:color="DCE6F1" w:fill="DCE6F1"/>
            <w:noWrap/>
            <w:vAlign w:val="bottom"/>
            <w:hideMark/>
          </w:tcPr>
          <w:p w14:paraId="0457A6D7" w14:textId="77777777" w:rsidR="001806CD" w:rsidRPr="001C7DF8" w:rsidRDefault="001806CD" w:rsidP="001806CD">
            <w:pPr>
              <w:spacing w:line="240" w:lineRule="auto"/>
              <w:jc w:val="right"/>
              <w:rPr>
                <w:rFonts w:cs="Calibri"/>
                <w:b/>
                <w:bCs/>
                <w:color w:val="000000"/>
              </w:rPr>
            </w:pPr>
            <w:r w:rsidRPr="001C7DF8">
              <w:rPr>
                <w:rFonts w:cs="Calibri"/>
                <w:b/>
                <w:bCs/>
                <w:color w:val="000000"/>
              </w:rPr>
              <w:t>4956</w:t>
            </w:r>
          </w:p>
        </w:tc>
      </w:tr>
    </w:tbl>
    <w:p w14:paraId="1F370979" w14:textId="77777777" w:rsidR="001806CD" w:rsidRDefault="001806CD" w:rsidP="001806CD"/>
    <w:p w14:paraId="1D733137" w14:textId="77777777" w:rsidR="001806CD" w:rsidRPr="003F76B6" w:rsidRDefault="001806CD" w:rsidP="001806CD">
      <w:r>
        <w:t xml:space="preserve">Sowohl, die N-Gehalte von Erlen, also auch von Fichten und Kiefern weichen auf organischen Standorten nicht signifikant von denen auf nicht-organischen Standorten ab. Daraus leiten wir die generelle Annahme ab, </w:t>
      </w:r>
      <w:r w:rsidRPr="001C7DF8">
        <w:rPr>
          <w:u w:val="single"/>
        </w:rPr>
        <w:t xml:space="preserve">dass sich </w:t>
      </w:r>
      <w:r>
        <w:rPr>
          <w:u w:val="single"/>
        </w:rPr>
        <w:t xml:space="preserve">die Stickstoffgehalte in Nadeln und Blättern von Bäumen auf </w:t>
      </w:r>
      <w:r w:rsidRPr="001C7DF8">
        <w:rPr>
          <w:u w:val="single"/>
        </w:rPr>
        <w:t>organische</w:t>
      </w:r>
      <w:r>
        <w:rPr>
          <w:u w:val="single"/>
        </w:rPr>
        <w:t>n</w:t>
      </w:r>
      <w:r w:rsidRPr="001C7DF8">
        <w:rPr>
          <w:u w:val="single"/>
        </w:rPr>
        <w:t xml:space="preserve"> und nicht-organischen Standorte</w:t>
      </w:r>
      <w:r>
        <w:rPr>
          <w:u w:val="single"/>
        </w:rPr>
        <w:t>n</w:t>
      </w:r>
      <w:r w:rsidRPr="001C7DF8">
        <w:rPr>
          <w:u w:val="single"/>
        </w:rPr>
        <w:t xml:space="preserve"> </w:t>
      </w:r>
      <w:r w:rsidRPr="00A9664D">
        <w:rPr>
          <w:b/>
          <w:u w:val="single"/>
        </w:rPr>
        <w:t>nicht</w:t>
      </w:r>
      <w:r w:rsidRPr="001C7DF8">
        <w:rPr>
          <w:u w:val="single"/>
        </w:rPr>
        <w:t xml:space="preserve"> unterscheiden</w:t>
      </w:r>
      <w:r>
        <w:rPr>
          <w:u w:val="single"/>
        </w:rPr>
        <w:t xml:space="preserve">. </w:t>
      </w:r>
      <w:r w:rsidRPr="00A9664D">
        <w:t xml:space="preserve">Somit können </w:t>
      </w:r>
      <w:r>
        <w:t>wir für alle Baumtypen (inkl. Birke) für weitere Berechnungen auf die Mittelwerte aller BZE-Standorte zurückgreifen.</w:t>
      </w:r>
    </w:p>
    <w:p w14:paraId="5AB9BF56" w14:textId="77777777" w:rsidR="001806CD" w:rsidRPr="00E33A6F" w:rsidRDefault="001806CD" w:rsidP="004E200E">
      <w:pPr>
        <w:spacing w:before="100" w:beforeAutospacing="1" w:line="240" w:lineRule="auto"/>
        <w:rPr>
          <w:rFonts w:asciiTheme="minorHAnsi" w:hAnsiTheme="minorHAnsi" w:cstheme="minorHAnsi"/>
        </w:rPr>
      </w:pPr>
    </w:p>
    <w:p w14:paraId="655CB1D2" w14:textId="77777777" w:rsidR="004E200E" w:rsidRPr="00E33A6F" w:rsidRDefault="004E200E" w:rsidP="004E200E">
      <w:pPr>
        <w:pStyle w:val="berschrift5"/>
        <w:numPr>
          <w:ilvl w:val="4"/>
          <w:numId w:val="1"/>
        </w:numPr>
        <w:rPr>
          <w:rFonts w:asciiTheme="minorHAnsi" w:hAnsiTheme="minorHAnsi" w:cstheme="minorHAnsi"/>
        </w:rPr>
      </w:pPr>
      <w:r w:rsidRPr="00E33A6F">
        <w:rPr>
          <w:rFonts w:asciiTheme="minorHAnsi" w:hAnsiTheme="minorHAnsi" w:cstheme="minorHAnsi"/>
        </w:rPr>
        <w:lastRenderedPageBreak/>
        <w:t xml:space="preserve">unterirdische Biomasse </w:t>
      </w:r>
    </w:p>
    <w:p w14:paraId="301EA25A" w14:textId="77777777" w:rsidR="004E200E" w:rsidRPr="00E33A6F" w:rsidRDefault="004E200E" w:rsidP="004E200E">
      <w:pPr>
        <w:rPr>
          <w:rFonts w:asciiTheme="minorHAnsi" w:hAnsiTheme="minorHAnsi" w:cstheme="minorHAnsi"/>
        </w:rPr>
      </w:pPr>
      <w:r w:rsidRPr="00E33A6F">
        <w:rPr>
          <w:rFonts w:asciiTheme="minorHAnsi" w:hAnsiTheme="minorHAnsi" w:cstheme="minorHAnsi"/>
        </w:rPr>
        <w:t>Hierfür wurden, wie in „Kohlenstoff- und Nährelementspeicherung von Waldflächen des forstlichen Umweltmonitorings (BZE) in Rheinland-Pfalz“ (</w:t>
      </w:r>
      <w:proofErr w:type="spellStart"/>
      <w:r w:rsidRPr="00E33A6F">
        <w:rPr>
          <w:rFonts w:asciiTheme="minorHAnsi" w:hAnsiTheme="minorHAnsi" w:cstheme="minorHAnsi"/>
        </w:rPr>
        <w:t>Thuenen</w:t>
      </w:r>
      <w:proofErr w:type="spellEnd"/>
      <w:r w:rsidRPr="00E33A6F">
        <w:rPr>
          <w:rFonts w:asciiTheme="minorHAnsi" w:hAnsiTheme="minorHAnsi" w:cstheme="minorHAnsi"/>
        </w:rPr>
        <w:t xml:space="preserve"> Report 2016, Nicole Wellbrock, Judith Bielefeldt, Nadine </w:t>
      </w:r>
      <w:proofErr w:type="spellStart"/>
      <w:r w:rsidRPr="00E33A6F">
        <w:rPr>
          <w:rFonts w:asciiTheme="minorHAnsi" w:hAnsiTheme="minorHAnsi" w:cstheme="minorHAnsi"/>
        </w:rPr>
        <w:t>Eickenscheidt</w:t>
      </w:r>
      <w:proofErr w:type="spellEnd"/>
      <w:r w:rsidRPr="00E33A6F">
        <w:rPr>
          <w:rFonts w:asciiTheme="minorHAnsi" w:hAnsiTheme="minorHAnsi" w:cstheme="minorHAnsi"/>
        </w:rPr>
        <w:t xml:space="preserve">, Andreas Bolte, Barbara Wolff, Joachim Block, Hans Werner Schröck, Julius Schuck, Ralf Moshammer) mittels der Mittelwerte der Stickstoffgehalte im Biomasse-Kompartiment Grobwurzeln berechnet. </w:t>
      </w:r>
    </w:p>
    <w:p w14:paraId="2247211A" w14:textId="77777777" w:rsidR="004E200E" w:rsidRPr="00E33A6F" w:rsidRDefault="004E200E" w:rsidP="004E200E">
      <w:pPr>
        <w:rPr>
          <w:rFonts w:asciiTheme="minorHAnsi" w:hAnsiTheme="minorHAnsi" w:cstheme="minorHAnsi"/>
        </w:rPr>
      </w:pPr>
      <w:r w:rsidRPr="00E33A6F">
        <w:rPr>
          <w:rFonts w:asciiTheme="minorHAnsi" w:hAnsiTheme="minorHAnsi" w:cstheme="minorHAnsi"/>
        </w:rPr>
        <w:t>Da die Artengruppen in Jacobsen et al. 2002 nicht mit denen aus Rumpf et al. 2018 oder anderen bereits erstellten Artengruppen übereinstimmen, musste für die Berechnung der unterirdischen Stickstoffgehalte zunächst eine Gruppierung der Arten vorgenommen werden, damit die richtigen Stickstoffgehalte angewendet werden. Hierbei wurde sich an der Artengruppierung der BWI orientiert:</w:t>
      </w:r>
    </w:p>
    <w:p w14:paraId="1DCDA416" w14:textId="77777777" w:rsidR="004E200E" w:rsidRPr="00687919" w:rsidRDefault="004E200E" w:rsidP="0025622B">
      <w:pPr>
        <w:pStyle w:val="Liste-1"/>
      </w:pPr>
      <w:r w:rsidRPr="00687919">
        <w:t>Eiche: alle Eichenarten (einschließlich Rot-Eiche) wurden der Artengruppe Eiche (EI) zugeordnet</w:t>
      </w:r>
    </w:p>
    <w:p w14:paraId="751C97F6" w14:textId="77777777" w:rsidR="004E200E" w:rsidRPr="00A107F6" w:rsidRDefault="004E200E" w:rsidP="0025622B">
      <w:pPr>
        <w:pStyle w:val="Liste-1"/>
      </w:pPr>
      <w:proofErr w:type="gramStart"/>
      <w:r w:rsidRPr="00687919">
        <w:t>Buche,  und</w:t>
      </w:r>
      <w:proofErr w:type="gramEnd"/>
      <w:r w:rsidRPr="00687919">
        <w:t xml:space="preserve"> a</w:t>
      </w:r>
      <w:r w:rsidRPr="00A107F6">
        <w:t xml:space="preserve">ndere </w:t>
      </w:r>
      <w:proofErr w:type="spellStart"/>
      <w:r w:rsidRPr="00A107F6">
        <w:t>Laubbäume</w:t>
      </w:r>
      <w:proofErr w:type="spellEnd"/>
      <w:r w:rsidRPr="00A107F6">
        <w:t xml:space="preserve"> mit hoher Lebensdauer (</w:t>
      </w:r>
      <w:proofErr w:type="spellStart"/>
      <w:r w:rsidRPr="00A107F6">
        <w:t>aLh</w:t>
      </w:r>
      <w:proofErr w:type="spellEnd"/>
      <w:r w:rsidRPr="00A107F6">
        <w:t>)</w:t>
      </w:r>
      <w:r w:rsidRPr="00687919">
        <w:t xml:space="preserve"> (</w:t>
      </w:r>
      <w:r w:rsidRPr="00A107F6">
        <w:t xml:space="preserve">Ahornarten, </w:t>
      </w:r>
      <w:proofErr w:type="spellStart"/>
      <w:r w:rsidRPr="00A107F6">
        <w:t>Ahornblättrige</w:t>
      </w:r>
      <w:proofErr w:type="spellEnd"/>
      <w:r w:rsidRPr="00A107F6">
        <w:t xml:space="preserve"> </w:t>
      </w:r>
      <w:proofErr w:type="spellStart"/>
      <w:r w:rsidRPr="00A107F6">
        <w:t>Pla</w:t>
      </w:r>
      <w:proofErr w:type="spellEnd"/>
      <w:r w:rsidRPr="00A107F6">
        <w:t xml:space="preserve">- </w:t>
      </w:r>
      <w:proofErr w:type="spellStart"/>
      <w:r w:rsidRPr="00A107F6">
        <w:t>tane</w:t>
      </w:r>
      <w:proofErr w:type="spellEnd"/>
      <w:r w:rsidRPr="00A107F6">
        <w:t xml:space="preserve">, Edelkastanie, Esche, Hainbuche, Lindenarten, Nussbaumarten, Robinie, Ross- </w:t>
      </w:r>
      <w:proofErr w:type="spellStart"/>
      <w:r w:rsidRPr="00A107F6">
        <w:t>kastanie</w:t>
      </w:r>
      <w:proofErr w:type="spellEnd"/>
      <w:r w:rsidRPr="00A107F6">
        <w:t>, Speierling, Stechpalme, Ulme, Weißesche</w:t>
      </w:r>
      <w:r w:rsidRPr="00687919">
        <w:t>) wurden der Baumartengruppe Buche (BU) zugeordnet</w:t>
      </w:r>
    </w:p>
    <w:p w14:paraId="64FEAC81" w14:textId="77777777" w:rsidR="004E200E" w:rsidRPr="00687919" w:rsidRDefault="004E200E" w:rsidP="0025622B">
      <w:pPr>
        <w:pStyle w:val="Liste-1"/>
      </w:pPr>
      <w:r w:rsidRPr="00687919">
        <w:t xml:space="preserve">Andere </w:t>
      </w:r>
      <w:proofErr w:type="spellStart"/>
      <w:r w:rsidRPr="00687919">
        <w:t>Laubbäume</w:t>
      </w:r>
      <w:proofErr w:type="spellEnd"/>
      <w:r w:rsidRPr="00687919">
        <w:t xml:space="preserve"> mit niedriger Lebensdauer (</w:t>
      </w:r>
      <w:proofErr w:type="spellStart"/>
      <w:r w:rsidRPr="00687919">
        <w:t>aLn</w:t>
      </w:r>
      <w:proofErr w:type="spellEnd"/>
      <w:r w:rsidRPr="00687919">
        <w:t xml:space="preserve">) </w:t>
      </w:r>
      <w:proofErr w:type="gramStart"/>
      <w:r w:rsidRPr="00687919">
        <w:t>( Birkenarten</w:t>
      </w:r>
      <w:proofErr w:type="gramEnd"/>
      <w:r w:rsidRPr="00687919">
        <w:t xml:space="preserve">, Elsbeere, </w:t>
      </w:r>
      <w:proofErr w:type="spellStart"/>
      <w:r w:rsidRPr="00687919">
        <w:t>Erlenar</w:t>
      </w:r>
      <w:proofErr w:type="spellEnd"/>
      <w:r w:rsidRPr="00687919">
        <w:t xml:space="preserve">- </w:t>
      </w:r>
      <w:proofErr w:type="spellStart"/>
      <w:r w:rsidRPr="00687919">
        <w:t>ten</w:t>
      </w:r>
      <w:proofErr w:type="spellEnd"/>
      <w:r w:rsidRPr="00687919">
        <w:t xml:space="preserve">, Pappelarten, Traubenkirsche-Arten, Vogelkirsche, </w:t>
      </w:r>
      <w:proofErr w:type="spellStart"/>
      <w:r w:rsidRPr="00687919">
        <w:t>Wildobst</w:t>
      </w:r>
      <w:proofErr w:type="spellEnd"/>
      <w:r w:rsidRPr="00687919">
        <w:t xml:space="preserve">, alle weiteren Laub- </w:t>
      </w:r>
      <w:proofErr w:type="spellStart"/>
      <w:r w:rsidRPr="00687919">
        <w:t>baumarten</w:t>
      </w:r>
      <w:proofErr w:type="spellEnd"/>
      <w:r w:rsidRPr="00687919">
        <w:t xml:space="preserve">, soweit sie nicht gesondert genannt sind) wurden der Baumartengruppe Birke (BI) </w:t>
      </w:r>
      <w:proofErr w:type="spellStart"/>
      <w:r w:rsidRPr="00687919">
        <w:t>zugeorndet</w:t>
      </w:r>
      <w:proofErr w:type="spellEnd"/>
    </w:p>
    <w:p w14:paraId="192CBFAF" w14:textId="77777777" w:rsidR="004E200E" w:rsidRPr="00687919" w:rsidRDefault="004E200E" w:rsidP="0025622B">
      <w:pPr>
        <w:pStyle w:val="Liste-1"/>
      </w:pPr>
      <w:r w:rsidRPr="00687919">
        <w:t xml:space="preserve">Fichte: alle Fichtenarten und Tannenarten und sonstige </w:t>
      </w:r>
      <w:proofErr w:type="spellStart"/>
      <w:r w:rsidRPr="00687919">
        <w:t>Nadelbäume</w:t>
      </w:r>
      <w:proofErr w:type="spellEnd"/>
      <w:r w:rsidRPr="00687919">
        <w:t xml:space="preserve"> außer Douglasie, Kiefer, </w:t>
      </w:r>
      <w:proofErr w:type="spellStart"/>
      <w:r w:rsidRPr="00687919">
        <w:t>Lärche</w:t>
      </w:r>
      <w:proofErr w:type="spellEnd"/>
      <w:r w:rsidRPr="00687919">
        <w:t xml:space="preserve">, Pinus </w:t>
      </w:r>
      <w:proofErr w:type="spellStart"/>
      <w:r w:rsidRPr="00687919">
        <w:t>nigra</w:t>
      </w:r>
      <w:proofErr w:type="spellEnd"/>
      <w:r w:rsidRPr="00687919">
        <w:t xml:space="preserve">, wurden der </w:t>
      </w:r>
      <w:proofErr w:type="spellStart"/>
      <w:r w:rsidRPr="00687919">
        <w:t>Artegruppe</w:t>
      </w:r>
      <w:proofErr w:type="spellEnd"/>
      <w:r w:rsidRPr="00687919">
        <w:t xml:space="preserve"> Fichte (FI) </w:t>
      </w:r>
      <w:proofErr w:type="spellStart"/>
      <w:r w:rsidRPr="00687919">
        <w:t>zugeorndet</w:t>
      </w:r>
      <w:proofErr w:type="spellEnd"/>
    </w:p>
    <w:p w14:paraId="64C268D9" w14:textId="77777777" w:rsidR="004E200E" w:rsidRPr="00687919" w:rsidRDefault="004E200E" w:rsidP="0025622B">
      <w:pPr>
        <w:pStyle w:val="Liste-1"/>
      </w:pPr>
      <w:r w:rsidRPr="00687919">
        <w:t xml:space="preserve">Douglasie alle </w:t>
      </w:r>
      <w:proofErr w:type="spellStart"/>
      <w:r w:rsidRPr="00687919">
        <w:t>Douglasienarten</w:t>
      </w:r>
      <w:proofErr w:type="spellEnd"/>
      <w:r w:rsidRPr="00687919">
        <w:t xml:space="preserve"> wurden der Baumartengruppe Douglasie (DGL) zugeordnet</w:t>
      </w:r>
    </w:p>
    <w:p w14:paraId="113D4997" w14:textId="77777777" w:rsidR="004E200E" w:rsidRPr="00687919" w:rsidRDefault="004E200E" w:rsidP="0025622B">
      <w:pPr>
        <w:pStyle w:val="Liste-1"/>
      </w:pPr>
      <w:r w:rsidRPr="00687919">
        <w:t xml:space="preserve">Kiefer: alle Kiefernarten, außer Pinus </w:t>
      </w:r>
      <w:proofErr w:type="spellStart"/>
      <w:r w:rsidRPr="00687919">
        <w:t>nigra</w:t>
      </w:r>
      <w:proofErr w:type="spellEnd"/>
      <w:r w:rsidRPr="00687919">
        <w:t xml:space="preserve"> (für welche separate Werte verfügbar sind) wurden der Baumartengruppe Kiefer (KI) zugeordnet</w:t>
      </w:r>
    </w:p>
    <w:p w14:paraId="773CE9E3" w14:textId="77777777" w:rsidR="004E200E" w:rsidRPr="00687919" w:rsidRDefault="004E200E" w:rsidP="0025622B">
      <w:pPr>
        <w:pStyle w:val="Liste-1"/>
      </w:pPr>
      <w:r w:rsidRPr="00687919">
        <w:t xml:space="preserve">Bäume mit dem Lateinischen Namen „Pinus </w:t>
      </w:r>
      <w:proofErr w:type="spellStart"/>
      <w:r w:rsidRPr="00687919">
        <w:t>nigra</w:t>
      </w:r>
      <w:proofErr w:type="spellEnd"/>
      <w:r w:rsidRPr="00687919">
        <w:t xml:space="preserve">“ wurden der </w:t>
      </w:r>
      <w:proofErr w:type="spellStart"/>
      <w:r w:rsidRPr="00687919">
        <w:t>Argtengruppe</w:t>
      </w:r>
      <w:proofErr w:type="spellEnd"/>
      <w:r w:rsidRPr="00687919">
        <w:t xml:space="preserve"> Pinus </w:t>
      </w:r>
      <w:proofErr w:type="spellStart"/>
      <w:r w:rsidRPr="00687919">
        <w:t>nigra</w:t>
      </w:r>
      <w:proofErr w:type="spellEnd"/>
      <w:r w:rsidRPr="00687919">
        <w:t xml:space="preserve"> (KIN) zugeordnet</w:t>
      </w:r>
    </w:p>
    <w:p w14:paraId="76E5A6F7" w14:textId="77777777" w:rsidR="004E200E" w:rsidRPr="0025622B" w:rsidRDefault="004E200E" w:rsidP="0025622B">
      <w:pPr>
        <w:pStyle w:val="Liste-1"/>
      </w:pPr>
      <w:proofErr w:type="spellStart"/>
      <w:r w:rsidRPr="00687919">
        <w:t>Lärche</w:t>
      </w:r>
      <w:proofErr w:type="spellEnd"/>
      <w:r w:rsidRPr="00687919">
        <w:t xml:space="preserve">: alle </w:t>
      </w:r>
      <w:proofErr w:type="spellStart"/>
      <w:r w:rsidRPr="00687919">
        <w:t>Lärchenarten</w:t>
      </w:r>
      <w:proofErr w:type="spellEnd"/>
      <w:r w:rsidRPr="00687919">
        <w:rPr>
          <w:sz w:val="24"/>
          <w:szCs w:val="24"/>
        </w:rPr>
        <w:t xml:space="preserve"> </w:t>
      </w:r>
      <w:r w:rsidRPr="0025622B">
        <w:t>wurden der Artengruppe Lärche (LA) zugeordnet</w:t>
      </w:r>
    </w:p>
    <w:p w14:paraId="63435B86" w14:textId="77777777" w:rsidR="004E200E" w:rsidRPr="00A107F6" w:rsidRDefault="004E200E" w:rsidP="004E200E">
      <w:pPr>
        <w:rPr>
          <w:rFonts w:asciiTheme="minorHAnsi" w:hAnsiTheme="minorHAnsi" w:cstheme="minorHAnsi"/>
        </w:rPr>
      </w:pPr>
    </w:p>
    <w:p w14:paraId="2A1AFF05" w14:textId="77777777" w:rsidR="004E200E" w:rsidRPr="00A107F6" w:rsidRDefault="004E200E" w:rsidP="004E200E">
      <w:pPr>
        <w:rPr>
          <w:rFonts w:asciiTheme="minorHAnsi" w:hAnsiTheme="minorHAnsi" w:cstheme="minorHAnsi"/>
        </w:rPr>
      </w:pPr>
    </w:p>
    <w:p w14:paraId="68B62666" w14:textId="77777777" w:rsidR="004E200E" w:rsidRPr="00687919" w:rsidRDefault="004E200E" w:rsidP="001D0D18">
      <w:pPr>
        <w:pStyle w:val="berschrift2"/>
        <w:numPr>
          <w:ilvl w:val="1"/>
          <w:numId w:val="9"/>
        </w:numPr>
        <w:rPr>
          <w:rFonts w:asciiTheme="minorHAnsi" w:hAnsiTheme="minorHAnsi" w:cstheme="minorHAnsi"/>
        </w:rPr>
      </w:pPr>
      <w:bookmarkStart w:id="15" w:name="_Toc137711757"/>
      <w:r w:rsidRPr="00687919">
        <w:rPr>
          <w:rFonts w:asciiTheme="minorHAnsi" w:hAnsiTheme="minorHAnsi" w:cstheme="minorHAnsi"/>
          <w:shd w:val="clear" w:color="auto" w:fill="FFFFFF"/>
        </w:rPr>
        <w:t>Totholz</w:t>
      </w:r>
      <w:bookmarkEnd w:id="15"/>
    </w:p>
    <w:p w14:paraId="2EEC111D" w14:textId="77777777" w:rsidR="004E200E" w:rsidRPr="00687919" w:rsidRDefault="004E200E" w:rsidP="001D0D18">
      <w:pPr>
        <w:pStyle w:val="berschrift3"/>
        <w:numPr>
          <w:ilvl w:val="2"/>
          <w:numId w:val="9"/>
        </w:numPr>
        <w:rPr>
          <w:rFonts w:asciiTheme="minorHAnsi" w:hAnsiTheme="minorHAnsi" w:cstheme="minorHAnsi"/>
        </w:rPr>
      </w:pPr>
      <w:bookmarkStart w:id="16" w:name="_Toc137711758"/>
      <w:r w:rsidRPr="00687919">
        <w:rPr>
          <w:rFonts w:asciiTheme="minorHAnsi" w:hAnsiTheme="minorHAnsi" w:cstheme="minorHAnsi"/>
        </w:rPr>
        <w:t>Volumen</w:t>
      </w:r>
      <w:bookmarkEnd w:id="16"/>
    </w:p>
    <w:p w14:paraId="31595B41" w14:textId="77777777" w:rsidR="004E200E" w:rsidRPr="00687919" w:rsidRDefault="004E200E" w:rsidP="004E200E">
      <w:pPr>
        <w:rPr>
          <w:rFonts w:asciiTheme="minorHAnsi" w:hAnsiTheme="minorHAnsi" w:cstheme="minorHAnsi"/>
        </w:rPr>
      </w:pPr>
      <w:r w:rsidRPr="00687919">
        <w:rPr>
          <w:rFonts w:asciiTheme="minorHAnsi" w:hAnsiTheme="minorHAnsi" w:cstheme="minorHAnsi"/>
        </w:rPr>
        <w:t>Die Art des Durchmesser der erfasst wurde variiert mit dem To</w:t>
      </w:r>
      <w:r>
        <w:rPr>
          <w:rFonts w:asciiTheme="minorHAnsi" w:hAnsiTheme="minorHAnsi" w:cstheme="minorHAnsi"/>
        </w:rPr>
        <w:t>t</w:t>
      </w:r>
      <w:r w:rsidRPr="00687919">
        <w:rPr>
          <w:rFonts w:asciiTheme="minorHAnsi" w:hAnsiTheme="minorHAnsi" w:cstheme="minorHAnsi"/>
        </w:rPr>
        <w:t>holz- bzw. Zersetzungstyp. Nächste Tabelle zeigt für welchen Totholztyp, welcher Durchmesser zu messen ist. Die Durchmesser sind in Zentimeter anzugeben. Die Messung erfolgt wie vorgefunden mit oder ohne Rinde.</w:t>
      </w:r>
    </w:p>
    <w:p w14:paraId="4C0E9EA9" w14:textId="77777777" w:rsidR="004E200E" w:rsidRPr="00687919" w:rsidRDefault="004E200E" w:rsidP="004E200E">
      <w:pPr>
        <w:pStyle w:val="Liste-1"/>
        <w:numPr>
          <w:ilvl w:val="0"/>
          <w:numId w:val="2"/>
        </w:numPr>
      </w:pPr>
      <w:proofErr w:type="gramStart"/>
      <w:r w:rsidRPr="00687919">
        <w:t>Bei stehendem</w:t>
      </w:r>
      <w:proofErr w:type="gramEnd"/>
      <w:r w:rsidRPr="00687919">
        <w:t xml:space="preserve"> Totholz und Bruchstücken mit einer Höhe &gt; 13 </w:t>
      </w:r>
      <w:proofErr w:type="spellStart"/>
      <w:r w:rsidRPr="00687919">
        <w:t>dm</w:t>
      </w:r>
      <w:proofErr w:type="spellEnd"/>
      <w:r w:rsidRPr="00687919">
        <w:t xml:space="preserve"> und BHD ≥ 10 cm wer-den der BHD wie vorgefunden [cm] und die Höhe [</w:t>
      </w:r>
      <w:proofErr w:type="spellStart"/>
      <w:r w:rsidRPr="00687919">
        <w:t>dm</w:t>
      </w:r>
      <w:proofErr w:type="spellEnd"/>
      <w:r w:rsidRPr="00687919">
        <w:t>] gemessen.</w:t>
      </w:r>
    </w:p>
    <w:p w14:paraId="67E98F43" w14:textId="77777777" w:rsidR="004E200E" w:rsidRPr="00687919" w:rsidRDefault="004E200E" w:rsidP="004E200E">
      <w:pPr>
        <w:pStyle w:val="Liste-1"/>
        <w:numPr>
          <w:ilvl w:val="0"/>
          <w:numId w:val="2"/>
        </w:numPr>
      </w:pPr>
      <w:r w:rsidRPr="00687919">
        <w:t>Bei liegendem Totholz mit einem Durchmesser ≥ 10 cm am dickeren Ende werden Mittendurchmesser [cm] und Länge [</w:t>
      </w:r>
      <w:proofErr w:type="spellStart"/>
      <w:r w:rsidRPr="00687919">
        <w:t>dm</w:t>
      </w:r>
      <w:proofErr w:type="spellEnd"/>
      <w:r w:rsidRPr="00687919">
        <w:t>] des Totholzstücks im Probekreis gemessen. Die Länge des liegenden Totholzes wird vom dicken Ende bis Ende bzw. bis zum Schnittpunkt mit dem Probekreis gemessen.</w:t>
      </w:r>
    </w:p>
    <w:p w14:paraId="0629DD54" w14:textId="77777777" w:rsidR="004E200E" w:rsidRPr="00687919" w:rsidRDefault="004E200E" w:rsidP="004E200E">
      <w:pPr>
        <w:pStyle w:val="Liste-1"/>
        <w:numPr>
          <w:ilvl w:val="0"/>
          <w:numId w:val="2"/>
        </w:numPr>
      </w:pPr>
      <w:r w:rsidRPr="00687919">
        <w:t xml:space="preserve">Bei abgebrochenen Kronen (liegend; starkes Totholz) wird der </w:t>
      </w:r>
      <w:proofErr w:type="spellStart"/>
      <w:r w:rsidRPr="00687919">
        <w:t>Hauptschaft</w:t>
      </w:r>
      <w:proofErr w:type="spellEnd"/>
      <w:r w:rsidRPr="00687919">
        <w:t xml:space="preserve"> mit Mittendurchmesser [cm] und Länge [</w:t>
      </w:r>
      <w:proofErr w:type="spellStart"/>
      <w:r w:rsidRPr="00687919">
        <w:t>dm</w:t>
      </w:r>
      <w:proofErr w:type="spellEnd"/>
      <w:r w:rsidRPr="00687919">
        <w:t>] des Hauptschaftes im Probekreis erfasst. Abzweigende Äste mit einem Durchmesser ≥ 10 cm am dickeren Ende werden separat erfasst.</w:t>
      </w:r>
    </w:p>
    <w:p w14:paraId="0F1C86C8" w14:textId="77777777" w:rsidR="004E200E" w:rsidRPr="00687919" w:rsidRDefault="004E200E" w:rsidP="004E200E">
      <w:pPr>
        <w:pStyle w:val="Liste-1"/>
        <w:numPr>
          <w:ilvl w:val="0"/>
          <w:numId w:val="2"/>
        </w:numPr>
      </w:pPr>
      <w:r w:rsidRPr="00687919">
        <w:t>Bei liegenden ganzen Bäumen mit einem BHD ≥ 10 cm werden BHD [cm] und Länge bis zur Baumspitze (Wipfel) [</w:t>
      </w:r>
      <w:proofErr w:type="spellStart"/>
      <w:r w:rsidRPr="00687919">
        <w:t>dm</w:t>
      </w:r>
      <w:proofErr w:type="spellEnd"/>
      <w:r w:rsidRPr="00687919">
        <w:t>] gemessen, sofern dieser im Probekreis liegt.</w:t>
      </w:r>
    </w:p>
    <w:p w14:paraId="546B6106" w14:textId="77777777" w:rsidR="004E200E" w:rsidRPr="00687919" w:rsidRDefault="004E200E" w:rsidP="004E200E">
      <w:pPr>
        <w:pStyle w:val="Liste-1"/>
        <w:numPr>
          <w:ilvl w:val="0"/>
          <w:numId w:val="2"/>
        </w:numPr>
      </w:pPr>
      <w:r w:rsidRPr="00687919">
        <w:lastRenderedPageBreak/>
        <w:t xml:space="preserve">Bei Wurzelstöcken mit einer Höhe &lt; 13 </w:t>
      </w:r>
      <w:proofErr w:type="spellStart"/>
      <w:r w:rsidRPr="00687919">
        <w:t>dm</w:t>
      </w:r>
      <w:proofErr w:type="spellEnd"/>
      <w:r w:rsidRPr="00687919">
        <w:t xml:space="preserve"> und einem durchschnittlichen Schnittflächendurchmesser ≥ 10 cm deren Mittelpunkt innerhalb des Probekreises liegt, werden Höhe bzw. Länge (liegender Wurzelstock) [</w:t>
      </w:r>
      <w:proofErr w:type="spellStart"/>
      <w:r w:rsidRPr="00687919">
        <w:t>dm</w:t>
      </w:r>
      <w:proofErr w:type="spellEnd"/>
      <w:r w:rsidRPr="00687919">
        <w:t>] und Durchmesser [cm] gemessen. Der Durchmesser wird in Höhe der Schnittfläche bzw. Abbruchstelle gemessen.</w:t>
      </w:r>
    </w:p>
    <w:p w14:paraId="36761020" w14:textId="77777777" w:rsidR="004E200E" w:rsidRPr="00687919" w:rsidRDefault="004E200E" w:rsidP="004E200E">
      <w:pPr>
        <w:pStyle w:val="Liste-1"/>
        <w:numPr>
          <w:ilvl w:val="0"/>
          <w:numId w:val="2"/>
        </w:numPr>
      </w:pPr>
      <w:r w:rsidRPr="00687919">
        <w:t xml:space="preserve">Bei der Messung von TH-Länge/-Höhe mit nicht intakten Enden ist ein Volumenausgleich anzustreben. </w:t>
      </w:r>
    </w:p>
    <w:p w14:paraId="6C2360EB" w14:textId="131C689D" w:rsidR="004E200E" w:rsidRPr="00C039F6" w:rsidRDefault="004E200E" w:rsidP="00C039F6">
      <w:pPr>
        <w:pStyle w:val="Liste-1"/>
        <w:numPr>
          <w:ilvl w:val="0"/>
          <w:numId w:val="2"/>
        </w:numPr>
      </w:pPr>
      <w:r w:rsidRPr="00687919">
        <w:t>Schätzverfahren bei in Haufen vorkommendem Totholz: Anzugeben ist die geschätzte mittlere Länge [</w:t>
      </w:r>
      <w:proofErr w:type="spellStart"/>
      <w:r w:rsidRPr="00687919">
        <w:t>dm</w:t>
      </w:r>
      <w:proofErr w:type="spellEnd"/>
      <w:r w:rsidRPr="00687919">
        <w:t>], der geschätzte mittlere Mittendurchmesser [cm] sowie die Stückzahl der Totholzelemente</w:t>
      </w:r>
    </w:p>
    <w:p w14:paraId="2449F868" w14:textId="54419279" w:rsidR="004E200E" w:rsidRDefault="004E200E" w:rsidP="004E200E">
      <w:pPr>
        <w:pStyle w:val="Beschriftung"/>
      </w:pPr>
      <w:r>
        <w:t xml:space="preserve">Tabelle </w:t>
      </w:r>
      <w:r>
        <w:fldChar w:fldCharType="begin"/>
      </w:r>
      <w:r>
        <w:instrText xml:space="preserve"> SEQ Tabelle \* ARABIC </w:instrText>
      </w:r>
      <w:r>
        <w:fldChar w:fldCharType="separate"/>
      </w:r>
      <w:r w:rsidR="009013E2">
        <w:t>1</w:t>
      </w:r>
      <w:r>
        <w:fldChar w:fldCharType="end"/>
      </w:r>
      <w:r>
        <w:t>: zumessender Durchmesser je Totholztyp (Quelle: MoMoK..anleitung)</w:t>
      </w:r>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3405"/>
        <w:gridCol w:w="2056"/>
        <w:gridCol w:w="4064"/>
      </w:tblGrid>
      <w:tr w:rsidR="004E200E" w:rsidRPr="00687919" w14:paraId="521C0969" w14:textId="77777777" w:rsidTr="00542EF4">
        <w:trPr>
          <w:tblCellSpacing w:w="0" w:type="dxa"/>
        </w:trPr>
        <w:tc>
          <w:tcPr>
            <w:tcW w:w="340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14:paraId="44CB69F3" w14:textId="77777777" w:rsidR="004E200E" w:rsidRPr="00687919" w:rsidRDefault="004E200E" w:rsidP="00542EF4">
            <w:pPr>
              <w:pStyle w:val="Tabellentext"/>
              <w:rPr>
                <w:sz w:val="24"/>
                <w:szCs w:val="24"/>
              </w:rPr>
            </w:pPr>
            <w:r w:rsidRPr="00687919">
              <w:t>Totholztyp</w:t>
            </w:r>
          </w:p>
        </w:tc>
        <w:tc>
          <w:tcPr>
            <w:tcW w:w="2056"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14:paraId="4AAC63A5" w14:textId="77777777" w:rsidR="004E200E" w:rsidRPr="00687919" w:rsidRDefault="004E200E" w:rsidP="00542EF4">
            <w:pPr>
              <w:pStyle w:val="Tabellentext"/>
              <w:rPr>
                <w:sz w:val="24"/>
                <w:szCs w:val="24"/>
              </w:rPr>
            </w:pPr>
            <w:r w:rsidRPr="00687919">
              <w:t>Code Totholztyp</w:t>
            </w:r>
          </w:p>
        </w:tc>
        <w:tc>
          <w:tcPr>
            <w:tcW w:w="4064"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14:paraId="52779F03" w14:textId="77777777" w:rsidR="004E200E" w:rsidRPr="00687919" w:rsidRDefault="004E200E" w:rsidP="00542EF4">
            <w:pPr>
              <w:pStyle w:val="Tabellentext"/>
              <w:rPr>
                <w:sz w:val="24"/>
                <w:szCs w:val="24"/>
              </w:rPr>
            </w:pPr>
            <w:r w:rsidRPr="00687919">
              <w:t>zu messender Durchmesser</w:t>
            </w:r>
          </w:p>
        </w:tc>
      </w:tr>
      <w:tr w:rsidR="004E200E" w:rsidRPr="00687919" w14:paraId="77BCE0E6" w14:textId="77777777" w:rsidTr="00542EF4">
        <w:trPr>
          <w:tblCellSpacing w:w="0" w:type="dxa"/>
        </w:trPr>
        <w:tc>
          <w:tcPr>
            <w:tcW w:w="3405" w:type="dxa"/>
            <w:tcBorders>
              <w:top w:val="single" w:sz="6" w:space="0" w:color="000000"/>
              <w:left w:val="nil"/>
              <w:bottom w:val="nil"/>
              <w:right w:val="nil"/>
            </w:tcBorders>
            <w:tcMar>
              <w:top w:w="0" w:type="dxa"/>
              <w:left w:w="0" w:type="dxa"/>
              <w:bottom w:w="0" w:type="dxa"/>
              <w:right w:w="0" w:type="dxa"/>
            </w:tcMar>
            <w:hideMark/>
          </w:tcPr>
          <w:p w14:paraId="18A1DA63" w14:textId="77777777" w:rsidR="004E200E" w:rsidRPr="00687919" w:rsidRDefault="004E200E" w:rsidP="00542EF4">
            <w:pPr>
              <w:pStyle w:val="Tabellentext"/>
              <w:rPr>
                <w:sz w:val="24"/>
                <w:szCs w:val="24"/>
              </w:rPr>
            </w:pPr>
            <w:r w:rsidRPr="00687919">
              <w:t>stehend; ganzer Baum und Bruchstück</w:t>
            </w:r>
          </w:p>
        </w:tc>
        <w:tc>
          <w:tcPr>
            <w:tcW w:w="2056" w:type="dxa"/>
            <w:tcBorders>
              <w:top w:val="single" w:sz="6" w:space="0" w:color="000000"/>
              <w:left w:val="nil"/>
              <w:bottom w:val="nil"/>
              <w:right w:val="nil"/>
            </w:tcBorders>
            <w:tcMar>
              <w:top w:w="0" w:type="dxa"/>
              <w:left w:w="0" w:type="dxa"/>
              <w:bottom w:w="0" w:type="dxa"/>
              <w:right w:w="0" w:type="dxa"/>
            </w:tcMar>
            <w:hideMark/>
          </w:tcPr>
          <w:p w14:paraId="1443C842" w14:textId="77777777" w:rsidR="004E200E" w:rsidRPr="00687919" w:rsidRDefault="004E200E" w:rsidP="00542EF4">
            <w:pPr>
              <w:pStyle w:val="Tabellentext"/>
              <w:rPr>
                <w:sz w:val="24"/>
                <w:szCs w:val="24"/>
              </w:rPr>
            </w:pPr>
            <w:r w:rsidRPr="00687919">
              <w:t>2, 3</w:t>
            </w:r>
          </w:p>
        </w:tc>
        <w:tc>
          <w:tcPr>
            <w:tcW w:w="4064" w:type="dxa"/>
            <w:tcBorders>
              <w:top w:val="single" w:sz="6" w:space="0" w:color="000000"/>
              <w:left w:val="nil"/>
              <w:bottom w:val="nil"/>
              <w:right w:val="nil"/>
            </w:tcBorders>
            <w:tcMar>
              <w:top w:w="0" w:type="dxa"/>
              <w:left w:w="0" w:type="dxa"/>
              <w:bottom w:w="0" w:type="dxa"/>
              <w:right w:w="0" w:type="dxa"/>
            </w:tcMar>
            <w:hideMark/>
          </w:tcPr>
          <w:p w14:paraId="0766399D" w14:textId="77777777" w:rsidR="004E200E" w:rsidRPr="00687919" w:rsidRDefault="004E200E" w:rsidP="00542EF4">
            <w:pPr>
              <w:pStyle w:val="Tabellentext"/>
              <w:rPr>
                <w:sz w:val="24"/>
                <w:szCs w:val="24"/>
              </w:rPr>
            </w:pPr>
            <w:r w:rsidRPr="00687919">
              <w:t>Brusthöhendurchmesser</w:t>
            </w:r>
          </w:p>
        </w:tc>
      </w:tr>
      <w:tr w:rsidR="004E200E" w:rsidRPr="00687919" w14:paraId="4193EA95" w14:textId="77777777" w:rsidTr="00542EF4">
        <w:trPr>
          <w:tblCellSpacing w:w="0" w:type="dxa"/>
        </w:trPr>
        <w:tc>
          <w:tcPr>
            <w:tcW w:w="3405" w:type="dxa"/>
            <w:tcMar>
              <w:top w:w="0" w:type="dxa"/>
              <w:left w:w="0" w:type="dxa"/>
              <w:bottom w:w="0" w:type="dxa"/>
              <w:right w:w="0" w:type="dxa"/>
            </w:tcMar>
            <w:hideMark/>
          </w:tcPr>
          <w:p w14:paraId="240CBF7B" w14:textId="77777777" w:rsidR="004E200E" w:rsidRPr="00687919" w:rsidRDefault="004E200E" w:rsidP="00542EF4">
            <w:pPr>
              <w:pStyle w:val="Tabellentext"/>
              <w:rPr>
                <w:sz w:val="24"/>
                <w:szCs w:val="24"/>
              </w:rPr>
            </w:pPr>
            <w:r w:rsidRPr="00687919">
              <w:t>liegend; ganzer Baum</w:t>
            </w:r>
          </w:p>
        </w:tc>
        <w:tc>
          <w:tcPr>
            <w:tcW w:w="2056" w:type="dxa"/>
            <w:tcMar>
              <w:top w:w="0" w:type="dxa"/>
              <w:left w:w="0" w:type="dxa"/>
              <w:bottom w:w="0" w:type="dxa"/>
              <w:right w:w="0" w:type="dxa"/>
            </w:tcMar>
            <w:hideMark/>
          </w:tcPr>
          <w:p w14:paraId="181AA921" w14:textId="77777777" w:rsidR="004E200E" w:rsidRPr="00687919" w:rsidRDefault="004E200E" w:rsidP="00542EF4">
            <w:pPr>
              <w:pStyle w:val="Tabellentext"/>
              <w:rPr>
                <w:sz w:val="24"/>
                <w:szCs w:val="24"/>
              </w:rPr>
            </w:pPr>
            <w:r w:rsidRPr="00687919">
              <w:t>5</w:t>
            </w:r>
          </w:p>
        </w:tc>
        <w:tc>
          <w:tcPr>
            <w:tcW w:w="4064" w:type="dxa"/>
            <w:tcMar>
              <w:top w:w="0" w:type="dxa"/>
              <w:left w:w="0" w:type="dxa"/>
              <w:bottom w:w="0" w:type="dxa"/>
              <w:right w:w="0" w:type="dxa"/>
            </w:tcMar>
            <w:hideMark/>
          </w:tcPr>
          <w:p w14:paraId="51D7097D" w14:textId="77777777" w:rsidR="004E200E" w:rsidRPr="00687919" w:rsidRDefault="004E200E" w:rsidP="00542EF4">
            <w:pPr>
              <w:pStyle w:val="Tabellentext"/>
              <w:rPr>
                <w:sz w:val="24"/>
                <w:szCs w:val="24"/>
              </w:rPr>
            </w:pPr>
            <w:r w:rsidRPr="00687919">
              <w:t>Brusthöhendurchmesser</w:t>
            </w:r>
          </w:p>
        </w:tc>
      </w:tr>
      <w:tr w:rsidR="004E200E" w:rsidRPr="00687919" w14:paraId="33D0A38A" w14:textId="77777777" w:rsidTr="00542EF4">
        <w:trPr>
          <w:tblCellSpacing w:w="0" w:type="dxa"/>
        </w:trPr>
        <w:tc>
          <w:tcPr>
            <w:tcW w:w="3405" w:type="dxa"/>
            <w:tcMar>
              <w:top w:w="0" w:type="dxa"/>
              <w:left w:w="0" w:type="dxa"/>
              <w:bottom w:w="0" w:type="dxa"/>
              <w:right w:w="0" w:type="dxa"/>
            </w:tcMar>
            <w:hideMark/>
          </w:tcPr>
          <w:p w14:paraId="629B3EBA" w14:textId="77777777" w:rsidR="004E200E" w:rsidRPr="00687919" w:rsidRDefault="004E200E" w:rsidP="00542EF4">
            <w:pPr>
              <w:pStyle w:val="Tabellentext"/>
              <w:rPr>
                <w:sz w:val="24"/>
                <w:szCs w:val="24"/>
              </w:rPr>
            </w:pPr>
            <w:r w:rsidRPr="00687919">
              <w:t>Liegend; starkes Totholz</w:t>
            </w:r>
          </w:p>
        </w:tc>
        <w:tc>
          <w:tcPr>
            <w:tcW w:w="2056" w:type="dxa"/>
            <w:tcMar>
              <w:top w:w="0" w:type="dxa"/>
              <w:left w:w="0" w:type="dxa"/>
              <w:bottom w:w="0" w:type="dxa"/>
              <w:right w:w="0" w:type="dxa"/>
            </w:tcMar>
            <w:hideMark/>
          </w:tcPr>
          <w:p w14:paraId="78C25549" w14:textId="77777777" w:rsidR="004E200E" w:rsidRPr="00687919" w:rsidRDefault="004E200E" w:rsidP="00542EF4">
            <w:pPr>
              <w:pStyle w:val="Tabellentext"/>
              <w:rPr>
                <w:sz w:val="24"/>
                <w:szCs w:val="24"/>
              </w:rPr>
            </w:pPr>
            <w:r w:rsidRPr="00687919">
              <w:t>1</w:t>
            </w:r>
          </w:p>
        </w:tc>
        <w:tc>
          <w:tcPr>
            <w:tcW w:w="4064" w:type="dxa"/>
            <w:tcMar>
              <w:top w:w="0" w:type="dxa"/>
              <w:left w:w="0" w:type="dxa"/>
              <w:bottom w:w="0" w:type="dxa"/>
              <w:right w:w="0" w:type="dxa"/>
            </w:tcMar>
            <w:hideMark/>
          </w:tcPr>
          <w:p w14:paraId="524ECB0D" w14:textId="77777777" w:rsidR="004E200E" w:rsidRPr="00687919" w:rsidRDefault="004E200E" w:rsidP="00542EF4">
            <w:pPr>
              <w:pStyle w:val="Tabellentext"/>
              <w:rPr>
                <w:sz w:val="24"/>
                <w:szCs w:val="24"/>
              </w:rPr>
            </w:pPr>
            <w:r w:rsidRPr="00687919">
              <w:t>Mittendurchmesser</w:t>
            </w:r>
          </w:p>
        </w:tc>
      </w:tr>
      <w:tr w:rsidR="004E200E" w:rsidRPr="00687919" w14:paraId="58CA6556" w14:textId="77777777" w:rsidTr="00542EF4">
        <w:trPr>
          <w:tblCellSpacing w:w="0" w:type="dxa"/>
        </w:trPr>
        <w:tc>
          <w:tcPr>
            <w:tcW w:w="3405" w:type="dxa"/>
            <w:tcMar>
              <w:top w:w="0" w:type="dxa"/>
              <w:left w:w="0" w:type="dxa"/>
              <w:bottom w:w="0" w:type="dxa"/>
              <w:right w:w="0" w:type="dxa"/>
            </w:tcMar>
            <w:hideMark/>
          </w:tcPr>
          <w:p w14:paraId="661EBB99" w14:textId="77777777" w:rsidR="004E200E" w:rsidRPr="00687919" w:rsidRDefault="004E200E" w:rsidP="00542EF4">
            <w:pPr>
              <w:pStyle w:val="Tabellentext"/>
              <w:rPr>
                <w:sz w:val="24"/>
                <w:szCs w:val="24"/>
              </w:rPr>
            </w:pPr>
            <w:r w:rsidRPr="00687919">
              <w:t>in Haufen vorkommendes Totholz</w:t>
            </w:r>
          </w:p>
        </w:tc>
        <w:tc>
          <w:tcPr>
            <w:tcW w:w="2056" w:type="dxa"/>
            <w:tcMar>
              <w:top w:w="0" w:type="dxa"/>
              <w:left w:w="0" w:type="dxa"/>
              <w:bottom w:w="0" w:type="dxa"/>
              <w:right w:w="0" w:type="dxa"/>
            </w:tcMar>
            <w:hideMark/>
          </w:tcPr>
          <w:p w14:paraId="440FCDF3" w14:textId="77777777" w:rsidR="004E200E" w:rsidRPr="00687919" w:rsidRDefault="004E200E" w:rsidP="00542EF4">
            <w:pPr>
              <w:pStyle w:val="Tabellentext"/>
              <w:rPr>
                <w:sz w:val="24"/>
                <w:szCs w:val="24"/>
              </w:rPr>
            </w:pPr>
            <w:r w:rsidRPr="00687919">
              <w:t>6</w:t>
            </w:r>
          </w:p>
        </w:tc>
        <w:tc>
          <w:tcPr>
            <w:tcW w:w="4064" w:type="dxa"/>
            <w:tcMar>
              <w:top w:w="0" w:type="dxa"/>
              <w:left w:w="0" w:type="dxa"/>
              <w:bottom w:w="0" w:type="dxa"/>
              <w:right w:w="0" w:type="dxa"/>
            </w:tcMar>
            <w:hideMark/>
          </w:tcPr>
          <w:p w14:paraId="2D5CB64D" w14:textId="77777777" w:rsidR="004E200E" w:rsidRPr="00687919" w:rsidRDefault="004E200E" w:rsidP="00542EF4">
            <w:pPr>
              <w:pStyle w:val="Tabellentext"/>
              <w:rPr>
                <w:sz w:val="24"/>
                <w:szCs w:val="24"/>
              </w:rPr>
            </w:pPr>
            <w:r w:rsidRPr="00687919">
              <w:t>mittlerer Mittendurchmesser (geschätzt)</w:t>
            </w:r>
          </w:p>
        </w:tc>
      </w:tr>
      <w:tr w:rsidR="004E200E" w:rsidRPr="00687919" w14:paraId="6323494A" w14:textId="77777777" w:rsidTr="00542EF4">
        <w:trPr>
          <w:tblCellSpacing w:w="0" w:type="dxa"/>
        </w:trPr>
        <w:tc>
          <w:tcPr>
            <w:tcW w:w="3405" w:type="dxa"/>
            <w:tcBorders>
              <w:top w:val="nil"/>
              <w:left w:val="nil"/>
              <w:bottom w:val="single" w:sz="6" w:space="0" w:color="000000"/>
              <w:right w:val="nil"/>
            </w:tcBorders>
            <w:tcMar>
              <w:top w:w="0" w:type="dxa"/>
              <w:left w:w="0" w:type="dxa"/>
              <w:bottom w:w="0" w:type="dxa"/>
              <w:right w:w="0" w:type="dxa"/>
            </w:tcMar>
            <w:hideMark/>
          </w:tcPr>
          <w:p w14:paraId="679E8B60" w14:textId="77777777" w:rsidR="004E200E" w:rsidRPr="00687919" w:rsidRDefault="004E200E" w:rsidP="00542EF4">
            <w:pPr>
              <w:pStyle w:val="Tabellentext"/>
              <w:rPr>
                <w:sz w:val="24"/>
                <w:szCs w:val="24"/>
              </w:rPr>
            </w:pPr>
            <w:r w:rsidRPr="00687919">
              <w:t>Wurzelstock</w:t>
            </w:r>
          </w:p>
        </w:tc>
        <w:tc>
          <w:tcPr>
            <w:tcW w:w="2056" w:type="dxa"/>
            <w:tcBorders>
              <w:top w:val="nil"/>
              <w:left w:val="nil"/>
              <w:bottom w:val="single" w:sz="6" w:space="0" w:color="000000"/>
              <w:right w:val="nil"/>
            </w:tcBorders>
            <w:tcMar>
              <w:top w:w="0" w:type="dxa"/>
              <w:left w:w="0" w:type="dxa"/>
              <w:bottom w:w="0" w:type="dxa"/>
              <w:right w:w="0" w:type="dxa"/>
            </w:tcMar>
            <w:hideMark/>
          </w:tcPr>
          <w:p w14:paraId="4855DABC" w14:textId="77777777" w:rsidR="004E200E" w:rsidRPr="00687919" w:rsidRDefault="004E200E" w:rsidP="00542EF4">
            <w:pPr>
              <w:pStyle w:val="Tabellentext"/>
              <w:rPr>
                <w:sz w:val="24"/>
                <w:szCs w:val="24"/>
              </w:rPr>
            </w:pPr>
            <w:r w:rsidRPr="00687919">
              <w:t>4</w:t>
            </w:r>
          </w:p>
        </w:tc>
        <w:tc>
          <w:tcPr>
            <w:tcW w:w="4064" w:type="dxa"/>
            <w:tcBorders>
              <w:top w:val="nil"/>
              <w:left w:val="nil"/>
              <w:bottom w:val="single" w:sz="6" w:space="0" w:color="000000"/>
              <w:right w:val="nil"/>
            </w:tcBorders>
            <w:tcMar>
              <w:top w:w="0" w:type="dxa"/>
              <w:left w:w="0" w:type="dxa"/>
              <w:bottom w:w="0" w:type="dxa"/>
              <w:right w:w="0" w:type="dxa"/>
            </w:tcMar>
            <w:hideMark/>
          </w:tcPr>
          <w:p w14:paraId="20B5379D" w14:textId="77777777" w:rsidR="004E200E" w:rsidRPr="00687919" w:rsidRDefault="004E200E" w:rsidP="00542EF4">
            <w:pPr>
              <w:pStyle w:val="Tabellentext"/>
              <w:rPr>
                <w:sz w:val="24"/>
                <w:szCs w:val="24"/>
              </w:rPr>
            </w:pPr>
            <w:r w:rsidRPr="00687919">
              <w:t>durchschnittlicher Schnittflächendurchmesser</w:t>
            </w:r>
          </w:p>
        </w:tc>
      </w:tr>
    </w:tbl>
    <w:p w14:paraId="5BBF921E" w14:textId="77777777" w:rsidR="004E200E" w:rsidRPr="00687919" w:rsidRDefault="004E200E" w:rsidP="004E200E">
      <w:pPr>
        <w:spacing w:before="100" w:beforeAutospacing="1" w:line="240" w:lineRule="auto"/>
        <w:ind w:left="1134"/>
        <w:rPr>
          <w:rFonts w:asciiTheme="minorHAnsi" w:hAnsiTheme="minorHAnsi" w:cstheme="minorHAnsi"/>
          <w:color w:val="000000"/>
          <w:sz w:val="24"/>
          <w:szCs w:val="24"/>
        </w:rPr>
      </w:pPr>
    </w:p>
    <w:p w14:paraId="6D5754B0" w14:textId="0D968737" w:rsidR="004E200E" w:rsidRPr="00395265" w:rsidRDefault="004E200E" w:rsidP="00395265">
      <w:r w:rsidRPr="00687919">
        <w:rPr>
          <w:rFonts w:asciiTheme="minorHAnsi" w:hAnsiTheme="minorHAnsi" w:cstheme="minorHAnsi"/>
        </w:rPr>
        <w:t xml:space="preserve">Abhängig von dem Code Totholztyp </w:t>
      </w:r>
      <w:r w:rsidR="00C039F6">
        <w:rPr>
          <w:rFonts w:asciiTheme="minorHAnsi" w:hAnsiTheme="minorHAnsi" w:cstheme="minorHAnsi"/>
        </w:rPr>
        <w:t>variieren</w:t>
      </w:r>
      <w:r w:rsidRPr="00687919">
        <w:rPr>
          <w:rFonts w:asciiTheme="minorHAnsi" w:hAnsiTheme="minorHAnsi" w:cstheme="minorHAnsi"/>
        </w:rPr>
        <w:t xml:space="preserve"> somit die </w:t>
      </w:r>
      <w:r w:rsidR="00C039F6">
        <w:rPr>
          <w:rFonts w:asciiTheme="minorHAnsi" w:hAnsiTheme="minorHAnsi" w:cstheme="minorHAnsi"/>
        </w:rPr>
        <w:t>Verfahren und Funktionen</w:t>
      </w:r>
      <w:r w:rsidRPr="00687919">
        <w:rPr>
          <w:rFonts w:asciiTheme="minorHAnsi" w:hAnsiTheme="minorHAnsi" w:cstheme="minorHAnsi"/>
        </w:rPr>
        <w:t xml:space="preserve"> zur Biomassen</w:t>
      </w:r>
      <w:r w:rsidR="00C039F6">
        <w:rPr>
          <w:rFonts w:asciiTheme="minorHAnsi" w:hAnsiTheme="minorHAnsi" w:cstheme="minorHAnsi"/>
        </w:rPr>
        <w:t>- und</w:t>
      </w:r>
      <w:r w:rsidRPr="00687919">
        <w:rPr>
          <w:rFonts w:asciiTheme="minorHAnsi" w:hAnsiTheme="minorHAnsi" w:cstheme="minorHAnsi"/>
        </w:rPr>
        <w:t xml:space="preserve"> Volumenermittlung</w:t>
      </w:r>
      <w:r w:rsidR="00395265">
        <w:rPr>
          <w:rFonts w:asciiTheme="minorHAnsi" w:hAnsiTheme="minorHAnsi" w:cstheme="minorHAnsi"/>
        </w:rPr>
        <w:t xml:space="preserve">, wobei sich am Vorgehen der BWI Methodik orientiert wurde </w:t>
      </w:r>
      <w:r w:rsidR="00395265" w:rsidRPr="00395265">
        <w:t xml:space="preserve">( </w:t>
      </w:r>
      <w:hyperlink r:id="rId31" w:history="1">
        <w:r w:rsidRPr="00395265">
          <w:t>https://bwi.info/Download/de/Methodik/BMEL_BWI_Methodenband_Web_BWI3.pdf</w:t>
        </w:r>
      </w:hyperlink>
      <w:r w:rsidRPr="00395265">
        <w:t>, S.41</w:t>
      </w:r>
      <w:r w:rsidR="00395265" w:rsidRPr="00395265">
        <w:t>)</w:t>
      </w:r>
    </w:p>
    <w:p w14:paraId="4A58CD10" w14:textId="77777777" w:rsidR="004E200E" w:rsidRPr="00687919" w:rsidRDefault="004E200E" w:rsidP="00395265">
      <w:pPr>
        <w:pStyle w:val="Liste-1"/>
      </w:pPr>
      <w:r w:rsidRPr="00687919">
        <w:t>Das Volumen für die Totholzarten 1 =</w:t>
      </w:r>
      <w:r w:rsidRPr="00687919">
        <w:rPr>
          <w:b/>
          <w:bCs/>
        </w:rPr>
        <w:t xml:space="preserve"> liegendes Totholz, 4 = Wurzelstöcke und 5 = Abfuhrreste </w:t>
      </w:r>
      <w:r w:rsidRPr="00687919">
        <w:t xml:space="preserve">wurde bei den Erhebungen vor der BWI 2012 aus den Mittendurchmessern unter Verwendung der </w:t>
      </w:r>
      <w:r w:rsidRPr="00687919">
        <w:rPr>
          <w:u w:val="single"/>
        </w:rPr>
        <w:t>Walzenform-Formel</w:t>
      </w:r>
      <w:r w:rsidRPr="00687919">
        <w:t xml:space="preserve"> 5.2.11.4 berechnet </w:t>
      </w:r>
    </w:p>
    <w:p w14:paraId="4BBFB2A8" w14:textId="7382C45D" w:rsidR="004E200E" w:rsidRPr="00687919" w:rsidRDefault="004E200E" w:rsidP="00395265">
      <w:pPr>
        <w:pStyle w:val="Liste-1"/>
      </w:pPr>
      <w:r w:rsidRPr="00687919">
        <w:t>Das Volumen der Totholzart 2 =</w:t>
      </w:r>
      <w:r w:rsidRPr="00687919">
        <w:rPr>
          <w:b/>
          <w:bCs/>
        </w:rPr>
        <w:t xml:space="preserve"> stehend oder liegend, ganzer Baum</w:t>
      </w:r>
      <w:r w:rsidRPr="00687919">
        <w:t xml:space="preserve"> wird wie ein lebender Baum behandelt, d. h. es werden BHD und Höhe gemessen und über die Programmbibliothek </w:t>
      </w:r>
      <w:proofErr w:type="spellStart"/>
      <w:r w:rsidR="00243F8F">
        <w:t>TapeS</w:t>
      </w:r>
      <w:proofErr w:type="spellEnd"/>
      <w:r w:rsidR="00243F8F" w:rsidRPr="00687919">
        <w:t xml:space="preserve"> </w:t>
      </w:r>
      <w:r w:rsidRPr="00687919">
        <w:t>das Volumen hergeleitet</w:t>
      </w:r>
    </w:p>
    <w:p w14:paraId="1435BAB0" w14:textId="6D0624F2" w:rsidR="004E200E" w:rsidRPr="00687919" w:rsidRDefault="004E200E" w:rsidP="00395265">
      <w:pPr>
        <w:pStyle w:val="Liste-1"/>
      </w:pPr>
      <w:r w:rsidRPr="00687919">
        <w:t xml:space="preserve">Bei der Totholzart 3 = </w:t>
      </w:r>
      <w:r w:rsidRPr="00687919">
        <w:rPr>
          <w:b/>
          <w:bCs/>
        </w:rPr>
        <w:t>stehend oder liegend, Bruchstück (mit Wurzelanlauf)</w:t>
      </w:r>
      <w:r w:rsidRPr="00687919">
        <w:t xml:space="preserve"> wird ebenfalls der BHD und die Höhe erfasst und anschließend mit </w:t>
      </w:r>
      <w:proofErr w:type="spellStart"/>
      <w:r w:rsidR="00243F8F">
        <w:t>TapeS</w:t>
      </w:r>
      <w:proofErr w:type="spellEnd"/>
      <w:r w:rsidR="00243F8F" w:rsidRPr="00687919">
        <w:t xml:space="preserve"> </w:t>
      </w:r>
      <w:r w:rsidRPr="00687919">
        <w:rPr>
          <w:u w:val="single"/>
        </w:rPr>
        <w:t xml:space="preserve">das Volumen </w:t>
      </w:r>
      <w:r w:rsidRPr="00687919">
        <w:t xml:space="preserve">für gebrochene Bäume berechnet. Für </w:t>
      </w:r>
      <w:r w:rsidRPr="00687919">
        <w:rPr>
          <w:b/>
          <w:bCs/>
        </w:rPr>
        <w:t>Bruchstücke mit Wurzelanlauf &lt; 3 m Länge</w:t>
      </w:r>
      <w:r w:rsidRPr="00687919">
        <w:t xml:space="preserve"> bzw. Höhe liefert </w:t>
      </w:r>
      <w:r w:rsidR="006D6D25">
        <w:t>TapeS</w:t>
      </w:r>
      <w:r w:rsidRPr="00687919">
        <w:t xml:space="preserve"> jedoch unplausible Totholzvolumina, da es für diesen Wertebereich nicht entsprechend parametrisiert wurde. </w:t>
      </w:r>
    </w:p>
    <w:p w14:paraId="16FA3EA5" w14:textId="1AEED932" w:rsidR="004E200E" w:rsidRPr="00EC318B" w:rsidRDefault="004E200E" w:rsidP="00EC318B">
      <w:pPr>
        <w:pStyle w:val="Liste-1"/>
      </w:pPr>
      <w:r w:rsidRPr="00687919">
        <w:t xml:space="preserve">Alternativ wurde für </w:t>
      </w:r>
      <w:r w:rsidRPr="00687919">
        <w:rPr>
          <w:b/>
          <w:bCs/>
        </w:rPr>
        <w:t>Bruchstücke mit Wurzelanlauf &lt; 3 m Länge</w:t>
      </w:r>
      <w:r w:rsidRPr="00687919">
        <w:t xml:space="preserve"> bzw. Höhe die Zylinderformel angewandt, wobei deren BHD als Prädiktor für den Durchmesser einfließt </w:t>
      </w:r>
    </w:p>
    <w:p w14:paraId="1941F285" w14:textId="77777777" w:rsidR="004E200E" w:rsidRPr="00687919" w:rsidRDefault="004E200E" w:rsidP="001D0D18">
      <w:pPr>
        <w:pStyle w:val="berschrift3"/>
        <w:numPr>
          <w:ilvl w:val="2"/>
          <w:numId w:val="9"/>
        </w:numPr>
        <w:rPr>
          <w:rFonts w:asciiTheme="minorHAnsi" w:hAnsiTheme="minorHAnsi" w:cstheme="minorHAnsi"/>
        </w:rPr>
      </w:pPr>
      <w:bookmarkStart w:id="17" w:name="_Toc137711759"/>
      <w:r w:rsidRPr="00687919">
        <w:rPr>
          <w:rFonts w:asciiTheme="minorHAnsi" w:hAnsiTheme="minorHAnsi" w:cstheme="minorHAnsi"/>
        </w:rPr>
        <w:t>Artengruppen</w:t>
      </w:r>
      <w:bookmarkEnd w:id="17"/>
    </w:p>
    <w:p w14:paraId="43DF9DF6" w14:textId="77777777" w:rsidR="00EC318B" w:rsidRDefault="004E200E" w:rsidP="00EC318B">
      <w:pPr>
        <w:rPr>
          <w:rFonts w:asciiTheme="minorHAnsi" w:hAnsiTheme="minorHAnsi" w:cstheme="minorHAnsi"/>
        </w:rPr>
      </w:pPr>
      <w:r w:rsidRPr="00687919">
        <w:rPr>
          <w:rFonts w:asciiTheme="minorHAnsi" w:hAnsiTheme="minorHAnsi" w:cstheme="minorHAnsi"/>
        </w:rPr>
        <w:t xml:space="preserve">Für die Volumenberechnung mit BDAT bzw. TapeS, also eine Volumenschätzung wie sie auch für lebende Bäume durchgeführt werden soll müssen die Daten des stehenden oder kaum zersetzen Totholzes in </w:t>
      </w:r>
      <w:proofErr w:type="spellStart"/>
      <w:r w:rsidRPr="00687919">
        <w:rPr>
          <w:rFonts w:asciiTheme="minorHAnsi" w:hAnsiTheme="minorHAnsi" w:cstheme="minorHAnsi"/>
        </w:rPr>
        <w:t>TapeS</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objects</w:t>
      </w:r>
      <w:proofErr w:type="spellEnd"/>
      <w:r w:rsidRPr="00687919">
        <w:rPr>
          <w:rFonts w:asciiTheme="minorHAnsi" w:hAnsiTheme="minorHAnsi" w:cstheme="minorHAnsi"/>
        </w:rPr>
        <w:t xml:space="preserve"> zusammengefasst werden. </w:t>
      </w:r>
    </w:p>
    <w:p w14:paraId="6EAD8B4B" w14:textId="1B49EA44" w:rsidR="00EC318B" w:rsidRPr="00EC318B" w:rsidRDefault="00EC318B" w:rsidP="00EC318B">
      <w:r>
        <w:t>Da nicht davon ausgegangen werden kann, dass die</w:t>
      </w:r>
      <w:r w:rsidRPr="00687919">
        <w:t xml:space="preserve"> Totholzstücken dieselbe Artengruppe wie die Hauptbaumart haben, werden alle Totholzstücke von Laubhölzern die nicht Eiche sind als Buche (BWI Artgengruppe BU, TapeS Artencode 15 behandelt). Alle Totholzstücke von Nadelbäumen werden als Fichte behandelt (BWI Artengruppe FI, TapeS Artencode 1) und alle Totholzstücke die Eiche (Artencode 3) sind, als Eiche (BWI Artengruppe EI, </w:t>
      </w:r>
      <w:proofErr w:type="spellStart"/>
      <w:r w:rsidRPr="00687919">
        <w:t>TapeS</w:t>
      </w:r>
      <w:proofErr w:type="spellEnd"/>
      <w:r w:rsidRPr="00687919">
        <w:t xml:space="preserve"> </w:t>
      </w:r>
      <w:proofErr w:type="spellStart"/>
      <w:r w:rsidRPr="00687919">
        <w:t>artencode</w:t>
      </w:r>
      <w:proofErr w:type="spellEnd"/>
      <w:r w:rsidRPr="00687919">
        <w:t xml:space="preserve"> 17). </w:t>
      </w:r>
      <w:r>
        <w:t xml:space="preserve">Totholzstück der Artengruppe </w:t>
      </w:r>
      <w:r w:rsidRPr="00687919">
        <w:rPr>
          <w:rFonts w:asciiTheme="minorHAnsi" w:hAnsiTheme="minorHAnsi" w:cstheme="minorHAnsi"/>
        </w:rPr>
        <w:t>4 („unbekannt“)</w:t>
      </w:r>
      <w:r>
        <w:rPr>
          <w:rFonts w:asciiTheme="minorHAnsi" w:hAnsiTheme="minorHAnsi" w:cstheme="minorHAnsi"/>
        </w:rPr>
        <w:t xml:space="preserve"> wurden, sollte die Hauptbaumart des Bestandes eine Laubbaumart sein, als Buche, sollte die Hauptbaumart des Bestandes eine Nadelbaumart sein als Fichte behandelt. </w:t>
      </w:r>
    </w:p>
    <w:p w14:paraId="671BC02F" w14:textId="77777777" w:rsidR="004E200E" w:rsidRPr="00687919" w:rsidRDefault="004E200E" w:rsidP="001D0D18">
      <w:pPr>
        <w:pStyle w:val="berschrift3"/>
        <w:numPr>
          <w:ilvl w:val="2"/>
          <w:numId w:val="9"/>
        </w:numPr>
        <w:rPr>
          <w:rFonts w:asciiTheme="minorHAnsi" w:hAnsiTheme="minorHAnsi" w:cstheme="minorHAnsi"/>
        </w:rPr>
      </w:pPr>
      <w:bookmarkStart w:id="18" w:name="_Toc137711760"/>
      <w:r w:rsidRPr="00687919">
        <w:rPr>
          <w:rFonts w:asciiTheme="minorHAnsi" w:hAnsiTheme="minorHAnsi" w:cstheme="minorHAnsi"/>
        </w:rPr>
        <w:lastRenderedPageBreak/>
        <w:t>Zersetzungsgrad</w:t>
      </w:r>
      <w:bookmarkEnd w:id="18"/>
    </w:p>
    <w:p w14:paraId="2EA8BBD8" w14:textId="0FB7CB6D" w:rsidR="004E200E" w:rsidRPr="00687919" w:rsidRDefault="004E200E" w:rsidP="004E200E">
      <w:pPr>
        <w:rPr>
          <w:rFonts w:asciiTheme="minorHAnsi" w:hAnsiTheme="minorHAnsi" w:cstheme="minorHAnsi"/>
        </w:rPr>
      </w:pPr>
      <w:r w:rsidRPr="00687919">
        <w:rPr>
          <w:rFonts w:asciiTheme="minorHAnsi" w:hAnsiTheme="minorHAnsi" w:cstheme="minorHAnsi"/>
        </w:rPr>
        <w:t xml:space="preserve">Um die von der BWI, und THGI genutzten </w:t>
      </w:r>
      <w:proofErr w:type="spellStart"/>
      <w:r w:rsidRPr="00687919">
        <w:rPr>
          <w:rFonts w:asciiTheme="minorHAnsi" w:hAnsiTheme="minorHAnsi" w:cstheme="minorHAnsi"/>
        </w:rPr>
        <w:t>Biomass</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extension</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factor</w:t>
      </w:r>
      <w:proofErr w:type="spellEnd"/>
      <w:r w:rsidR="00F66DEE">
        <w:rPr>
          <w:rFonts w:asciiTheme="minorHAnsi" w:hAnsiTheme="minorHAnsi" w:cstheme="minorHAnsi"/>
        </w:rPr>
        <w:t xml:space="preserve"> für </w:t>
      </w:r>
      <w:r w:rsidRPr="00687919">
        <w:rPr>
          <w:rFonts w:asciiTheme="minorHAnsi" w:hAnsiTheme="minorHAnsi" w:cstheme="minorHAnsi"/>
        </w:rPr>
        <w:t>Trockenrohdichte des Totholzes</w:t>
      </w:r>
      <w:r w:rsidR="00F66DEE">
        <w:rPr>
          <w:rFonts w:asciiTheme="minorHAnsi" w:hAnsiTheme="minorHAnsi" w:cstheme="minorHAnsi"/>
        </w:rPr>
        <w:t xml:space="preserve"> </w:t>
      </w:r>
      <w:r w:rsidRPr="00687919">
        <w:rPr>
          <w:rFonts w:asciiTheme="minorHAnsi" w:hAnsiTheme="minorHAnsi" w:cstheme="minorHAnsi"/>
        </w:rPr>
        <w:t xml:space="preserve">anwenden zu können, welche sich auf vier anstatt fünf (wie in </w:t>
      </w:r>
      <w:proofErr w:type="spellStart"/>
      <w:r w:rsidRPr="00687919">
        <w:rPr>
          <w:rFonts w:asciiTheme="minorHAnsi" w:hAnsiTheme="minorHAnsi" w:cstheme="minorHAnsi"/>
        </w:rPr>
        <w:t>BioSoil</w:t>
      </w:r>
      <w:proofErr w:type="spellEnd"/>
      <w:r w:rsidRPr="00687919">
        <w:rPr>
          <w:rFonts w:asciiTheme="minorHAnsi" w:hAnsiTheme="minorHAnsi" w:cstheme="minorHAnsi"/>
        </w:rPr>
        <w:t xml:space="preserve"> und </w:t>
      </w:r>
      <w:proofErr w:type="spellStart"/>
      <w:r w:rsidRPr="00687919">
        <w:rPr>
          <w:rFonts w:asciiTheme="minorHAnsi" w:hAnsiTheme="minorHAnsi" w:cstheme="minorHAnsi"/>
        </w:rPr>
        <w:t>MoMoK</w:t>
      </w:r>
      <w:proofErr w:type="spellEnd"/>
      <w:r w:rsidRPr="00687919">
        <w:rPr>
          <w:rFonts w:asciiTheme="minorHAnsi" w:hAnsiTheme="minorHAnsi" w:cstheme="minorHAnsi"/>
        </w:rPr>
        <w:t xml:space="preserve"> klassifiziert) Zersetzungstypen beziehen, müssen di</w:t>
      </w:r>
      <w:r w:rsidR="00F66DEE">
        <w:rPr>
          <w:rFonts w:asciiTheme="minorHAnsi" w:hAnsiTheme="minorHAnsi" w:cstheme="minorHAnsi"/>
        </w:rPr>
        <w:t>e Zersetzungstypen</w:t>
      </w:r>
      <w:r w:rsidRPr="00687919">
        <w:rPr>
          <w:rFonts w:asciiTheme="minorHAnsi" w:hAnsiTheme="minorHAnsi" w:cstheme="minorHAnsi"/>
        </w:rPr>
        <w:t xml:space="preserve"> zunächst harmonisiert werden. Hierfür müssen zwei der </w:t>
      </w:r>
      <w:proofErr w:type="spellStart"/>
      <w:r w:rsidRPr="00687919">
        <w:rPr>
          <w:rFonts w:asciiTheme="minorHAnsi" w:hAnsiTheme="minorHAnsi" w:cstheme="minorHAnsi"/>
        </w:rPr>
        <w:t>MoMoK</w:t>
      </w:r>
      <w:proofErr w:type="spellEnd"/>
      <w:r w:rsidRPr="00687919">
        <w:rPr>
          <w:rFonts w:asciiTheme="minorHAnsi" w:hAnsiTheme="minorHAnsi" w:cstheme="minorHAnsi"/>
        </w:rPr>
        <w:t xml:space="preserve"> &amp; </w:t>
      </w:r>
      <w:proofErr w:type="spellStart"/>
      <w:r w:rsidRPr="00687919">
        <w:rPr>
          <w:rFonts w:asciiTheme="minorHAnsi" w:hAnsiTheme="minorHAnsi" w:cstheme="minorHAnsi"/>
        </w:rPr>
        <w:t>Biosoil</w:t>
      </w:r>
      <w:proofErr w:type="spellEnd"/>
      <w:r w:rsidRPr="00687919">
        <w:rPr>
          <w:rFonts w:asciiTheme="minorHAnsi" w:hAnsiTheme="minorHAnsi" w:cstheme="minorHAnsi"/>
        </w:rPr>
        <w:t xml:space="preserve"> Zersetzungsklassen zusammengefasst werden. </w:t>
      </w:r>
      <w:r w:rsidRPr="00F66DEE">
        <w:t xml:space="preserve">Hierfür wurden die Zersetzungsgrade 1&amp;2 wie in </w:t>
      </w:r>
      <w:hyperlink r:id="rId32" w:history="1">
        <w:r w:rsidRPr="00F66DEE">
          <w:t>ThnenReport16_C_und_Nhrelementspeicherung_Wald_RP_2014.pdf</w:t>
        </w:r>
      </w:hyperlink>
      <w:r w:rsidRPr="00F66DEE">
        <w:t xml:space="preserve"> zusammengefasst.</w:t>
      </w:r>
      <w:r w:rsidRPr="00687919">
        <w:rPr>
          <w:rFonts w:asciiTheme="minorHAnsi" w:hAnsiTheme="minorHAnsi" w:cstheme="minorHAnsi"/>
          <w:shd w:val="clear" w:color="auto" w:fill="FFFD59"/>
        </w:rPr>
        <w:t xml:space="preserve"> </w:t>
      </w:r>
    </w:p>
    <w:p w14:paraId="3761367B" w14:textId="77777777" w:rsidR="004C7DD6" w:rsidRDefault="004C7DD6" w:rsidP="004C7DD6">
      <w:pPr>
        <w:pStyle w:val="Tabellentext"/>
      </w:pPr>
    </w:p>
    <w:p w14:paraId="1A3B0F1C" w14:textId="6E4710ED" w:rsidR="004E200E" w:rsidRPr="00687919" w:rsidRDefault="004E200E" w:rsidP="004C7DD6">
      <w:pPr>
        <w:pStyle w:val="Tabellentext"/>
      </w:pPr>
      <w:r w:rsidRPr="00687919">
        <w:t xml:space="preserve">Totholz Zersetzungstypen gemäß </w:t>
      </w:r>
      <w:proofErr w:type="spellStart"/>
      <w:r w:rsidRPr="00687919">
        <w:t>MoMok</w:t>
      </w:r>
      <w:proofErr w:type="spellEnd"/>
      <w:r w:rsidRPr="00687919">
        <w:t xml:space="preserve"> &amp; </w:t>
      </w:r>
      <w:proofErr w:type="spellStart"/>
      <w:r w:rsidRPr="00687919">
        <w:t>BioSoil</w:t>
      </w:r>
      <w:proofErr w:type="spellEnd"/>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2130"/>
        <w:gridCol w:w="7395"/>
      </w:tblGrid>
      <w:tr w:rsidR="004E200E" w:rsidRPr="00687919" w14:paraId="00DE86A7" w14:textId="77777777" w:rsidTr="00542EF4">
        <w:trPr>
          <w:tblCellSpacing w:w="0" w:type="dxa"/>
        </w:trPr>
        <w:tc>
          <w:tcPr>
            <w:tcW w:w="100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66BF5D24" w14:textId="77777777" w:rsidR="004E200E" w:rsidRPr="00687919" w:rsidRDefault="004E200E" w:rsidP="00542EF4">
            <w:pPr>
              <w:spacing w:before="100" w:beforeAutospacing="1" w:after="142" w:line="276" w:lineRule="auto"/>
              <w:ind w:left="1134"/>
              <w:rPr>
                <w:rFonts w:asciiTheme="minorHAnsi" w:hAnsiTheme="minorHAnsi" w:cstheme="minorHAnsi"/>
                <w:color w:val="000000"/>
                <w:sz w:val="24"/>
                <w:szCs w:val="24"/>
              </w:rPr>
            </w:pPr>
            <w:r w:rsidRPr="00687919">
              <w:rPr>
                <w:rFonts w:asciiTheme="minorHAnsi" w:hAnsiTheme="minorHAnsi" w:cstheme="minorHAnsi"/>
                <w:b/>
                <w:bCs/>
                <w:color w:val="000000"/>
                <w:sz w:val="20"/>
              </w:rPr>
              <w:t>Kurzzeichen</w:t>
            </w:r>
          </w:p>
        </w:tc>
        <w:tc>
          <w:tcPr>
            <w:tcW w:w="810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56652237" w14:textId="77777777" w:rsidR="004E200E" w:rsidRPr="00687919" w:rsidRDefault="004E200E" w:rsidP="00542EF4">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b/>
                <w:bCs/>
                <w:color w:val="000000"/>
                <w:sz w:val="20"/>
              </w:rPr>
              <w:t>Zersetzungsgrad</w:t>
            </w:r>
          </w:p>
        </w:tc>
      </w:tr>
      <w:tr w:rsidR="004E200E" w:rsidRPr="00687919" w14:paraId="6066A8AF" w14:textId="77777777" w:rsidTr="00542EF4">
        <w:trPr>
          <w:tblCellSpacing w:w="0" w:type="dxa"/>
        </w:trPr>
        <w:tc>
          <w:tcPr>
            <w:tcW w:w="1005" w:type="dxa"/>
            <w:tcBorders>
              <w:top w:val="single" w:sz="6" w:space="0" w:color="000000"/>
              <w:left w:val="nil"/>
              <w:bottom w:val="nil"/>
              <w:right w:val="nil"/>
            </w:tcBorders>
            <w:tcMar>
              <w:top w:w="0" w:type="dxa"/>
              <w:left w:w="0" w:type="dxa"/>
              <w:bottom w:w="0" w:type="dxa"/>
              <w:right w:w="0" w:type="dxa"/>
            </w:tcMar>
            <w:hideMark/>
          </w:tcPr>
          <w:p w14:paraId="73E07301" w14:textId="77777777" w:rsidR="004E200E" w:rsidRPr="00687919" w:rsidRDefault="004E200E" w:rsidP="00542EF4">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1</w:t>
            </w:r>
          </w:p>
        </w:tc>
        <w:tc>
          <w:tcPr>
            <w:tcW w:w="8100" w:type="dxa"/>
            <w:tcBorders>
              <w:top w:val="single" w:sz="6" w:space="0" w:color="000000"/>
              <w:left w:val="nil"/>
              <w:bottom w:val="nil"/>
              <w:right w:val="nil"/>
            </w:tcBorders>
            <w:tcMar>
              <w:top w:w="0" w:type="dxa"/>
              <w:left w:w="0" w:type="dxa"/>
              <w:bottom w:w="0" w:type="dxa"/>
              <w:right w:w="0" w:type="dxa"/>
            </w:tcMar>
            <w:hideMark/>
          </w:tcPr>
          <w:p w14:paraId="04A8F25E" w14:textId="77777777" w:rsidR="004E200E" w:rsidRPr="00687919" w:rsidRDefault="004E200E" w:rsidP="00542EF4">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keine Anzeichen von Zersetzung.</w:t>
            </w:r>
          </w:p>
        </w:tc>
      </w:tr>
      <w:tr w:rsidR="004E200E" w:rsidRPr="00687919" w14:paraId="1FDE0020" w14:textId="77777777" w:rsidTr="00542EF4">
        <w:trPr>
          <w:tblCellSpacing w:w="0" w:type="dxa"/>
        </w:trPr>
        <w:tc>
          <w:tcPr>
            <w:tcW w:w="1005" w:type="dxa"/>
            <w:tcMar>
              <w:top w:w="0" w:type="dxa"/>
              <w:left w:w="0" w:type="dxa"/>
              <w:bottom w:w="0" w:type="dxa"/>
              <w:right w:w="0" w:type="dxa"/>
            </w:tcMar>
            <w:hideMark/>
          </w:tcPr>
          <w:p w14:paraId="5D6225AD" w14:textId="77777777" w:rsidR="004E200E" w:rsidRPr="00687919" w:rsidRDefault="004E200E" w:rsidP="00542EF4">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2</w:t>
            </w:r>
          </w:p>
        </w:tc>
        <w:tc>
          <w:tcPr>
            <w:tcW w:w="8100" w:type="dxa"/>
            <w:tcMar>
              <w:top w:w="0" w:type="dxa"/>
              <w:left w:w="0" w:type="dxa"/>
              <w:bottom w:w="0" w:type="dxa"/>
              <w:right w:w="0" w:type="dxa"/>
            </w:tcMar>
            <w:hideMark/>
          </w:tcPr>
          <w:p w14:paraId="194C5177" w14:textId="77777777" w:rsidR="004E200E" w:rsidRPr="00687919" w:rsidRDefault="004E200E" w:rsidP="00542EF4">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festes Holz; weniger als 10 % des Holzes zeigt eine veränderte Struktur, das Holz hat eine feste Oberfläche. Das Totholzobjekt ist nur zu einem sehr geringen Anteil von holzzersetzenden Organismen besiedelt.</w:t>
            </w:r>
          </w:p>
        </w:tc>
      </w:tr>
      <w:tr w:rsidR="004E200E" w:rsidRPr="00687919" w14:paraId="2816FC52" w14:textId="77777777" w:rsidTr="00542EF4">
        <w:trPr>
          <w:tblCellSpacing w:w="0" w:type="dxa"/>
        </w:trPr>
        <w:tc>
          <w:tcPr>
            <w:tcW w:w="1005" w:type="dxa"/>
            <w:tcMar>
              <w:top w:w="0" w:type="dxa"/>
              <w:left w:w="0" w:type="dxa"/>
              <w:bottom w:w="0" w:type="dxa"/>
              <w:right w:w="0" w:type="dxa"/>
            </w:tcMar>
            <w:hideMark/>
          </w:tcPr>
          <w:p w14:paraId="22B78074" w14:textId="77777777" w:rsidR="004E200E" w:rsidRPr="00687919" w:rsidRDefault="004E200E" w:rsidP="00542EF4">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3</w:t>
            </w:r>
          </w:p>
        </w:tc>
        <w:tc>
          <w:tcPr>
            <w:tcW w:w="8100" w:type="dxa"/>
            <w:tcMar>
              <w:top w:w="0" w:type="dxa"/>
              <w:left w:w="0" w:type="dxa"/>
              <w:bottom w:w="0" w:type="dxa"/>
              <w:right w:w="0" w:type="dxa"/>
            </w:tcMar>
            <w:hideMark/>
          </w:tcPr>
          <w:p w14:paraId="74C797C9" w14:textId="77777777" w:rsidR="004E200E" w:rsidRPr="00687919" w:rsidRDefault="004E200E" w:rsidP="00542EF4">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leichte Zersetzung; 10-25 % des Holzes zeigen aufgrund der Zersetzungsprozesse eine veränderte Struktur. Dies kann durch das Hereinstecken eines scharfen Gegenstandes in das Totholzobjekt getestet werden.</w:t>
            </w:r>
          </w:p>
        </w:tc>
      </w:tr>
      <w:tr w:rsidR="004E200E" w:rsidRPr="00687919" w14:paraId="45B6D648" w14:textId="77777777" w:rsidTr="00542EF4">
        <w:trPr>
          <w:tblCellSpacing w:w="0" w:type="dxa"/>
        </w:trPr>
        <w:tc>
          <w:tcPr>
            <w:tcW w:w="1005" w:type="dxa"/>
            <w:tcMar>
              <w:top w:w="0" w:type="dxa"/>
              <w:left w:w="0" w:type="dxa"/>
              <w:bottom w:w="0" w:type="dxa"/>
              <w:right w:w="0" w:type="dxa"/>
            </w:tcMar>
            <w:hideMark/>
          </w:tcPr>
          <w:p w14:paraId="14DAAAD6" w14:textId="77777777" w:rsidR="004E200E" w:rsidRPr="00687919" w:rsidRDefault="004E200E" w:rsidP="00542EF4">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4</w:t>
            </w:r>
          </w:p>
        </w:tc>
        <w:tc>
          <w:tcPr>
            <w:tcW w:w="8100" w:type="dxa"/>
            <w:tcMar>
              <w:top w:w="0" w:type="dxa"/>
              <w:left w:w="0" w:type="dxa"/>
              <w:bottom w:w="0" w:type="dxa"/>
              <w:right w:w="0" w:type="dxa"/>
            </w:tcMar>
            <w:hideMark/>
          </w:tcPr>
          <w:p w14:paraId="23D88D70" w14:textId="77777777" w:rsidR="004E200E" w:rsidRPr="00687919" w:rsidRDefault="004E200E" w:rsidP="00542EF4">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 xml:space="preserve">zersetztes, </w:t>
            </w:r>
            <w:proofErr w:type="spellStart"/>
            <w:r w:rsidRPr="00687919">
              <w:rPr>
                <w:rFonts w:asciiTheme="minorHAnsi" w:hAnsiTheme="minorHAnsi" w:cstheme="minorHAnsi"/>
                <w:color w:val="000000"/>
                <w:sz w:val="20"/>
              </w:rPr>
              <w:t>angerottetes</w:t>
            </w:r>
            <w:proofErr w:type="spellEnd"/>
            <w:r w:rsidRPr="00687919">
              <w:rPr>
                <w:rFonts w:asciiTheme="minorHAnsi" w:hAnsiTheme="minorHAnsi" w:cstheme="minorHAnsi"/>
                <w:color w:val="000000"/>
                <w:sz w:val="20"/>
              </w:rPr>
              <w:t xml:space="preserve"> Holz; 26 %-75 % des Holzes sind weich bis sehr weich.</w:t>
            </w:r>
          </w:p>
        </w:tc>
      </w:tr>
      <w:tr w:rsidR="004E200E" w:rsidRPr="00687919" w14:paraId="6BA80F0A" w14:textId="77777777" w:rsidTr="00542EF4">
        <w:trPr>
          <w:tblCellSpacing w:w="0" w:type="dxa"/>
        </w:trPr>
        <w:tc>
          <w:tcPr>
            <w:tcW w:w="1005" w:type="dxa"/>
            <w:tcBorders>
              <w:top w:val="nil"/>
              <w:left w:val="nil"/>
              <w:bottom w:val="single" w:sz="6" w:space="0" w:color="000000"/>
              <w:right w:val="nil"/>
            </w:tcBorders>
            <w:tcMar>
              <w:top w:w="0" w:type="dxa"/>
              <w:left w:w="0" w:type="dxa"/>
              <w:bottom w:w="0" w:type="dxa"/>
              <w:right w:w="0" w:type="dxa"/>
            </w:tcMar>
            <w:hideMark/>
          </w:tcPr>
          <w:p w14:paraId="124764C5" w14:textId="77777777" w:rsidR="004E200E" w:rsidRPr="00687919" w:rsidRDefault="004E200E" w:rsidP="00542EF4">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5</w:t>
            </w:r>
          </w:p>
        </w:tc>
        <w:tc>
          <w:tcPr>
            <w:tcW w:w="8100" w:type="dxa"/>
            <w:tcBorders>
              <w:top w:val="nil"/>
              <w:left w:val="nil"/>
              <w:bottom w:val="single" w:sz="6" w:space="0" w:color="000000"/>
              <w:right w:val="nil"/>
            </w:tcBorders>
            <w:tcMar>
              <w:top w:w="0" w:type="dxa"/>
              <w:left w:w="0" w:type="dxa"/>
              <w:bottom w:w="0" w:type="dxa"/>
              <w:right w:w="0" w:type="dxa"/>
            </w:tcMar>
            <w:hideMark/>
          </w:tcPr>
          <w:p w14:paraId="57F1A086" w14:textId="77777777" w:rsidR="004E200E" w:rsidRPr="00687919" w:rsidRDefault="004E200E" w:rsidP="00542EF4">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 xml:space="preserve">stark zersetztes, </w:t>
            </w:r>
            <w:proofErr w:type="spellStart"/>
            <w:r w:rsidRPr="00687919">
              <w:rPr>
                <w:rFonts w:asciiTheme="minorHAnsi" w:hAnsiTheme="minorHAnsi" w:cstheme="minorHAnsi"/>
                <w:color w:val="000000"/>
                <w:sz w:val="20"/>
              </w:rPr>
              <w:t>angerottetes</w:t>
            </w:r>
            <w:proofErr w:type="spellEnd"/>
            <w:r w:rsidRPr="00687919">
              <w:rPr>
                <w:rFonts w:asciiTheme="minorHAnsi" w:hAnsiTheme="minorHAnsi" w:cstheme="minorHAnsi"/>
                <w:color w:val="000000"/>
                <w:sz w:val="20"/>
              </w:rPr>
              <w:t xml:space="preserve"> Holz; 76 %-100 % des Holzes sind weich.</w:t>
            </w:r>
          </w:p>
        </w:tc>
      </w:tr>
    </w:tbl>
    <w:p w14:paraId="2955F516" w14:textId="77777777" w:rsidR="004E200E" w:rsidRPr="00687919" w:rsidRDefault="004E200E" w:rsidP="004E200E">
      <w:pPr>
        <w:pStyle w:val="berschrift3"/>
        <w:numPr>
          <w:ilvl w:val="2"/>
          <w:numId w:val="1"/>
        </w:numPr>
      </w:pPr>
      <w:bookmarkStart w:id="19" w:name="_Toc137711761"/>
      <w:r w:rsidRPr="00687919">
        <w:t>Totholzdichte</w:t>
      </w:r>
      <w:bookmarkEnd w:id="19"/>
    </w:p>
    <w:p w14:paraId="61A8099C" w14:textId="4E900532" w:rsidR="004E200E" w:rsidRDefault="004E200E" w:rsidP="004E200E">
      <w:pPr>
        <w:rPr>
          <w:rFonts w:asciiTheme="minorHAnsi" w:hAnsiTheme="minorHAnsi" w:cstheme="minorHAnsi"/>
        </w:rPr>
      </w:pPr>
      <w:r w:rsidRPr="00687919">
        <w:rPr>
          <w:rFonts w:asciiTheme="minorHAnsi" w:hAnsiTheme="minorHAnsi" w:cstheme="minorHAnsi"/>
        </w:rPr>
        <w:t>Die Totholzdichte</w:t>
      </w:r>
      <w:r w:rsidRPr="00687919" w:rsidDel="00E45778">
        <w:rPr>
          <w:rFonts w:asciiTheme="minorHAnsi" w:hAnsiTheme="minorHAnsi" w:cstheme="minorHAnsi"/>
        </w:rPr>
        <w:t xml:space="preserve"> </w:t>
      </w:r>
      <w:r w:rsidR="00081D12">
        <w:rPr>
          <w:rFonts w:asciiTheme="minorHAnsi" w:hAnsiTheme="minorHAnsi" w:cstheme="minorHAnsi"/>
        </w:rPr>
        <w:t>(</w:t>
      </w:r>
      <w:proofErr w:type="spellStart"/>
      <w:r w:rsidRPr="00687919">
        <w:rPr>
          <w:rFonts w:asciiTheme="minorHAnsi" w:hAnsiTheme="minorHAnsi" w:cstheme="minorHAnsi"/>
        </w:rPr>
        <w:t>deadwood</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bulk</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dens</w:t>
      </w:r>
      <w:r>
        <w:rPr>
          <w:rFonts w:asciiTheme="minorHAnsi" w:hAnsiTheme="minorHAnsi" w:cstheme="minorHAnsi"/>
        </w:rPr>
        <w:t>i</w:t>
      </w:r>
      <w:r w:rsidRPr="00687919">
        <w:rPr>
          <w:rFonts w:asciiTheme="minorHAnsi" w:hAnsiTheme="minorHAnsi" w:cstheme="minorHAnsi"/>
        </w:rPr>
        <w:t>ty</w:t>
      </w:r>
      <w:proofErr w:type="spellEnd"/>
      <w:r w:rsidR="00081D12">
        <w:rPr>
          <w:rFonts w:asciiTheme="minorHAnsi" w:hAnsiTheme="minorHAnsi" w:cstheme="minorHAnsi"/>
        </w:rPr>
        <w:t xml:space="preserve">) </w:t>
      </w:r>
      <w:r w:rsidRPr="00687919">
        <w:rPr>
          <w:rFonts w:asciiTheme="minorHAnsi" w:hAnsiTheme="minorHAnsi" w:cstheme="minorHAnsi"/>
        </w:rPr>
        <w:t>wird gemäß des Zersetzungsgrades zugewiesen</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_Ref136505508 \h </w:instrText>
      </w:r>
      <w:r>
        <w:rPr>
          <w:rFonts w:asciiTheme="minorHAnsi" w:hAnsiTheme="minorHAnsi" w:cstheme="minorHAnsi"/>
        </w:rPr>
      </w:r>
      <w:r>
        <w:rPr>
          <w:rFonts w:asciiTheme="minorHAnsi" w:hAnsiTheme="minorHAnsi" w:cstheme="minorHAnsi"/>
        </w:rPr>
        <w:fldChar w:fldCharType="separate"/>
      </w:r>
      <w:r w:rsidR="009013E2">
        <w:t>Abbildung </w:t>
      </w:r>
      <w:r w:rsidR="009013E2">
        <w:rPr>
          <w:noProof/>
        </w:rPr>
        <w:t>2</w:t>
      </w:r>
      <w:r>
        <w:rPr>
          <w:rFonts w:asciiTheme="minorHAnsi" w:hAnsiTheme="minorHAnsi" w:cstheme="minorHAnsi"/>
        </w:rPr>
        <w:fldChar w:fldCharType="end"/>
      </w:r>
      <w:r>
        <w:rPr>
          <w:rFonts w:asciiTheme="minorHAnsi" w:hAnsiTheme="minorHAnsi" w:cstheme="minorHAnsi"/>
        </w:rPr>
        <w:t>)</w:t>
      </w:r>
      <w:r w:rsidRPr="00687919">
        <w:rPr>
          <w:rFonts w:asciiTheme="minorHAnsi" w:hAnsiTheme="minorHAnsi" w:cstheme="minorHAnsi"/>
        </w:rPr>
        <w:t xml:space="preserve">. Die </w:t>
      </w:r>
      <w:r>
        <w:rPr>
          <w:rFonts w:asciiTheme="minorHAnsi" w:hAnsiTheme="minorHAnsi" w:cstheme="minorHAnsi"/>
        </w:rPr>
        <w:t>e</w:t>
      </w:r>
      <w:r w:rsidRPr="00687919">
        <w:rPr>
          <w:rFonts w:asciiTheme="minorHAnsi" w:hAnsiTheme="minorHAnsi" w:cstheme="minorHAnsi"/>
        </w:rPr>
        <w:t xml:space="preserve">ntsprechenden Dichten wurden der TGHI &amp; BWI Methodik </w:t>
      </w: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REF _Ref136505629 \h </w:instrText>
      </w:r>
      <w:r>
        <w:rPr>
          <w:rFonts w:asciiTheme="minorHAnsi" w:hAnsiTheme="minorHAnsi" w:cstheme="minorHAnsi"/>
        </w:rPr>
      </w:r>
      <w:r>
        <w:rPr>
          <w:rFonts w:asciiTheme="minorHAnsi" w:hAnsiTheme="minorHAnsi" w:cstheme="minorHAnsi"/>
        </w:rPr>
        <w:fldChar w:fldCharType="separate"/>
      </w:r>
      <w:r w:rsidR="009013E2">
        <w:t>Abbildung </w:t>
      </w:r>
      <w:r w:rsidR="009013E2">
        <w:rPr>
          <w:noProof/>
        </w:rPr>
        <w:t>1</w:t>
      </w:r>
      <w:r>
        <w:rPr>
          <w:rFonts w:asciiTheme="minorHAnsi" w:hAnsiTheme="minorHAnsi" w:cstheme="minorHAnsi"/>
        </w:rPr>
        <w:fldChar w:fldCharType="end"/>
      </w:r>
      <w:r>
        <w:rPr>
          <w:rFonts w:asciiTheme="minorHAnsi" w:hAnsiTheme="minorHAnsi" w:cstheme="minorHAnsi"/>
        </w:rPr>
        <w:t xml:space="preserve">) </w:t>
      </w:r>
      <w:r w:rsidRPr="00687919">
        <w:rPr>
          <w:rFonts w:asciiTheme="minorHAnsi" w:hAnsiTheme="minorHAnsi" w:cstheme="minorHAnsi"/>
        </w:rPr>
        <w:t xml:space="preserve">entnommen, wobei sie ursprünglich aus Veröffentlichungen von </w:t>
      </w:r>
      <w:proofErr w:type="spellStart"/>
      <w:r w:rsidRPr="00687919">
        <w:rPr>
          <w:rFonts w:asciiTheme="minorHAnsi" w:hAnsiTheme="minorHAnsi" w:cstheme="minorHAnsi"/>
        </w:rPr>
        <w:t>Fraver</w:t>
      </w:r>
      <w:proofErr w:type="spellEnd"/>
      <w:r w:rsidRPr="00687919">
        <w:rPr>
          <w:rFonts w:asciiTheme="minorHAnsi" w:hAnsiTheme="minorHAnsi" w:cstheme="minorHAnsi"/>
        </w:rPr>
        <w:t xml:space="preserve"> et al.</w:t>
      </w:r>
      <w:r>
        <w:rPr>
          <w:rFonts w:asciiTheme="minorHAnsi" w:hAnsiTheme="minorHAnsi" w:cstheme="minorHAnsi"/>
        </w:rPr>
        <w:t xml:space="preserve"> 2002</w:t>
      </w:r>
      <w:r w:rsidRPr="00687919">
        <w:rPr>
          <w:rFonts w:asciiTheme="minorHAnsi" w:hAnsiTheme="minorHAnsi" w:cstheme="minorHAnsi"/>
        </w:rPr>
        <w:t xml:space="preserve"> (Nadelholz) und Müller-</w:t>
      </w:r>
      <w:proofErr w:type="spellStart"/>
      <w:r w:rsidRPr="00687919">
        <w:rPr>
          <w:rFonts w:asciiTheme="minorHAnsi" w:hAnsiTheme="minorHAnsi" w:cstheme="minorHAnsi"/>
        </w:rPr>
        <w:t>Ursing</w:t>
      </w:r>
      <w:proofErr w:type="spellEnd"/>
      <w:r>
        <w:rPr>
          <w:rFonts w:asciiTheme="minorHAnsi" w:hAnsiTheme="minorHAnsi" w:cstheme="minorHAnsi"/>
        </w:rPr>
        <w:t xml:space="preserve"> und Bartsch </w:t>
      </w:r>
      <w:r w:rsidR="00081D12">
        <w:rPr>
          <w:rFonts w:asciiTheme="minorHAnsi" w:hAnsiTheme="minorHAnsi" w:cstheme="minorHAnsi"/>
        </w:rPr>
        <w:t>(</w:t>
      </w:r>
      <w:r>
        <w:rPr>
          <w:rFonts w:asciiTheme="minorHAnsi" w:hAnsiTheme="minorHAnsi" w:cstheme="minorHAnsi"/>
        </w:rPr>
        <w:t>2009</w:t>
      </w:r>
      <w:r w:rsidR="00081D12">
        <w:rPr>
          <w:rFonts w:asciiTheme="minorHAnsi" w:hAnsiTheme="minorHAnsi" w:cstheme="minorHAnsi"/>
        </w:rPr>
        <w:t>)</w:t>
      </w:r>
      <w:r w:rsidRPr="00687919">
        <w:rPr>
          <w:rFonts w:asciiTheme="minorHAnsi" w:hAnsiTheme="minorHAnsi" w:cstheme="minorHAnsi"/>
        </w:rPr>
        <w:t xml:space="preserve"> entnommen wurden.</w:t>
      </w:r>
    </w:p>
    <w:p w14:paraId="06857D7E" w14:textId="148F523D" w:rsidR="004E200E" w:rsidRPr="0072437D" w:rsidRDefault="0072437D" w:rsidP="00206A1D">
      <w:pPr>
        <w:pStyle w:val="Grafik"/>
        <w:rPr>
          <w:rStyle w:val="Hervorhebung"/>
          <w:i w:val="0"/>
          <w:iCs w:val="0"/>
        </w:rPr>
      </w:pPr>
      <w:bookmarkStart w:id="20" w:name="_Ref136505629"/>
      <w:r>
        <w:t>Abbildung </w:t>
      </w:r>
      <w:r>
        <w:fldChar w:fldCharType="begin"/>
      </w:r>
      <w:r>
        <w:instrText xml:space="preserve"> SEQ Abbildung \* ARABIC </w:instrText>
      </w:r>
      <w:r>
        <w:fldChar w:fldCharType="separate"/>
      </w:r>
      <w:r w:rsidR="009013E2">
        <w:t>1</w:t>
      </w:r>
      <w:r>
        <w:fldChar w:fldCharType="end"/>
      </w:r>
      <w:bookmarkEnd w:id="20"/>
      <w:r>
        <w:t xml:space="preserve">: Berechnung der Totholz Biomasse (Quelle: </w:t>
      </w:r>
      <w:hyperlink r:id="rId33" w:history="1">
        <w:r w:rsidRPr="00167312">
          <w:rPr>
            <w:rStyle w:val="Hyperlink"/>
          </w:rPr>
          <w:t>https://bwi.info/Download/de/Methodik/BMEL_BWI_Methodenband_Web_BWI3.pdf</w:t>
        </w:r>
      </w:hyperlink>
      <w:r>
        <w:rPr>
          <w:rStyle w:val="Hyperlink"/>
        </w:rPr>
        <w:t xml:space="preserve"> </w:t>
      </w:r>
      <w:r w:rsidRPr="00A25A7C">
        <w:rPr>
          <w:rStyle w:val="Hyperlink"/>
        </w:rPr>
        <w:t>Seite 44</w:t>
      </w:r>
      <w:r>
        <w:fldChar w:fldCharType="begin"/>
      </w:r>
      <w:r>
        <w:instrText xml:space="preserve"> REF _Ref136505629 \h  \* MERGEFORMAT </w:instrText>
      </w:r>
      <w:r>
        <w:fldChar w:fldCharType="separate"/>
      </w:r>
      <w:r w:rsidR="009013E2">
        <w:t>Abbildung 1</w:t>
      </w:r>
      <w:r>
        <w:fldChar w:fldCharType="end"/>
      </w:r>
    </w:p>
    <w:p w14:paraId="4A2BF9C1" w14:textId="220D1348" w:rsidR="004E200E" w:rsidRDefault="0072437D" w:rsidP="004E200E">
      <w:pPr>
        <w:pStyle w:val="Beschriftung"/>
        <w:rPr>
          <w:rStyle w:val="Hyperlink"/>
        </w:rPr>
      </w:pPr>
      <w:r>
        <w:drawing>
          <wp:inline distT="0" distB="0" distL="0" distR="0" wp14:anchorId="353E8FD8" wp14:editId="3C21241D">
            <wp:extent cx="4406400" cy="1160893"/>
            <wp:effectExtent l="0" t="0" r="0" b="1270"/>
            <wp:docPr id="3" name="Grafik 2">
              <a:extLst xmlns:a="http://schemas.openxmlformats.org/drawingml/2006/main">
                <a:ext uri="{FF2B5EF4-FFF2-40B4-BE49-F238E27FC236}">
                  <a16:creationId xmlns:a16="http://schemas.microsoft.com/office/drawing/2014/main" id="{02ECDDF3-DB3F-44D1-A38D-CFC2C39C38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id="{02ECDDF3-DB3F-44D1-A38D-CFC2C39C3809}"/>
                        </a:ext>
                      </a:extLst>
                    </pic:cNvPr>
                    <pic:cNvPicPr>
                      <a:picLocks noChangeAspect="1"/>
                    </pic:cNvPicPr>
                  </pic:nvPicPr>
                  <pic:blipFill>
                    <a:blip r:embed="rId34"/>
                    <a:stretch>
                      <a:fillRect/>
                    </a:stretch>
                  </pic:blipFill>
                  <pic:spPr>
                    <a:xfrm>
                      <a:off x="0" y="0"/>
                      <a:ext cx="4409331" cy="1161665"/>
                    </a:xfrm>
                    <a:prstGeom prst="rect">
                      <a:avLst/>
                    </a:prstGeom>
                  </pic:spPr>
                </pic:pic>
              </a:graphicData>
            </a:graphic>
          </wp:inline>
        </w:drawing>
      </w:r>
    </w:p>
    <w:p w14:paraId="6AA98479" w14:textId="052E97A1" w:rsidR="0072437D" w:rsidRPr="00206A1D" w:rsidRDefault="0072437D" w:rsidP="00206A1D">
      <w:pPr>
        <w:pStyle w:val="Tabellentext"/>
        <w:rPr>
          <w:color w:val="0563C1" w:themeColor="hyperlink"/>
          <w:u w:val="single"/>
        </w:rPr>
      </w:pPr>
      <w:bookmarkStart w:id="21" w:name="_Ref136505508"/>
      <w:r>
        <w:t>Abbildung </w:t>
      </w:r>
      <w:r w:rsidR="007833DD">
        <w:fldChar w:fldCharType="begin"/>
      </w:r>
      <w:r w:rsidR="007833DD">
        <w:instrText xml:space="preserve"> SEQ Abbildung \* ARABIC </w:instrText>
      </w:r>
      <w:r w:rsidR="007833DD">
        <w:fldChar w:fldCharType="separate"/>
      </w:r>
      <w:r w:rsidR="009013E2">
        <w:rPr>
          <w:noProof/>
        </w:rPr>
        <w:t>2</w:t>
      </w:r>
      <w:r w:rsidR="007833DD">
        <w:rPr>
          <w:noProof/>
        </w:rPr>
        <w:fldChar w:fldCharType="end"/>
      </w:r>
      <w:bookmarkEnd w:id="21"/>
      <w:r>
        <w:t>: Holzdichten (</w:t>
      </w:r>
      <w:r w:rsidRPr="00A25A7C">
        <w:rPr>
          <w:rFonts w:ascii="Symbol" w:hAnsi="Symbol"/>
        </w:rPr>
        <w:t></w:t>
      </w:r>
      <w:r>
        <w:rPr>
          <w:rFonts w:ascii="Symbol" w:hAnsi="Symbol"/>
        </w:rPr>
        <w:t></w:t>
      </w:r>
      <w:r>
        <w:rPr>
          <w:rFonts w:ascii="Symbol" w:hAnsi="Symbol"/>
        </w:rPr>
        <w:t></w:t>
      </w:r>
      <w:r w:rsidRPr="00CC06E8">
        <w:t>g/</w:t>
      </w:r>
      <w:r>
        <w:t>c</w:t>
      </w:r>
      <w:r w:rsidRPr="00CC06E8">
        <w:t>m³</w:t>
      </w:r>
      <w:r>
        <w:t xml:space="preserve">]) nach Totholzgruppe und Zersetzungsgrad (Quelle: </w:t>
      </w:r>
      <w:hyperlink r:id="rId35" w:history="1">
        <w:r w:rsidRPr="00374A82">
          <w:rPr>
            <w:rStyle w:val="Hyperlink"/>
          </w:rPr>
          <w:t>https://bwi.info/Download/de/Methodik/BMEL_BWI_Methodenband_Web_BWI3.pdf Seite 44</w:t>
        </w:r>
      </w:hyperlink>
    </w:p>
    <w:p w14:paraId="141936AF" w14:textId="77777777" w:rsidR="004E200E" w:rsidRDefault="004E200E" w:rsidP="004E200E">
      <w:pPr>
        <w:rPr>
          <w:rFonts w:asciiTheme="minorHAnsi" w:hAnsiTheme="minorHAnsi" w:cstheme="minorHAnsi"/>
        </w:rPr>
      </w:pPr>
      <w:r w:rsidRPr="00E658DA">
        <w:rPr>
          <w:rFonts w:asciiTheme="minorHAnsi" w:hAnsiTheme="minorHAnsi" w:cstheme="minorHAnsi"/>
          <w:b/>
          <w:noProof/>
        </w:rPr>
        <w:lastRenderedPageBreak/>
        <w:drawing>
          <wp:inline distT="0" distB="0" distL="0" distR="0" wp14:anchorId="2B385C01" wp14:editId="2C2E4A09">
            <wp:extent cx="4524375" cy="1948180"/>
            <wp:effectExtent l="0" t="0" r="9525" b="0"/>
            <wp:docPr id="2" name="Grafik 2" descr="BB6671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BB6671D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24375" cy="1948180"/>
                    </a:xfrm>
                    <a:prstGeom prst="rect">
                      <a:avLst/>
                    </a:prstGeom>
                    <a:noFill/>
                    <a:ln>
                      <a:noFill/>
                    </a:ln>
                  </pic:spPr>
                </pic:pic>
              </a:graphicData>
            </a:graphic>
          </wp:inline>
        </w:drawing>
      </w:r>
    </w:p>
    <w:p w14:paraId="3BD826CF" w14:textId="77777777" w:rsidR="004E200E" w:rsidRPr="00687919" w:rsidRDefault="004E200E" w:rsidP="001D0D18">
      <w:pPr>
        <w:pStyle w:val="berschrift3"/>
        <w:numPr>
          <w:ilvl w:val="2"/>
          <w:numId w:val="9"/>
        </w:numPr>
        <w:rPr>
          <w:rFonts w:asciiTheme="minorHAnsi" w:hAnsiTheme="minorHAnsi" w:cstheme="minorHAnsi"/>
        </w:rPr>
      </w:pPr>
      <w:bookmarkStart w:id="22" w:name="_Toc137711762"/>
      <w:r w:rsidRPr="00687919">
        <w:rPr>
          <w:rFonts w:asciiTheme="minorHAnsi" w:hAnsiTheme="minorHAnsi" w:cstheme="minorHAnsi"/>
        </w:rPr>
        <w:t>Relative Totholzdichte für TapeS Biomasse in Kompartimenten</w:t>
      </w:r>
      <w:bookmarkEnd w:id="22"/>
    </w:p>
    <w:p w14:paraId="6E55A7F1" w14:textId="77777777" w:rsidR="004E200E" w:rsidRPr="00687919" w:rsidRDefault="004E200E" w:rsidP="004E200E">
      <w:pPr>
        <w:rPr>
          <w:rFonts w:asciiTheme="minorHAnsi" w:hAnsiTheme="minorHAnsi" w:cstheme="minorHAnsi"/>
        </w:rPr>
      </w:pPr>
      <w:r w:rsidRPr="00687919">
        <w:rPr>
          <w:rFonts w:asciiTheme="minorHAnsi" w:hAnsiTheme="minorHAnsi" w:cstheme="minorHAnsi"/>
        </w:rPr>
        <w:t xml:space="preserve">Um die Biomasse der </w:t>
      </w:r>
      <w:r>
        <w:rPr>
          <w:rFonts w:asciiTheme="minorHAnsi" w:hAnsiTheme="minorHAnsi" w:cstheme="minorHAnsi"/>
        </w:rPr>
        <w:t>d</w:t>
      </w:r>
      <w:r w:rsidRPr="00687919">
        <w:rPr>
          <w:rFonts w:asciiTheme="minorHAnsi" w:hAnsiTheme="minorHAnsi" w:cstheme="minorHAnsi"/>
        </w:rPr>
        <w:t xml:space="preserve">urch TapeS berechneten Biomasse in den jeweiligen Kompartimenten um den Biomassenverlust durch Zersetzung reduzieren zu können, wurde die relative Dichte auf </w:t>
      </w:r>
      <w:proofErr w:type="spellStart"/>
      <w:r>
        <w:rPr>
          <w:rFonts w:asciiTheme="minorHAnsi" w:hAnsiTheme="minorHAnsi" w:cstheme="minorHAnsi"/>
        </w:rPr>
        <w:t>b</w:t>
      </w:r>
      <w:r w:rsidRPr="00687919">
        <w:rPr>
          <w:rFonts w:asciiTheme="minorHAnsi" w:hAnsiTheme="minorHAnsi" w:cstheme="minorHAnsi"/>
        </w:rPr>
        <w:t>asis</w:t>
      </w:r>
      <w:proofErr w:type="spellEnd"/>
      <w:r w:rsidRPr="00687919">
        <w:rPr>
          <w:rFonts w:asciiTheme="minorHAnsi" w:hAnsiTheme="minorHAnsi" w:cstheme="minorHAnsi"/>
        </w:rPr>
        <w:t xml:space="preserve"> der Totholzdichten in den jeweiligen Zers</w:t>
      </w:r>
      <w:r>
        <w:rPr>
          <w:rFonts w:asciiTheme="minorHAnsi" w:hAnsiTheme="minorHAnsi" w:cstheme="minorHAnsi"/>
        </w:rPr>
        <w:t>e</w:t>
      </w:r>
      <w:r w:rsidRPr="00687919">
        <w:rPr>
          <w:rFonts w:asciiTheme="minorHAnsi" w:hAnsiTheme="minorHAnsi" w:cstheme="minorHAnsi"/>
        </w:rPr>
        <w:t xml:space="preserve">tzungsgraden bestimmt und dann auf die berechnete Biomasse bezogen. </w:t>
      </w:r>
    </w:p>
    <w:p w14:paraId="6718B319" w14:textId="77777777" w:rsidR="004E200E" w:rsidRPr="00687919" w:rsidRDefault="004E200E" w:rsidP="004E200E">
      <w:pPr>
        <w:rPr>
          <w:rFonts w:asciiTheme="minorHAnsi" w:hAnsiTheme="minorHAnsi" w:cstheme="minorHAnsi"/>
        </w:rPr>
      </w:pPr>
      <w:r w:rsidRPr="00687919">
        <w:rPr>
          <w:rFonts w:asciiTheme="minorHAnsi" w:hAnsiTheme="minorHAnsi" w:cstheme="minorHAnsi"/>
        </w:rPr>
        <w:t xml:space="preserve">Die </w:t>
      </w:r>
      <w:r>
        <w:rPr>
          <w:rFonts w:asciiTheme="minorHAnsi" w:hAnsiTheme="minorHAnsi" w:cstheme="minorHAnsi"/>
        </w:rPr>
        <w:t>B</w:t>
      </w:r>
      <w:r w:rsidRPr="00687919">
        <w:rPr>
          <w:rFonts w:asciiTheme="minorHAnsi" w:hAnsiTheme="minorHAnsi" w:cstheme="minorHAnsi"/>
        </w:rPr>
        <w:t xml:space="preserve">erechnung der relativen Dichte erfolgte wie folgt: </w:t>
      </w:r>
    </w:p>
    <w:p w14:paraId="399BAB50" w14:textId="08E18A8D" w:rsidR="004E200E" w:rsidRPr="00687919" w:rsidRDefault="004E200E" w:rsidP="00081D12">
      <w:pPr>
        <w:pStyle w:val="Listenabsatz"/>
        <w:numPr>
          <w:ilvl w:val="0"/>
          <w:numId w:val="26"/>
        </w:numPr>
        <w:rPr>
          <w:rFonts w:asciiTheme="minorHAnsi" w:hAnsiTheme="minorHAnsi" w:cstheme="minorHAnsi"/>
        </w:rPr>
      </w:pPr>
      <w:r w:rsidRPr="00E33A6F">
        <w:rPr>
          <w:rFonts w:asciiTheme="minorHAnsi" w:hAnsiTheme="minorHAnsi" w:cstheme="minorHAnsi"/>
        </w:rPr>
        <w:t>die Totholzdichte in Zersetzungsgrad 1 entspricht 100%</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_Ref136505508 \h </w:instrText>
      </w:r>
      <w:r>
        <w:rPr>
          <w:rFonts w:asciiTheme="minorHAnsi" w:hAnsiTheme="minorHAnsi" w:cstheme="minorHAnsi"/>
        </w:rPr>
      </w:r>
      <w:r>
        <w:rPr>
          <w:rFonts w:asciiTheme="minorHAnsi" w:hAnsiTheme="minorHAnsi" w:cstheme="minorHAnsi"/>
        </w:rPr>
        <w:fldChar w:fldCharType="separate"/>
      </w:r>
      <w:r w:rsidR="009013E2">
        <w:t>Abbildung </w:t>
      </w:r>
      <w:r w:rsidR="009013E2">
        <w:rPr>
          <w:noProof/>
        </w:rPr>
        <w:t>2</w:t>
      </w:r>
      <w:r>
        <w:rPr>
          <w:rFonts w:asciiTheme="minorHAnsi" w:hAnsiTheme="minorHAnsi" w:cstheme="minorHAnsi"/>
        </w:rPr>
        <w:fldChar w:fldCharType="end"/>
      </w:r>
      <w:r>
        <w:rPr>
          <w:rFonts w:asciiTheme="minorHAnsi" w:hAnsiTheme="minorHAnsi" w:cstheme="minorHAnsi"/>
        </w:rPr>
        <w:t>)</w:t>
      </w:r>
      <w:r w:rsidRPr="00E33A6F">
        <w:rPr>
          <w:rFonts w:asciiTheme="minorHAnsi" w:hAnsiTheme="minorHAnsi" w:cstheme="minorHAnsi"/>
        </w:rPr>
        <w:t xml:space="preserve"> </w:t>
      </w:r>
    </w:p>
    <w:p w14:paraId="2407DEC0" w14:textId="287CDDE6" w:rsidR="004E200E" w:rsidRPr="00E33A6F" w:rsidRDefault="00081D12" w:rsidP="00081D12">
      <w:pPr>
        <w:pStyle w:val="Listenabsatz"/>
        <w:numPr>
          <w:ilvl w:val="0"/>
          <w:numId w:val="26"/>
        </w:numPr>
        <w:rPr>
          <w:rFonts w:asciiTheme="minorHAnsi" w:hAnsiTheme="minorHAnsi" w:cstheme="minorHAnsi"/>
        </w:rPr>
      </w:pPr>
      <w:r w:rsidRPr="00687919">
        <w:rPr>
          <w:rFonts w:asciiTheme="minorHAnsi" w:hAnsiTheme="minorHAnsi" w:cstheme="minorHAnsi"/>
        </w:rPr>
        <w:t>Dem</w:t>
      </w:r>
      <w:r>
        <w:rPr>
          <w:rFonts w:asciiTheme="minorHAnsi" w:hAnsiTheme="minorHAnsi" w:cstheme="minorHAnsi"/>
        </w:rPr>
        <w:t>n</w:t>
      </w:r>
      <w:r w:rsidRPr="00687919">
        <w:rPr>
          <w:rFonts w:asciiTheme="minorHAnsi" w:hAnsiTheme="minorHAnsi" w:cstheme="minorHAnsi"/>
        </w:rPr>
        <w:t>ach</w:t>
      </w:r>
      <w:r w:rsidR="004E200E" w:rsidRPr="00687919">
        <w:rPr>
          <w:rFonts w:asciiTheme="minorHAnsi" w:hAnsiTheme="minorHAnsi" w:cstheme="minorHAnsi"/>
        </w:rPr>
        <w:t xml:space="preserve"> muss die Biomasse im selben Maß reduziert werden, wie die Dichte mit dem Zers</w:t>
      </w:r>
      <w:r w:rsidR="004E200E">
        <w:rPr>
          <w:rFonts w:asciiTheme="minorHAnsi" w:hAnsiTheme="minorHAnsi" w:cstheme="minorHAnsi"/>
        </w:rPr>
        <w:t>e</w:t>
      </w:r>
      <w:r w:rsidR="004E200E" w:rsidRPr="00687919">
        <w:rPr>
          <w:rFonts w:asciiTheme="minorHAnsi" w:hAnsiTheme="minorHAnsi" w:cstheme="minorHAnsi"/>
        </w:rPr>
        <w:t xml:space="preserve">tzungsgrad im Vergleich zum </w:t>
      </w:r>
      <w:proofErr w:type="spellStart"/>
      <w:r w:rsidR="004E200E" w:rsidRPr="00687919">
        <w:rPr>
          <w:rFonts w:asciiTheme="minorHAnsi" w:hAnsiTheme="minorHAnsi" w:cstheme="minorHAnsi"/>
        </w:rPr>
        <w:t>un</w:t>
      </w:r>
      <w:r w:rsidR="00D05056">
        <w:rPr>
          <w:rFonts w:asciiTheme="minorHAnsi" w:hAnsiTheme="minorHAnsi" w:cstheme="minorHAnsi"/>
        </w:rPr>
        <w:t>z</w:t>
      </w:r>
      <w:r w:rsidR="004E200E" w:rsidRPr="00687919">
        <w:rPr>
          <w:rFonts w:asciiTheme="minorHAnsi" w:hAnsiTheme="minorHAnsi" w:cstheme="minorHAnsi"/>
        </w:rPr>
        <w:t>ersetzte</w:t>
      </w:r>
      <w:r w:rsidR="00CD785F">
        <w:rPr>
          <w:rFonts w:asciiTheme="minorHAnsi" w:hAnsiTheme="minorHAnsi" w:cstheme="minorHAnsi"/>
        </w:rPr>
        <w:t>n</w:t>
      </w:r>
      <w:proofErr w:type="spellEnd"/>
      <w:r w:rsidR="004E200E" w:rsidRPr="00687919">
        <w:rPr>
          <w:rFonts w:asciiTheme="minorHAnsi" w:hAnsiTheme="minorHAnsi" w:cstheme="minorHAnsi"/>
        </w:rPr>
        <w:t xml:space="preserve"> Zustand abnimmt</w:t>
      </w:r>
    </w:p>
    <w:p w14:paraId="5CF9388D" w14:textId="77777777" w:rsidR="004E200E" w:rsidRPr="00687919" w:rsidRDefault="004E200E" w:rsidP="00081D12">
      <w:pPr>
        <w:pStyle w:val="Listenabsatz"/>
        <w:numPr>
          <w:ilvl w:val="0"/>
          <w:numId w:val="26"/>
        </w:numPr>
        <w:rPr>
          <w:rFonts w:asciiTheme="minorHAnsi" w:hAnsiTheme="minorHAnsi" w:cstheme="minorHAnsi"/>
        </w:rPr>
      </w:pPr>
      <w:r w:rsidRPr="00687919">
        <w:rPr>
          <w:rFonts w:asciiTheme="minorHAnsi" w:hAnsiTheme="minorHAnsi" w:cstheme="minorHAnsi"/>
        </w:rPr>
        <w:t>Das bedeutet, dass</w:t>
      </w:r>
      <w:r w:rsidRPr="00E33A6F">
        <w:rPr>
          <w:rFonts w:asciiTheme="minorHAnsi" w:hAnsiTheme="minorHAnsi" w:cstheme="minorHAnsi"/>
        </w:rPr>
        <w:t xml:space="preserve"> die berechnete Biomasse</w:t>
      </w:r>
      <w:r>
        <w:rPr>
          <w:rFonts w:asciiTheme="minorHAnsi" w:hAnsiTheme="minorHAnsi" w:cstheme="minorHAnsi"/>
        </w:rPr>
        <w:t>,</w:t>
      </w:r>
      <w:r w:rsidRPr="00E33A6F">
        <w:rPr>
          <w:rFonts w:asciiTheme="minorHAnsi" w:hAnsiTheme="minorHAnsi" w:cstheme="minorHAnsi"/>
        </w:rPr>
        <w:t xml:space="preserve"> um den </w:t>
      </w:r>
      <w:r w:rsidRPr="00687919">
        <w:rPr>
          <w:rFonts w:asciiTheme="minorHAnsi" w:hAnsiTheme="minorHAnsi" w:cstheme="minorHAnsi"/>
        </w:rPr>
        <w:t>p</w:t>
      </w:r>
      <w:r w:rsidRPr="00E33A6F">
        <w:rPr>
          <w:rFonts w:asciiTheme="minorHAnsi" w:hAnsiTheme="minorHAnsi" w:cstheme="minorHAnsi"/>
        </w:rPr>
        <w:t>rozentuale</w:t>
      </w:r>
      <w:r w:rsidRPr="00687919">
        <w:rPr>
          <w:rFonts w:asciiTheme="minorHAnsi" w:hAnsiTheme="minorHAnsi" w:cstheme="minorHAnsi"/>
        </w:rPr>
        <w:t>n</w:t>
      </w:r>
      <w:r w:rsidRPr="00E33A6F">
        <w:rPr>
          <w:rFonts w:asciiTheme="minorHAnsi" w:hAnsiTheme="minorHAnsi" w:cstheme="minorHAnsi"/>
        </w:rPr>
        <w:t xml:space="preserve"> </w:t>
      </w:r>
      <w:r>
        <w:rPr>
          <w:rFonts w:asciiTheme="minorHAnsi" w:hAnsiTheme="minorHAnsi" w:cstheme="minorHAnsi"/>
        </w:rPr>
        <w:t>U</w:t>
      </w:r>
      <w:r w:rsidRPr="00E33A6F">
        <w:rPr>
          <w:rFonts w:asciiTheme="minorHAnsi" w:hAnsiTheme="minorHAnsi" w:cstheme="minorHAnsi"/>
        </w:rPr>
        <w:t>nterschied in der Dichte zwischen Zersetzungsgrad 1 und jedem anderen Zers</w:t>
      </w:r>
      <w:r>
        <w:rPr>
          <w:rFonts w:asciiTheme="minorHAnsi" w:hAnsiTheme="minorHAnsi" w:cstheme="minorHAnsi"/>
        </w:rPr>
        <w:t>e</w:t>
      </w:r>
      <w:r w:rsidRPr="00E33A6F">
        <w:rPr>
          <w:rFonts w:asciiTheme="minorHAnsi" w:hAnsiTheme="minorHAnsi" w:cstheme="minorHAnsi"/>
        </w:rPr>
        <w:t>tzungsgrad reduziert werden</w:t>
      </w:r>
      <w:r w:rsidRPr="00687919">
        <w:rPr>
          <w:rFonts w:asciiTheme="minorHAnsi" w:hAnsiTheme="minorHAnsi" w:cstheme="minorHAnsi"/>
        </w:rPr>
        <w:t xml:space="preserve"> muss</w:t>
      </w:r>
    </w:p>
    <w:p w14:paraId="5FFB5A07" w14:textId="31F19A6C" w:rsidR="004E200E" w:rsidRDefault="004E200E" w:rsidP="00081D12">
      <w:pPr>
        <w:pStyle w:val="Listenabsatz"/>
        <w:numPr>
          <w:ilvl w:val="0"/>
          <w:numId w:val="26"/>
        </w:numPr>
        <w:rPr>
          <w:rFonts w:asciiTheme="minorHAnsi" w:hAnsiTheme="minorHAnsi" w:cstheme="minorHAnsi"/>
        </w:rPr>
      </w:pPr>
      <w:r w:rsidRPr="00687919">
        <w:rPr>
          <w:rFonts w:asciiTheme="minorHAnsi" w:hAnsiTheme="minorHAnsi" w:cstheme="minorHAnsi"/>
        </w:rPr>
        <w:t xml:space="preserve">Hierfür </w:t>
      </w:r>
      <w:r w:rsidR="00D05056">
        <w:rPr>
          <w:rFonts w:asciiTheme="minorHAnsi" w:hAnsiTheme="minorHAnsi" w:cstheme="minorHAnsi"/>
        </w:rPr>
        <w:t xml:space="preserve">wird zunächst </w:t>
      </w:r>
      <w:r w:rsidR="00033D35">
        <w:rPr>
          <w:rFonts w:asciiTheme="minorHAnsi" w:hAnsiTheme="minorHAnsi" w:cstheme="minorHAnsi"/>
        </w:rPr>
        <w:t>der</w:t>
      </w:r>
      <w:r w:rsidR="00033D35" w:rsidRPr="00687919">
        <w:rPr>
          <w:rFonts w:asciiTheme="minorHAnsi" w:hAnsiTheme="minorHAnsi" w:cstheme="minorHAnsi"/>
        </w:rPr>
        <w:t xml:space="preserve"> </w:t>
      </w:r>
      <w:r w:rsidR="00033D35">
        <w:rPr>
          <w:rFonts w:asciiTheme="minorHAnsi" w:hAnsiTheme="minorHAnsi" w:cstheme="minorHAnsi"/>
        </w:rPr>
        <w:t>p</w:t>
      </w:r>
      <w:r w:rsidR="00033D35" w:rsidRPr="00687919">
        <w:rPr>
          <w:rFonts w:asciiTheme="minorHAnsi" w:hAnsiTheme="minorHAnsi" w:cstheme="minorHAnsi"/>
        </w:rPr>
        <w:t>rozentuale Unterschied</w:t>
      </w:r>
      <w:r w:rsidRPr="00687919">
        <w:rPr>
          <w:rFonts w:asciiTheme="minorHAnsi" w:hAnsiTheme="minorHAnsi" w:cstheme="minorHAnsi"/>
        </w:rPr>
        <w:t xml:space="preserve"> zwischen Ze</w:t>
      </w:r>
      <w:r>
        <w:rPr>
          <w:rFonts w:asciiTheme="minorHAnsi" w:hAnsiTheme="minorHAnsi" w:cstheme="minorHAnsi"/>
        </w:rPr>
        <w:t>r</w:t>
      </w:r>
      <w:r w:rsidRPr="00687919">
        <w:rPr>
          <w:rFonts w:asciiTheme="minorHAnsi" w:hAnsiTheme="minorHAnsi" w:cstheme="minorHAnsi"/>
        </w:rPr>
        <w:t>s</w:t>
      </w:r>
      <w:r>
        <w:rPr>
          <w:rFonts w:asciiTheme="minorHAnsi" w:hAnsiTheme="minorHAnsi" w:cstheme="minorHAnsi"/>
        </w:rPr>
        <w:t>e</w:t>
      </w:r>
      <w:r w:rsidRPr="00687919">
        <w:rPr>
          <w:rFonts w:asciiTheme="minorHAnsi" w:hAnsiTheme="minorHAnsi" w:cstheme="minorHAnsi"/>
        </w:rPr>
        <w:t xml:space="preserve">tzungsgrad 1 und </w:t>
      </w:r>
      <w:r w:rsidR="00D05056">
        <w:rPr>
          <w:rFonts w:asciiTheme="minorHAnsi" w:hAnsiTheme="minorHAnsi" w:cstheme="minorHAnsi"/>
        </w:rPr>
        <w:t>dem jeweiligen</w:t>
      </w:r>
      <w:r w:rsidRPr="00687919">
        <w:rPr>
          <w:rFonts w:asciiTheme="minorHAnsi" w:hAnsiTheme="minorHAnsi" w:cstheme="minorHAnsi"/>
        </w:rPr>
        <w:t xml:space="preserve"> späteren Zers</w:t>
      </w:r>
      <w:r>
        <w:rPr>
          <w:rFonts w:asciiTheme="minorHAnsi" w:hAnsiTheme="minorHAnsi" w:cstheme="minorHAnsi"/>
        </w:rPr>
        <w:t>e</w:t>
      </w:r>
      <w:r w:rsidRPr="00687919">
        <w:rPr>
          <w:rFonts w:asciiTheme="minorHAnsi" w:hAnsiTheme="minorHAnsi" w:cstheme="minorHAnsi"/>
        </w:rPr>
        <w:t>tzungsgrad</w:t>
      </w:r>
      <w:r w:rsidR="00D05056">
        <w:rPr>
          <w:rFonts w:asciiTheme="minorHAnsi" w:hAnsiTheme="minorHAnsi" w:cstheme="minorHAnsi"/>
        </w:rPr>
        <w:t xml:space="preserve"> berechnet</w:t>
      </w:r>
      <w:r w:rsidRPr="00E33A6F">
        <w:rPr>
          <w:rFonts w:asciiTheme="minorHAnsi" w:hAnsiTheme="minorHAnsi" w:cstheme="minorHAnsi"/>
        </w:rPr>
        <w:t xml:space="preserve">: </w:t>
      </w:r>
    </w:p>
    <w:p w14:paraId="6D1B618F" w14:textId="77777777" w:rsidR="00081D12" w:rsidRPr="00033D35" w:rsidRDefault="00081D12" w:rsidP="00081D12">
      <w:pPr>
        <w:pStyle w:val="Listenabsatz"/>
        <w:ind w:left="2160"/>
        <w:rPr>
          <w:rFonts w:asciiTheme="minorHAnsi" w:hAnsiTheme="minorHAnsi" w:cstheme="minorHAnsi"/>
          <w:i/>
        </w:rPr>
      </w:pPr>
      <w:r w:rsidRPr="00033D35">
        <w:rPr>
          <w:rFonts w:asciiTheme="minorHAnsi" w:hAnsiTheme="minorHAnsi" w:cstheme="minorHAnsi"/>
          <w:i/>
        </w:rPr>
        <w:t xml:space="preserve">Prozentualer unterschied = (Dichte Z1 – Dichte </w:t>
      </w:r>
      <w:proofErr w:type="spellStart"/>
      <w:proofErr w:type="gramStart"/>
      <w:r w:rsidRPr="00033D35">
        <w:rPr>
          <w:rFonts w:asciiTheme="minorHAnsi" w:hAnsiTheme="minorHAnsi" w:cstheme="minorHAnsi"/>
          <w:i/>
        </w:rPr>
        <w:t>Zx</w:t>
      </w:r>
      <w:proofErr w:type="spellEnd"/>
      <w:r w:rsidRPr="00033D35">
        <w:rPr>
          <w:rFonts w:asciiTheme="minorHAnsi" w:hAnsiTheme="minorHAnsi" w:cstheme="minorHAnsi"/>
          <w:i/>
        </w:rPr>
        <w:t>)/</w:t>
      </w:r>
      <w:proofErr w:type="gramEnd"/>
      <w:r w:rsidRPr="00033D35">
        <w:rPr>
          <w:rFonts w:asciiTheme="minorHAnsi" w:hAnsiTheme="minorHAnsi" w:cstheme="minorHAnsi"/>
          <w:i/>
        </w:rPr>
        <w:t xml:space="preserve"> Dichte Z1</w:t>
      </w:r>
    </w:p>
    <w:p w14:paraId="4E7AA0F6" w14:textId="3CC846D2" w:rsidR="00081D12" w:rsidRPr="00E52C93" w:rsidRDefault="00081D12" w:rsidP="00E52C93">
      <w:pPr>
        <w:pStyle w:val="Listenabsatz"/>
        <w:numPr>
          <w:ilvl w:val="2"/>
          <w:numId w:val="26"/>
        </w:numPr>
        <w:rPr>
          <w:rFonts w:asciiTheme="minorHAnsi" w:hAnsiTheme="minorHAnsi" w:cstheme="minorHAnsi"/>
        </w:rPr>
      </w:pPr>
      <w:r w:rsidRPr="00E52C93">
        <w:rPr>
          <w:rFonts w:asciiTheme="minorHAnsi" w:hAnsiTheme="minorHAnsi" w:cstheme="minorHAnsi"/>
        </w:rPr>
        <w:t xml:space="preserve">So entstehen für jede Baumartengruppe und jeden Zersetzungsgrad ein Biomasse-Reduktionsfaktor </w:t>
      </w:r>
    </w:p>
    <w:p w14:paraId="00A935A2" w14:textId="658F04F3" w:rsidR="00081D12" w:rsidRDefault="004E200E" w:rsidP="00081D12">
      <w:pPr>
        <w:pStyle w:val="Listenabsatz"/>
        <w:numPr>
          <w:ilvl w:val="0"/>
          <w:numId w:val="26"/>
        </w:numPr>
        <w:rPr>
          <w:rFonts w:asciiTheme="minorHAnsi" w:hAnsiTheme="minorHAnsi" w:cstheme="minorHAnsi"/>
        </w:rPr>
      </w:pPr>
      <w:r w:rsidRPr="00081D12">
        <w:rPr>
          <w:rFonts w:asciiTheme="minorHAnsi" w:hAnsiTheme="minorHAnsi" w:cstheme="minorHAnsi"/>
        </w:rPr>
        <w:t xml:space="preserve">Hieraus </w:t>
      </w:r>
      <w:r w:rsidR="00081D12">
        <w:rPr>
          <w:rFonts w:asciiTheme="minorHAnsi" w:hAnsiTheme="minorHAnsi" w:cstheme="minorHAnsi"/>
        </w:rPr>
        <w:t>wird</w:t>
      </w:r>
      <w:r w:rsidR="00766D2E">
        <w:rPr>
          <w:rFonts w:asciiTheme="minorHAnsi" w:hAnsiTheme="minorHAnsi" w:cstheme="minorHAnsi"/>
        </w:rPr>
        <w:t xml:space="preserve"> der</w:t>
      </w:r>
      <w:r w:rsidRPr="00081D12">
        <w:rPr>
          <w:rFonts w:asciiTheme="minorHAnsi" w:hAnsiTheme="minorHAnsi" w:cstheme="minorHAnsi"/>
        </w:rPr>
        <w:t xml:space="preserve"> Dichte</w:t>
      </w:r>
      <w:r w:rsidR="00766D2E">
        <w:rPr>
          <w:rFonts w:asciiTheme="minorHAnsi" w:hAnsiTheme="minorHAnsi" w:cstheme="minorHAnsi"/>
        </w:rPr>
        <w:t>-</w:t>
      </w:r>
      <w:r w:rsidRPr="00081D12">
        <w:rPr>
          <w:rFonts w:asciiTheme="minorHAnsi" w:hAnsiTheme="minorHAnsi" w:cstheme="minorHAnsi"/>
        </w:rPr>
        <w:t>Reduktionsfaktor berechnen</w:t>
      </w:r>
      <w:r w:rsidR="00081D12">
        <w:rPr>
          <w:rFonts w:asciiTheme="minorHAnsi" w:hAnsiTheme="minorHAnsi" w:cstheme="minorHAnsi"/>
        </w:rPr>
        <w:t xml:space="preserve">, </w:t>
      </w:r>
      <w:r w:rsidRPr="00081D12">
        <w:rPr>
          <w:rFonts w:asciiTheme="minorHAnsi" w:hAnsiTheme="minorHAnsi" w:cstheme="minorHAnsi"/>
        </w:rPr>
        <w:t xml:space="preserve">indem </w:t>
      </w:r>
      <w:r w:rsidR="00766D2E">
        <w:rPr>
          <w:rFonts w:asciiTheme="minorHAnsi" w:hAnsiTheme="minorHAnsi" w:cstheme="minorHAnsi"/>
        </w:rPr>
        <w:t xml:space="preserve">man </w:t>
      </w:r>
      <w:r w:rsidR="00081D12">
        <w:rPr>
          <w:rFonts w:asciiTheme="minorHAnsi" w:hAnsiTheme="minorHAnsi" w:cstheme="minorHAnsi"/>
        </w:rPr>
        <w:t>der</w:t>
      </w:r>
      <w:r w:rsidRPr="00081D12">
        <w:rPr>
          <w:rFonts w:asciiTheme="minorHAnsi" w:hAnsiTheme="minorHAnsi" w:cstheme="minorHAnsi"/>
        </w:rPr>
        <w:t xml:space="preserve"> Prozentualen Unterschied </w:t>
      </w:r>
      <w:r w:rsidR="00766D2E">
        <w:rPr>
          <w:rFonts w:asciiTheme="minorHAnsi" w:hAnsiTheme="minorHAnsi" w:cstheme="minorHAnsi"/>
        </w:rPr>
        <w:t xml:space="preserve">zwischen </w:t>
      </w:r>
      <w:proofErr w:type="spellStart"/>
      <w:r w:rsidR="00766D2E">
        <w:rPr>
          <w:rFonts w:asciiTheme="minorHAnsi" w:hAnsiTheme="minorHAnsi" w:cstheme="minorHAnsi"/>
        </w:rPr>
        <w:t>unzersetzter</w:t>
      </w:r>
      <w:proofErr w:type="spellEnd"/>
      <w:r w:rsidR="00766D2E">
        <w:rPr>
          <w:rFonts w:asciiTheme="minorHAnsi" w:hAnsiTheme="minorHAnsi" w:cstheme="minorHAnsi"/>
        </w:rPr>
        <w:t xml:space="preserve"> und zersetzter Dichte </w:t>
      </w:r>
      <w:r w:rsidRPr="00081D12">
        <w:rPr>
          <w:rFonts w:asciiTheme="minorHAnsi" w:hAnsiTheme="minorHAnsi" w:cstheme="minorHAnsi"/>
        </w:rPr>
        <w:t xml:space="preserve">von 100% abziehen, sodass </w:t>
      </w:r>
      <w:r w:rsidR="00081D12">
        <w:rPr>
          <w:rFonts w:asciiTheme="minorHAnsi" w:hAnsiTheme="minorHAnsi" w:cstheme="minorHAnsi"/>
        </w:rPr>
        <w:t xml:space="preserve">die Prozent die von der </w:t>
      </w:r>
      <w:r w:rsidRPr="00081D12">
        <w:rPr>
          <w:rFonts w:asciiTheme="minorHAnsi" w:hAnsiTheme="minorHAnsi" w:cstheme="minorHAnsi"/>
        </w:rPr>
        <w:t xml:space="preserve">üblichen Dichte (und daraus berechneter </w:t>
      </w:r>
      <w:proofErr w:type="spellStart"/>
      <w:r w:rsidR="005B7D4E" w:rsidRPr="00081D12">
        <w:rPr>
          <w:rFonts w:asciiTheme="minorHAnsi" w:hAnsiTheme="minorHAnsi" w:cstheme="minorHAnsi"/>
        </w:rPr>
        <w:t>un</w:t>
      </w:r>
      <w:r w:rsidR="005B7D4E">
        <w:rPr>
          <w:rFonts w:asciiTheme="minorHAnsi" w:hAnsiTheme="minorHAnsi" w:cstheme="minorHAnsi"/>
        </w:rPr>
        <w:t>z</w:t>
      </w:r>
      <w:r w:rsidR="005B7D4E" w:rsidRPr="00081D12">
        <w:rPr>
          <w:rFonts w:asciiTheme="minorHAnsi" w:hAnsiTheme="minorHAnsi" w:cstheme="minorHAnsi"/>
        </w:rPr>
        <w:t>ers</w:t>
      </w:r>
      <w:r w:rsidR="005B7D4E">
        <w:rPr>
          <w:rFonts w:asciiTheme="minorHAnsi" w:hAnsiTheme="minorHAnsi" w:cstheme="minorHAnsi"/>
        </w:rPr>
        <w:t>e</w:t>
      </w:r>
      <w:r w:rsidR="005B7D4E" w:rsidRPr="00081D12">
        <w:rPr>
          <w:rFonts w:asciiTheme="minorHAnsi" w:hAnsiTheme="minorHAnsi" w:cstheme="minorHAnsi"/>
        </w:rPr>
        <w:t>tzter</w:t>
      </w:r>
      <w:proofErr w:type="spellEnd"/>
      <w:r w:rsidRPr="00081D12">
        <w:rPr>
          <w:rFonts w:asciiTheme="minorHAnsi" w:hAnsiTheme="minorHAnsi" w:cstheme="minorHAnsi"/>
        </w:rPr>
        <w:t xml:space="preserve"> Biomasse) </w:t>
      </w:r>
      <w:r w:rsidR="005B7D4E" w:rsidRPr="00081D12">
        <w:rPr>
          <w:rFonts w:asciiTheme="minorHAnsi" w:hAnsiTheme="minorHAnsi" w:cstheme="minorHAnsi"/>
        </w:rPr>
        <w:t>übrigbleiben</w:t>
      </w:r>
      <w:r w:rsidR="00081D12">
        <w:rPr>
          <w:rFonts w:asciiTheme="minorHAnsi" w:hAnsiTheme="minorHAnsi" w:cstheme="minorHAnsi"/>
        </w:rPr>
        <w:t xml:space="preserve"> berechnet werden</w:t>
      </w:r>
      <w:r w:rsidRPr="00081D12">
        <w:rPr>
          <w:rFonts w:asciiTheme="minorHAnsi" w:hAnsiTheme="minorHAnsi" w:cstheme="minorHAnsi"/>
        </w:rPr>
        <w:t>:</w:t>
      </w:r>
    </w:p>
    <w:p w14:paraId="12B93C73" w14:textId="087F082E" w:rsidR="00081D12" w:rsidRPr="00033D35" w:rsidRDefault="004E200E" w:rsidP="00081D12">
      <w:pPr>
        <w:pStyle w:val="Listenabsatz"/>
        <w:ind w:left="2137" w:firstLine="695"/>
        <w:rPr>
          <w:rFonts w:asciiTheme="minorHAnsi" w:hAnsiTheme="minorHAnsi" w:cstheme="minorHAnsi"/>
          <w:i/>
        </w:rPr>
      </w:pPr>
      <w:r w:rsidRPr="00033D35">
        <w:rPr>
          <w:rFonts w:asciiTheme="minorHAnsi" w:hAnsiTheme="minorHAnsi" w:cstheme="minorHAnsi"/>
          <w:i/>
        </w:rPr>
        <w:t xml:space="preserve">Biomasse </w:t>
      </w:r>
      <w:r w:rsidR="00944F2F" w:rsidRPr="00033D35">
        <w:rPr>
          <w:rFonts w:asciiTheme="minorHAnsi" w:hAnsiTheme="minorHAnsi" w:cstheme="minorHAnsi"/>
          <w:i/>
        </w:rPr>
        <w:t xml:space="preserve">Reduktionsfaktor </w:t>
      </w:r>
      <w:r w:rsidRPr="00033D35">
        <w:rPr>
          <w:rFonts w:asciiTheme="minorHAnsi" w:hAnsiTheme="minorHAnsi" w:cstheme="minorHAnsi"/>
          <w:i/>
        </w:rPr>
        <w:t>= 1-prozentualer unterschied</w:t>
      </w:r>
    </w:p>
    <w:p w14:paraId="205DEA84" w14:textId="77777777" w:rsidR="00033D35" w:rsidRDefault="004E200E" w:rsidP="00033D35">
      <w:pPr>
        <w:pStyle w:val="Listenabsatz"/>
        <w:numPr>
          <w:ilvl w:val="0"/>
          <w:numId w:val="26"/>
        </w:numPr>
        <w:rPr>
          <w:rFonts w:asciiTheme="minorHAnsi" w:hAnsiTheme="minorHAnsi" w:cstheme="minorHAnsi"/>
        </w:rPr>
      </w:pPr>
      <w:r w:rsidRPr="00081D12">
        <w:rPr>
          <w:rFonts w:asciiTheme="minorHAnsi" w:hAnsiTheme="minorHAnsi" w:cstheme="minorHAnsi"/>
        </w:rPr>
        <w:t>Nachfolgend kann die Biomass</w:t>
      </w:r>
      <w:r w:rsidR="00944F2F">
        <w:rPr>
          <w:rFonts w:asciiTheme="minorHAnsi" w:hAnsiTheme="minorHAnsi" w:cstheme="minorHAnsi"/>
        </w:rPr>
        <w:t>e</w:t>
      </w:r>
      <w:r w:rsidRPr="00081D12">
        <w:rPr>
          <w:rFonts w:asciiTheme="minorHAnsi" w:hAnsiTheme="minorHAnsi" w:cstheme="minorHAnsi"/>
        </w:rPr>
        <w:t xml:space="preserve"> in dem </w:t>
      </w:r>
      <w:r w:rsidR="00081D12" w:rsidRPr="00081D12">
        <w:rPr>
          <w:rFonts w:asciiTheme="minorHAnsi" w:hAnsiTheme="minorHAnsi" w:cstheme="minorHAnsi"/>
        </w:rPr>
        <w:t>Kompartiment</w:t>
      </w:r>
      <w:r w:rsidRPr="00081D12">
        <w:rPr>
          <w:rFonts w:asciiTheme="minorHAnsi" w:hAnsiTheme="minorHAnsi" w:cstheme="minorHAnsi"/>
        </w:rPr>
        <w:t xml:space="preserve"> um den Biomasse </w:t>
      </w:r>
      <w:r w:rsidR="00081D12">
        <w:rPr>
          <w:rFonts w:asciiTheme="minorHAnsi" w:hAnsiTheme="minorHAnsi" w:cstheme="minorHAnsi"/>
        </w:rPr>
        <w:t>R</w:t>
      </w:r>
      <w:r w:rsidRPr="00081D12">
        <w:rPr>
          <w:rFonts w:asciiTheme="minorHAnsi" w:hAnsiTheme="minorHAnsi" w:cstheme="minorHAnsi"/>
        </w:rPr>
        <w:t>eduktion</w:t>
      </w:r>
      <w:r w:rsidR="00081D12">
        <w:rPr>
          <w:rFonts w:asciiTheme="minorHAnsi" w:hAnsiTheme="minorHAnsi" w:cstheme="minorHAnsi"/>
        </w:rPr>
        <w:t>s</w:t>
      </w:r>
      <w:r w:rsidRPr="00081D12">
        <w:rPr>
          <w:rFonts w:asciiTheme="minorHAnsi" w:hAnsiTheme="minorHAnsi" w:cstheme="minorHAnsi"/>
        </w:rPr>
        <w:t>faktor reduziert werden:</w:t>
      </w:r>
    </w:p>
    <w:p w14:paraId="71C56693" w14:textId="41D2900C" w:rsidR="004E200E" w:rsidRDefault="004E200E" w:rsidP="006245BA">
      <w:pPr>
        <w:pStyle w:val="Listenabsatz"/>
        <w:ind w:left="1416"/>
        <w:rPr>
          <w:rFonts w:asciiTheme="minorHAnsi" w:hAnsiTheme="minorHAnsi" w:cstheme="minorHAnsi"/>
          <w:i/>
        </w:rPr>
      </w:pPr>
      <w:r w:rsidRPr="00033D35">
        <w:rPr>
          <w:rFonts w:asciiTheme="minorHAnsi" w:hAnsiTheme="minorHAnsi" w:cstheme="minorHAnsi"/>
          <w:i/>
        </w:rPr>
        <w:t xml:space="preserve">Um die Reduzierte Biomasse im Kompartiment = Biomasse </w:t>
      </w:r>
      <w:r w:rsidR="00081D12" w:rsidRPr="00033D35">
        <w:rPr>
          <w:rFonts w:asciiTheme="minorHAnsi" w:hAnsiTheme="minorHAnsi" w:cstheme="minorHAnsi"/>
          <w:i/>
        </w:rPr>
        <w:t>Kompartiment</w:t>
      </w:r>
      <w:r w:rsidRPr="00033D35">
        <w:rPr>
          <w:rFonts w:asciiTheme="minorHAnsi" w:hAnsiTheme="minorHAnsi" w:cstheme="minorHAnsi"/>
          <w:i/>
        </w:rPr>
        <w:t xml:space="preserve"> * Biomasse Reduktionsfaktor</w:t>
      </w:r>
    </w:p>
    <w:p w14:paraId="45ECE258" w14:textId="3A2FDCDD" w:rsidR="002D2266" w:rsidRDefault="002D2266" w:rsidP="006245BA">
      <w:pPr>
        <w:pStyle w:val="Listenabsatz"/>
        <w:ind w:left="1416"/>
        <w:rPr>
          <w:rFonts w:asciiTheme="minorHAnsi" w:hAnsiTheme="minorHAnsi" w:cstheme="minorHAnsi"/>
        </w:rPr>
      </w:pPr>
    </w:p>
    <w:p w14:paraId="47A01BF8" w14:textId="77777777" w:rsidR="002D2266" w:rsidRPr="00903571" w:rsidRDefault="002D2266" w:rsidP="002D2266">
      <w:pPr>
        <w:pStyle w:val="berschrift4"/>
        <w:numPr>
          <w:ilvl w:val="3"/>
          <w:numId w:val="9"/>
        </w:numPr>
        <w:rPr>
          <w:rFonts w:asciiTheme="minorHAnsi" w:hAnsiTheme="minorHAnsi" w:cstheme="minorHAnsi"/>
        </w:rPr>
      </w:pPr>
      <w:r w:rsidRPr="00903571">
        <w:rPr>
          <w:rFonts w:asciiTheme="minorHAnsi" w:hAnsiTheme="minorHAnsi" w:cstheme="minorHAnsi"/>
        </w:rPr>
        <w:t>Nachträgliche Kompartimentierung Biomasse Totholz</w:t>
      </w:r>
    </w:p>
    <w:p w14:paraId="5AE2599B" w14:textId="3C4E9485" w:rsidR="00D94536" w:rsidRDefault="002D2266" w:rsidP="002D2266">
      <w:r>
        <w:t>Orientiert an</w:t>
      </w:r>
      <w:r w:rsidRPr="00687919">
        <w:t xml:space="preserve"> </w:t>
      </w:r>
      <w:r>
        <w:t xml:space="preserve">WELLBROCK et al. (2014) </w:t>
      </w:r>
      <w:r w:rsidRPr="00687919">
        <w:t xml:space="preserve">wird für die Totholzzersetzungsgruppen 1&amp;2 wie für lebende Bäume </w:t>
      </w:r>
      <w:proofErr w:type="spellStart"/>
      <w:r w:rsidRPr="00687919">
        <w:t>kompartimentiert</w:t>
      </w:r>
      <w:proofErr w:type="spellEnd"/>
      <w:r w:rsidRPr="00687919">
        <w:t>.</w:t>
      </w:r>
      <w:r>
        <w:t xml:space="preserve"> Da der Zers</w:t>
      </w:r>
      <w:r w:rsidR="0096065F">
        <w:t>e</w:t>
      </w:r>
      <w:r>
        <w:t xml:space="preserve">tzungsgrad alleine jedoch keine Auskunft über die noch vorhandenen Kompartimente des Totholzstückes gibt, muss die Kompartimentierung zunächst auf folgende Totholztypen und Kompartimente beschränkt werden: </w:t>
      </w:r>
    </w:p>
    <w:tbl>
      <w:tblPr>
        <w:tblW w:w="9606" w:type="dxa"/>
        <w:tblCellSpacing w:w="0" w:type="dxa"/>
        <w:tblLayout w:type="fixed"/>
        <w:tblCellMar>
          <w:top w:w="70" w:type="dxa"/>
          <w:left w:w="70" w:type="dxa"/>
          <w:bottom w:w="70" w:type="dxa"/>
          <w:right w:w="70" w:type="dxa"/>
        </w:tblCellMar>
        <w:tblLook w:val="04A0" w:firstRow="1" w:lastRow="0" w:firstColumn="1" w:lastColumn="0" w:noHBand="0" w:noVBand="1"/>
      </w:tblPr>
      <w:tblGrid>
        <w:gridCol w:w="2533"/>
        <w:gridCol w:w="615"/>
        <w:gridCol w:w="1764"/>
        <w:gridCol w:w="4694"/>
      </w:tblGrid>
      <w:tr w:rsidR="00D94536" w:rsidRPr="00D94536" w14:paraId="58A3F6AC" w14:textId="285BF6D9" w:rsidTr="009E5D82">
        <w:trPr>
          <w:trHeight w:val="215"/>
          <w:tblCellSpacing w:w="0" w:type="dxa"/>
        </w:trPr>
        <w:tc>
          <w:tcPr>
            <w:tcW w:w="2533" w:type="dxa"/>
            <w:tcBorders>
              <w:bottom w:val="single" w:sz="4" w:space="0" w:color="auto"/>
            </w:tcBorders>
          </w:tcPr>
          <w:p w14:paraId="240FCD74" w14:textId="56DAEF8A" w:rsidR="00D94536" w:rsidRPr="00D94536" w:rsidRDefault="00D94536" w:rsidP="00D94536">
            <w:pPr>
              <w:pStyle w:val="Tabellentext"/>
            </w:pPr>
            <w:bookmarkStart w:id="23" w:name="_Hlk138663834"/>
            <w:r w:rsidRPr="00D94536">
              <w:t>Totholztyp</w:t>
            </w:r>
          </w:p>
        </w:tc>
        <w:tc>
          <w:tcPr>
            <w:tcW w:w="615" w:type="dxa"/>
            <w:tcBorders>
              <w:bottom w:val="single" w:sz="4" w:space="0" w:color="auto"/>
              <w:right w:val="single" w:sz="4" w:space="0" w:color="auto"/>
            </w:tcBorders>
          </w:tcPr>
          <w:p w14:paraId="0D49991C" w14:textId="236415CC" w:rsidR="00D94536" w:rsidRPr="00D94536" w:rsidRDefault="00D94536" w:rsidP="00D94536">
            <w:pPr>
              <w:pStyle w:val="Tabellentext"/>
            </w:pPr>
            <w:r>
              <w:t>Code</w:t>
            </w:r>
          </w:p>
        </w:tc>
        <w:tc>
          <w:tcPr>
            <w:tcW w:w="1764" w:type="dxa"/>
            <w:tcBorders>
              <w:bottom w:val="single" w:sz="4" w:space="0" w:color="auto"/>
            </w:tcBorders>
          </w:tcPr>
          <w:p w14:paraId="0E63E66C" w14:textId="389480FA" w:rsidR="00D94536" w:rsidRPr="00D94536" w:rsidRDefault="00D94536" w:rsidP="00D94536">
            <w:pPr>
              <w:pStyle w:val="Tabellentext"/>
            </w:pPr>
            <w:r w:rsidRPr="00D94536">
              <w:t>Zersetzungsgrad</w:t>
            </w:r>
          </w:p>
        </w:tc>
        <w:tc>
          <w:tcPr>
            <w:tcW w:w="4694" w:type="dxa"/>
            <w:tcBorders>
              <w:bottom w:val="single" w:sz="4" w:space="0" w:color="auto"/>
            </w:tcBorders>
          </w:tcPr>
          <w:p w14:paraId="5B8382F7" w14:textId="48B16D35" w:rsidR="00D94536" w:rsidRPr="00D94536" w:rsidRDefault="00D94536" w:rsidP="00D94536">
            <w:pPr>
              <w:pStyle w:val="Tabellentext"/>
            </w:pPr>
            <w:r w:rsidRPr="00D94536">
              <w:t>Kompartimente</w:t>
            </w:r>
          </w:p>
        </w:tc>
      </w:tr>
      <w:tr w:rsidR="00D94536" w:rsidRPr="00D94536" w14:paraId="3345A595" w14:textId="557C0340" w:rsidTr="00822894">
        <w:trPr>
          <w:trHeight w:val="437"/>
          <w:tblCellSpacing w:w="0" w:type="dxa"/>
        </w:trPr>
        <w:tc>
          <w:tcPr>
            <w:tcW w:w="2533" w:type="dxa"/>
            <w:vMerge w:val="restart"/>
          </w:tcPr>
          <w:p w14:paraId="2F07611B" w14:textId="77777777" w:rsidR="00D94536" w:rsidRPr="00D94536" w:rsidRDefault="00D94536" w:rsidP="00D94536">
            <w:pPr>
              <w:pStyle w:val="Tabellentext"/>
            </w:pPr>
            <w:r w:rsidRPr="00D94536">
              <w:t xml:space="preserve">stehend; ganzer Baum </w:t>
            </w:r>
          </w:p>
          <w:p w14:paraId="51FE5113" w14:textId="263A11A3" w:rsidR="00D94536" w:rsidRPr="00D94536" w:rsidRDefault="00D94536" w:rsidP="00D94536">
            <w:pPr>
              <w:pStyle w:val="Tabellentext"/>
            </w:pPr>
            <w:r w:rsidRPr="00D94536">
              <w:lastRenderedPageBreak/>
              <w:t>liegend, ganzer Baum</w:t>
            </w:r>
          </w:p>
        </w:tc>
        <w:tc>
          <w:tcPr>
            <w:tcW w:w="615" w:type="dxa"/>
            <w:vMerge w:val="restart"/>
            <w:tcBorders>
              <w:right w:val="single" w:sz="4" w:space="0" w:color="auto"/>
            </w:tcBorders>
          </w:tcPr>
          <w:p w14:paraId="085BFBBC" w14:textId="77777777" w:rsidR="00D94536" w:rsidRPr="00D94536" w:rsidRDefault="00D94536" w:rsidP="00D94536">
            <w:pPr>
              <w:pStyle w:val="Tabellentext"/>
            </w:pPr>
            <w:r w:rsidRPr="00D94536">
              <w:lastRenderedPageBreak/>
              <w:t>2</w:t>
            </w:r>
          </w:p>
          <w:p w14:paraId="2479175A" w14:textId="4BD517D7" w:rsidR="00D94536" w:rsidRPr="00D94536" w:rsidRDefault="00D94536" w:rsidP="00D94536">
            <w:pPr>
              <w:pStyle w:val="Tabellentext"/>
            </w:pPr>
            <w:r w:rsidRPr="00D94536">
              <w:lastRenderedPageBreak/>
              <w:t>5</w:t>
            </w:r>
          </w:p>
        </w:tc>
        <w:tc>
          <w:tcPr>
            <w:tcW w:w="1764" w:type="dxa"/>
          </w:tcPr>
          <w:p w14:paraId="4C312C2D" w14:textId="17D28717" w:rsidR="00D94536" w:rsidRPr="00D94536" w:rsidRDefault="00D94536" w:rsidP="00D94536">
            <w:pPr>
              <w:pStyle w:val="Tabellentext"/>
            </w:pPr>
            <w:r w:rsidRPr="00D94536">
              <w:lastRenderedPageBreak/>
              <w:t>1</w:t>
            </w:r>
          </w:p>
        </w:tc>
        <w:tc>
          <w:tcPr>
            <w:tcW w:w="4694" w:type="dxa"/>
          </w:tcPr>
          <w:p w14:paraId="5F9E227B" w14:textId="52EFCA4B" w:rsidR="00D94536" w:rsidRPr="00D94536" w:rsidRDefault="00D94536" w:rsidP="00D94536">
            <w:pPr>
              <w:pStyle w:val="Tabellentext"/>
            </w:pPr>
            <w:r w:rsidRPr="00D94536">
              <w:t xml:space="preserve">Kompartimentierung mit TapeS in Nichtderbholz, Derbholz </w:t>
            </w:r>
            <w:proofErr w:type="spellStart"/>
            <w:r w:rsidRPr="00D94536">
              <w:t>o.R</w:t>
            </w:r>
            <w:proofErr w:type="spellEnd"/>
            <w:r w:rsidRPr="00D94536">
              <w:t xml:space="preserve">., Derbholzrinde, Stock </w:t>
            </w:r>
            <w:proofErr w:type="spellStart"/>
            <w:r w:rsidRPr="00D94536">
              <w:t>o.R</w:t>
            </w:r>
            <w:proofErr w:type="spellEnd"/>
            <w:r w:rsidRPr="00D94536">
              <w:t>., Stock</w:t>
            </w:r>
          </w:p>
        </w:tc>
      </w:tr>
      <w:tr w:rsidR="00D94536" w:rsidRPr="00D94536" w14:paraId="705D413D" w14:textId="31F15C40" w:rsidTr="00822894">
        <w:trPr>
          <w:trHeight w:val="389"/>
          <w:tblCellSpacing w:w="0" w:type="dxa"/>
        </w:trPr>
        <w:tc>
          <w:tcPr>
            <w:tcW w:w="2533" w:type="dxa"/>
            <w:vMerge/>
          </w:tcPr>
          <w:p w14:paraId="4DBF1170" w14:textId="77777777" w:rsidR="00D94536" w:rsidRPr="00D94536" w:rsidRDefault="00D94536" w:rsidP="00D94536">
            <w:pPr>
              <w:pStyle w:val="Tabellentext"/>
            </w:pPr>
          </w:p>
        </w:tc>
        <w:tc>
          <w:tcPr>
            <w:tcW w:w="615" w:type="dxa"/>
            <w:vMerge/>
            <w:tcBorders>
              <w:right w:val="single" w:sz="4" w:space="0" w:color="auto"/>
            </w:tcBorders>
          </w:tcPr>
          <w:p w14:paraId="360CE3D5" w14:textId="77777777" w:rsidR="00D94536" w:rsidRPr="00D94536" w:rsidRDefault="00D94536" w:rsidP="00D94536">
            <w:pPr>
              <w:pStyle w:val="Tabellentext"/>
            </w:pPr>
          </w:p>
        </w:tc>
        <w:tc>
          <w:tcPr>
            <w:tcW w:w="1764" w:type="dxa"/>
          </w:tcPr>
          <w:p w14:paraId="41A4567E" w14:textId="32005BB9" w:rsidR="00D94536" w:rsidRPr="00D94536" w:rsidRDefault="00D94536" w:rsidP="00D94536">
            <w:pPr>
              <w:pStyle w:val="Tabellentext"/>
            </w:pPr>
            <w:r w:rsidRPr="00D94536">
              <w:t>2</w:t>
            </w:r>
          </w:p>
        </w:tc>
        <w:tc>
          <w:tcPr>
            <w:tcW w:w="4694" w:type="dxa"/>
          </w:tcPr>
          <w:p w14:paraId="5896E90D" w14:textId="3AC7AB82" w:rsidR="00D94536" w:rsidRPr="00D94536" w:rsidRDefault="00D94536" w:rsidP="00D94536">
            <w:pPr>
              <w:pStyle w:val="Tabellentext"/>
            </w:pPr>
            <w:r w:rsidRPr="00D94536">
              <w:t xml:space="preserve">Kompartimentierung mit </w:t>
            </w:r>
            <w:proofErr w:type="spellStart"/>
            <w:r w:rsidRPr="00D94536">
              <w:t>TapeS</w:t>
            </w:r>
            <w:proofErr w:type="spellEnd"/>
            <w:r w:rsidRPr="00D94536">
              <w:t xml:space="preserve"> in Derbholz </w:t>
            </w:r>
            <w:proofErr w:type="spellStart"/>
            <w:r w:rsidRPr="00D94536">
              <w:t>o.R</w:t>
            </w:r>
            <w:proofErr w:type="spellEnd"/>
            <w:r w:rsidRPr="00D94536">
              <w:t xml:space="preserve">., Derbholzrinde, Stock </w:t>
            </w:r>
            <w:proofErr w:type="spellStart"/>
            <w:r w:rsidRPr="00D94536">
              <w:t>o.R</w:t>
            </w:r>
            <w:proofErr w:type="spellEnd"/>
            <w:r w:rsidRPr="00D94536">
              <w:t>., Stock</w:t>
            </w:r>
          </w:p>
        </w:tc>
      </w:tr>
      <w:tr w:rsidR="00D94536" w:rsidRPr="00D94536" w14:paraId="093C110C" w14:textId="51BE14C9" w:rsidTr="00822894">
        <w:trPr>
          <w:trHeight w:val="541"/>
          <w:tblCellSpacing w:w="0" w:type="dxa"/>
        </w:trPr>
        <w:tc>
          <w:tcPr>
            <w:tcW w:w="2533" w:type="dxa"/>
          </w:tcPr>
          <w:p w14:paraId="4D8E339A" w14:textId="297EC248" w:rsidR="00D94536" w:rsidRPr="00D94536" w:rsidRDefault="00D94536" w:rsidP="00D94536">
            <w:pPr>
              <w:pStyle w:val="Tabellentext"/>
            </w:pPr>
            <w:r w:rsidRPr="00D94536">
              <w:t>Stehendes Bruchstück</w:t>
            </w:r>
          </w:p>
        </w:tc>
        <w:tc>
          <w:tcPr>
            <w:tcW w:w="615" w:type="dxa"/>
            <w:tcBorders>
              <w:right w:val="single" w:sz="4" w:space="0" w:color="auto"/>
            </w:tcBorders>
          </w:tcPr>
          <w:p w14:paraId="635E717C" w14:textId="41F49D58" w:rsidR="00D94536" w:rsidRPr="00D94536" w:rsidRDefault="00D94536" w:rsidP="00D94536">
            <w:pPr>
              <w:pStyle w:val="Tabellentext"/>
            </w:pPr>
            <w:r w:rsidRPr="00D94536">
              <w:t>3</w:t>
            </w:r>
          </w:p>
        </w:tc>
        <w:tc>
          <w:tcPr>
            <w:tcW w:w="1764" w:type="dxa"/>
          </w:tcPr>
          <w:p w14:paraId="4E615A2A" w14:textId="4DBFF4B2" w:rsidR="00D94536" w:rsidRPr="00D94536" w:rsidRDefault="00D94536" w:rsidP="00D94536">
            <w:pPr>
              <w:pStyle w:val="Tabellentext"/>
            </w:pPr>
            <w:r w:rsidRPr="00D94536">
              <w:t>1,2</w:t>
            </w:r>
          </w:p>
        </w:tc>
        <w:tc>
          <w:tcPr>
            <w:tcW w:w="4694" w:type="dxa"/>
          </w:tcPr>
          <w:p w14:paraId="39349A62" w14:textId="543087D8" w:rsidR="00D94536" w:rsidRPr="00D94536" w:rsidRDefault="00D94536" w:rsidP="00D94536">
            <w:pPr>
              <w:pStyle w:val="Tabellentext"/>
            </w:pPr>
            <w:r w:rsidRPr="00D94536">
              <w:t xml:space="preserve">Kompartimentierung mit </w:t>
            </w:r>
            <w:proofErr w:type="spellStart"/>
            <w:r w:rsidRPr="00D94536">
              <w:t>TapeS</w:t>
            </w:r>
            <w:proofErr w:type="spellEnd"/>
            <w:r w:rsidRPr="00D94536">
              <w:t xml:space="preserve"> in Derbholz </w:t>
            </w:r>
            <w:proofErr w:type="spellStart"/>
            <w:r w:rsidRPr="00D94536">
              <w:t>o.R</w:t>
            </w:r>
            <w:proofErr w:type="spellEnd"/>
            <w:r w:rsidRPr="00D94536">
              <w:t xml:space="preserve">., Derbholzrinde, </w:t>
            </w:r>
            <w:commentRangeStart w:id="24"/>
            <w:r w:rsidRPr="00420359">
              <w:rPr>
                <w:highlight w:val="yellow"/>
              </w:rPr>
              <w:t xml:space="preserve">Stock </w:t>
            </w:r>
            <w:proofErr w:type="spellStart"/>
            <w:r w:rsidRPr="00420359">
              <w:rPr>
                <w:highlight w:val="yellow"/>
              </w:rPr>
              <w:t>o.R</w:t>
            </w:r>
            <w:proofErr w:type="spellEnd"/>
            <w:r w:rsidRPr="00420359">
              <w:rPr>
                <w:highlight w:val="yellow"/>
              </w:rPr>
              <w:t>., Stock</w:t>
            </w:r>
            <w:commentRangeEnd w:id="24"/>
            <w:r w:rsidR="00420359">
              <w:rPr>
                <w:rStyle w:val="Kommentarzeichen"/>
                <w:color w:val="auto"/>
              </w:rPr>
              <w:commentReference w:id="24"/>
            </w:r>
          </w:p>
        </w:tc>
      </w:tr>
      <w:tr w:rsidR="00D94536" w:rsidRPr="00D94536" w14:paraId="5940D874" w14:textId="448B6E46" w:rsidTr="00822894">
        <w:trPr>
          <w:trHeight w:val="364"/>
          <w:tblCellSpacing w:w="0" w:type="dxa"/>
        </w:trPr>
        <w:tc>
          <w:tcPr>
            <w:tcW w:w="2533" w:type="dxa"/>
          </w:tcPr>
          <w:p w14:paraId="558DD005" w14:textId="3CDD3C3A" w:rsidR="00D94536" w:rsidRPr="00D94536" w:rsidRDefault="00D94536" w:rsidP="00D94536">
            <w:pPr>
              <w:pStyle w:val="Tabellentext"/>
            </w:pPr>
            <w:r w:rsidRPr="00D94536">
              <w:t>Liegend; starkes Totholz</w:t>
            </w:r>
          </w:p>
        </w:tc>
        <w:tc>
          <w:tcPr>
            <w:tcW w:w="615" w:type="dxa"/>
            <w:tcBorders>
              <w:right w:val="single" w:sz="4" w:space="0" w:color="auto"/>
            </w:tcBorders>
          </w:tcPr>
          <w:p w14:paraId="3C722383" w14:textId="0E5C4262" w:rsidR="00D94536" w:rsidRPr="00D94536" w:rsidRDefault="00D94536" w:rsidP="00D94536">
            <w:pPr>
              <w:pStyle w:val="Tabellentext"/>
            </w:pPr>
            <w:r w:rsidRPr="00D94536">
              <w:t>1</w:t>
            </w:r>
          </w:p>
        </w:tc>
        <w:tc>
          <w:tcPr>
            <w:tcW w:w="1764" w:type="dxa"/>
          </w:tcPr>
          <w:p w14:paraId="561F2750" w14:textId="533C77BD" w:rsidR="00D94536" w:rsidRPr="00D94536" w:rsidRDefault="00D94536" w:rsidP="00D94536">
            <w:pPr>
              <w:pStyle w:val="Tabellentext"/>
            </w:pPr>
            <w:r w:rsidRPr="00D94536">
              <w:t>egal</w:t>
            </w:r>
          </w:p>
        </w:tc>
        <w:tc>
          <w:tcPr>
            <w:tcW w:w="4694" w:type="dxa"/>
          </w:tcPr>
          <w:p w14:paraId="01C92E50" w14:textId="1C9F13E4" w:rsidR="00D94536" w:rsidRPr="00D94536" w:rsidRDefault="00D94536" w:rsidP="00D94536">
            <w:pPr>
              <w:pStyle w:val="Tabellentext"/>
            </w:pPr>
            <w:r w:rsidRPr="00D94536">
              <w:t>Keine Kompartimente, Stickstoffgehalt des Derbholzes wird verwendet</w:t>
            </w:r>
          </w:p>
        </w:tc>
      </w:tr>
      <w:tr w:rsidR="00D94536" w:rsidRPr="00D94536" w14:paraId="13E59D42" w14:textId="3B81B4E1" w:rsidTr="00822894">
        <w:trPr>
          <w:trHeight w:val="363"/>
          <w:tblCellSpacing w:w="0" w:type="dxa"/>
        </w:trPr>
        <w:tc>
          <w:tcPr>
            <w:tcW w:w="2533" w:type="dxa"/>
          </w:tcPr>
          <w:p w14:paraId="5BF99B41" w14:textId="25F878C7" w:rsidR="00D94536" w:rsidRPr="00D94536" w:rsidRDefault="00D94536" w:rsidP="00D94536">
            <w:pPr>
              <w:pStyle w:val="Tabellentext"/>
            </w:pPr>
            <w:r w:rsidRPr="00D94536">
              <w:t>in Haufen vorkommendes Totholz</w:t>
            </w:r>
          </w:p>
        </w:tc>
        <w:tc>
          <w:tcPr>
            <w:tcW w:w="615" w:type="dxa"/>
            <w:tcBorders>
              <w:right w:val="single" w:sz="4" w:space="0" w:color="auto"/>
            </w:tcBorders>
          </w:tcPr>
          <w:p w14:paraId="11C6039A" w14:textId="483E1E98" w:rsidR="00D94536" w:rsidRPr="00D94536" w:rsidRDefault="00D94536" w:rsidP="00D94536">
            <w:pPr>
              <w:pStyle w:val="Tabellentext"/>
            </w:pPr>
            <w:r w:rsidRPr="00D94536">
              <w:t>6</w:t>
            </w:r>
          </w:p>
        </w:tc>
        <w:tc>
          <w:tcPr>
            <w:tcW w:w="1764" w:type="dxa"/>
          </w:tcPr>
          <w:p w14:paraId="5C8FB1B0" w14:textId="7A8F8FA6" w:rsidR="00D94536" w:rsidRPr="00D94536" w:rsidRDefault="00D94536" w:rsidP="00D94536">
            <w:pPr>
              <w:pStyle w:val="Tabellentext"/>
            </w:pPr>
            <w:r w:rsidRPr="00D94536">
              <w:t>egal</w:t>
            </w:r>
          </w:p>
        </w:tc>
        <w:tc>
          <w:tcPr>
            <w:tcW w:w="4694" w:type="dxa"/>
          </w:tcPr>
          <w:p w14:paraId="7484EF80" w14:textId="74966C4A" w:rsidR="00D94536" w:rsidRPr="00D94536" w:rsidRDefault="00D94536" w:rsidP="00D94536">
            <w:pPr>
              <w:pStyle w:val="Tabellentext"/>
            </w:pPr>
            <w:r w:rsidRPr="00D94536">
              <w:t>Keine Kompartimente, Stickstoffgehalt des Derbholzes wird verwendet</w:t>
            </w:r>
          </w:p>
        </w:tc>
      </w:tr>
      <w:tr w:rsidR="00D94536" w:rsidRPr="00D94536" w14:paraId="658B8348" w14:textId="2AA747F1" w:rsidTr="00822894">
        <w:trPr>
          <w:trHeight w:val="77"/>
          <w:tblCellSpacing w:w="0" w:type="dxa"/>
        </w:trPr>
        <w:tc>
          <w:tcPr>
            <w:tcW w:w="2533" w:type="dxa"/>
          </w:tcPr>
          <w:p w14:paraId="2FA73AE5" w14:textId="3695EA59" w:rsidR="00D94536" w:rsidRPr="00D94536" w:rsidRDefault="00D94536" w:rsidP="00D94536">
            <w:pPr>
              <w:pStyle w:val="Tabellentext"/>
            </w:pPr>
            <w:r w:rsidRPr="00D94536">
              <w:t>Wurzelstock</w:t>
            </w:r>
          </w:p>
        </w:tc>
        <w:tc>
          <w:tcPr>
            <w:tcW w:w="615" w:type="dxa"/>
            <w:tcBorders>
              <w:right w:val="single" w:sz="4" w:space="0" w:color="auto"/>
            </w:tcBorders>
          </w:tcPr>
          <w:p w14:paraId="3D8B21AF" w14:textId="304C2AAE" w:rsidR="00D94536" w:rsidRPr="00D94536" w:rsidRDefault="00D94536" w:rsidP="00D94536">
            <w:pPr>
              <w:pStyle w:val="Tabellentext"/>
            </w:pPr>
            <w:r w:rsidRPr="00D94536">
              <w:t>4</w:t>
            </w:r>
          </w:p>
        </w:tc>
        <w:tc>
          <w:tcPr>
            <w:tcW w:w="1764" w:type="dxa"/>
          </w:tcPr>
          <w:p w14:paraId="2013E74A" w14:textId="5CCBF78A" w:rsidR="00D94536" w:rsidRPr="00D94536" w:rsidRDefault="00D94536" w:rsidP="00D94536">
            <w:pPr>
              <w:pStyle w:val="Tabellentext"/>
            </w:pPr>
            <w:r w:rsidRPr="00D94536">
              <w:t>1, 2</w:t>
            </w:r>
          </w:p>
        </w:tc>
        <w:tc>
          <w:tcPr>
            <w:tcW w:w="4694" w:type="dxa"/>
          </w:tcPr>
          <w:p w14:paraId="1D97FCC9" w14:textId="7AF20536" w:rsidR="00D94536" w:rsidRPr="00D94536" w:rsidRDefault="00D94536" w:rsidP="00D94536">
            <w:pPr>
              <w:pStyle w:val="Tabellentext"/>
            </w:pPr>
            <w:proofErr w:type="spellStart"/>
            <w:r w:rsidRPr="00D94536">
              <w:t>Komartimentierung</w:t>
            </w:r>
            <w:proofErr w:type="spellEnd"/>
            <w:r w:rsidRPr="00D94536">
              <w:t xml:space="preserve"> mit </w:t>
            </w:r>
            <w:proofErr w:type="spellStart"/>
            <w:r w:rsidRPr="00D94536">
              <w:t>TapeS</w:t>
            </w:r>
            <w:proofErr w:type="spellEnd"/>
            <w:r w:rsidRPr="00D94536">
              <w:t xml:space="preserve"> in Stock </w:t>
            </w:r>
            <w:proofErr w:type="spellStart"/>
            <w:r w:rsidRPr="00D94536">
              <w:t>o.R</w:t>
            </w:r>
            <w:proofErr w:type="spellEnd"/>
            <w:r w:rsidRPr="00D94536">
              <w:t>, Stockrinde</w:t>
            </w:r>
          </w:p>
        </w:tc>
      </w:tr>
    </w:tbl>
    <w:bookmarkEnd w:id="23"/>
    <w:p w14:paraId="779092DD" w14:textId="32F9E281" w:rsidR="00822894" w:rsidRDefault="0061031A" w:rsidP="00822894">
      <w:r>
        <w:t xml:space="preserve">Hierbei wird ein Kombiniertes Verfahren aus BWI &amp;THGI Methodik und der Biomassenschätzung über </w:t>
      </w:r>
      <w:proofErr w:type="spellStart"/>
      <w:r>
        <w:t>TapeS</w:t>
      </w:r>
      <w:proofErr w:type="spellEnd"/>
      <w:r>
        <w:t xml:space="preserve"> </w:t>
      </w:r>
      <w:proofErr w:type="spellStart"/>
      <w:r>
        <w:t>angewand</w:t>
      </w:r>
      <w:proofErr w:type="spellEnd"/>
      <w:r>
        <w:t xml:space="preserve">. </w:t>
      </w:r>
    </w:p>
    <w:p w14:paraId="377345C8" w14:textId="0F86BEBA" w:rsidR="0061031A" w:rsidRDefault="0061031A" w:rsidP="0061031A">
      <w:pPr>
        <w:pStyle w:val="Zwischenberschriftkursiv"/>
      </w:pPr>
      <w:r>
        <w:t>Stehendes und liegendes Totholz</w:t>
      </w:r>
      <w:r w:rsidR="00F95756">
        <w:t xml:space="preserve"> (2 &amp; 5</w:t>
      </w:r>
      <w:proofErr w:type="gramStart"/>
      <w:r w:rsidR="00F95756">
        <w:t xml:space="preserve">) </w:t>
      </w:r>
      <w:r>
        <w:t xml:space="preserve"> in</w:t>
      </w:r>
      <w:proofErr w:type="gramEnd"/>
      <w:r>
        <w:t xml:space="preserve"> </w:t>
      </w:r>
      <w:proofErr w:type="spellStart"/>
      <w:r>
        <w:t>Zersetzngsgrad</w:t>
      </w:r>
      <w:proofErr w:type="spellEnd"/>
      <w:r>
        <w:t xml:space="preserve"> 1 </w:t>
      </w:r>
      <w:r w:rsidR="00F95756">
        <w:t>&amp; 2</w:t>
      </w:r>
    </w:p>
    <w:p w14:paraId="6B28191B" w14:textId="1E124BDC" w:rsidR="00F95756" w:rsidRDefault="0061031A" w:rsidP="0061031A">
      <w:r>
        <w:t>Hier wird zunächst ein TapeS Obje</w:t>
      </w:r>
      <w:r w:rsidR="00100D0E">
        <w:t>k</w:t>
      </w:r>
      <w:r>
        <w:t>t mittels der Eingangsgrößen Baumartengruppe (</w:t>
      </w:r>
      <w:proofErr w:type="spellStart"/>
      <w:r>
        <w:t>spp</w:t>
      </w:r>
      <w:proofErr w:type="spellEnd"/>
      <w:r>
        <w:t>), BHD (</w:t>
      </w:r>
      <w:proofErr w:type="spellStart"/>
      <w:r>
        <w:t>Dm</w:t>
      </w:r>
      <w:proofErr w:type="spellEnd"/>
      <w:r>
        <w:t xml:space="preserve">), BHD </w:t>
      </w:r>
      <w:proofErr w:type="spellStart"/>
      <w:r>
        <w:t>Messhöhe</w:t>
      </w:r>
      <w:proofErr w:type="spellEnd"/>
      <w:r>
        <w:t xml:space="preserve"> (Hm = 1.3m) und Baumlänge (</w:t>
      </w:r>
      <w:proofErr w:type="spellStart"/>
      <w:r>
        <w:t>Ht</w:t>
      </w:r>
      <w:proofErr w:type="spellEnd"/>
      <w:r>
        <w:t xml:space="preserve">) erzeugt. Folgend wird die Biomasse in allen Kompartimenten, auch der Blattmasse, berechnet. </w:t>
      </w:r>
      <w:r w:rsidR="00100D0E">
        <w:t>Dann</w:t>
      </w:r>
      <w:r w:rsidR="005F732E">
        <w:t xml:space="preserve"> wird die Blatt</w:t>
      </w:r>
      <w:r w:rsidR="001E5FDE">
        <w:t>- und Feinholzmasse</w:t>
      </w:r>
      <w:r w:rsidR="005F732E">
        <w:t xml:space="preserve"> auf die Biomasse die über das Volumen und die Biomasseexpansionsfaktoren berechnet wurde (</w:t>
      </w:r>
      <w:proofErr w:type="spellStart"/>
      <w:r w:rsidR="005F732E">
        <w:t>B_dw_kg</w:t>
      </w:r>
      <w:proofErr w:type="spellEnd"/>
      <w:r w:rsidR="005F732E">
        <w:t>) aufsummiert</w:t>
      </w:r>
      <w:r w:rsidR="001E5FDE">
        <w:t>. Dies ist notwendig, da die durch TapeS bestimmten Kompartimente immer für ganze Bäume mit den im Obje</w:t>
      </w:r>
      <w:r w:rsidR="00100D0E">
        <w:t>k</w:t>
      </w:r>
      <w:r w:rsidR="001E5FDE">
        <w:t>t hinterlegten Dimensionen gelten. Die Biomasseberechnung der BWI</w:t>
      </w:r>
      <w:r w:rsidR="00100D0E">
        <w:t>&amp;</w:t>
      </w:r>
      <w:r w:rsidR="001E5FDE">
        <w:t xml:space="preserve">THGI hingegen, berechnet nur die Biomasse von Stock und Derbholz. Will man die verbleibende Biomasse in den </w:t>
      </w:r>
      <w:proofErr w:type="spellStart"/>
      <w:r w:rsidR="001E5FDE">
        <w:t>Kompartimetnen</w:t>
      </w:r>
      <w:proofErr w:type="spellEnd"/>
      <w:r w:rsidR="001E5FDE">
        <w:t xml:space="preserve"> berechnen, muss sie von der Biomasse eines ganzen Baumes (mit allen Kompartimenten) abgezogen werden. Nachfolgend wird die schrittweise </w:t>
      </w:r>
      <w:proofErr w:type="spellStart"/>
      <w:r w:rsidR="001E5FDE">
        <w:t>Berechung</w:t>
      </w:r>
      <w:proofErr w:type="spellEnd"/>
      <w:r w:rsidR="001E5FDE">
        <w:t xml:space="preserve"> der</w:t>
      </w:r>
      <w:r w:rsidR="005F732E">
        <w:t xml:space="preserve"> die verbleibende Biomasse in den Kompartimenten durch Abziehen der </w:t>
      </w:r>
      <w:proofErr w:type="spellStart"/>
      <w:r w:rsidR="005F732E">
        <w:t>TapeS</w:t>
      </w:r>
      <w:proofErr w:type="spellEnd"/>
      <w:r w:rsidR="005F732E">
        <w:t xml:space="preserve"> </w:t>
      </w:r>
      <w:proofErr w:type="spellStart"/>
      <w:r w:rsidR="005F732E">
        <w:t>Kompartimentmassen</w:t>
      </w:r>
      <w:proofErr w:type="spellEnd"/>
      <w:r w:rsidR="005F732E">
        <w:t xml:space="preserve"> </w:t>
      </w:r>
      <w:r w:rsidR="004F3301">
        <w:t xml:space="preserve">dargestellt: </w:t>
      </w:r>
      <w:r w:rsidR="005F732E">
        <w:t xml:space="preserve"> </w:t>
      </w:r>
    </w:p>
    <w:p w14:paraId="3B4F9894" w14:textId="2EF0C1BC" w:rsidR="001E5FDE" w:rsidRDefault="001E5FDE" w:rsidP="006423FB">
      <w:pPr>
        <w:ind w:left="2118" w:hanging="1410"/>
      </w:pPr>
      <w:proofErr w:type="spellStart"/>
      <w:r w:rsidRPr="001E5FDE">
        <w:rPr>
          <w:b/>
          <w:color w:val="385623" w:themeColor="accent6" w:themeShade="80"/>
        </w:rPr>
        <w:t>Derbholz.o.R</w:t>
      </w:r>
      <w:proofErr w:type="spellEnd"/>
      <w:r w:rsidRPr="001E5FDE">
        <w:rPr>
          <w:b/>
          <w:color w:val="385623" w:themeColor="accent6" w:themeShade="80"/>
        </w:rPr>
        <w:t>.</w:t>
      </w:r>
      <w:r w:rsidRPr="001E5FDE">
        <w:rPr>
          <w:color w:val="385623" w:themeColor="accent6" w:themeShade="80"/>
        </w:rPr>
        <w:t xml:space="preserve"> </w:t>
      </w:r>
      <w:r w:rsidR="004F3301">
        <w:rPr>
          <w:color w:val="385623" w:themeColor="accent6" w:themeShade="80"/>
        </w:rPr>
        <w:tab/>
      </w:r>
      <w:r>
        <w:t xml:space="preserve">= </w:t>
      </w:r>
      <w:r w:rsidR="00F95756">
        <w:t>(</w:t>
      </w:r>
      <w:r>
        <w:t xml:space="preserve">(Biomasse BWI&amp;THGI + Blattmasse </w:t>
      </w:r>
      <w:proofErr w:type="spellStart"/>
      <w:r>
        <w:t>TapeS</w:t>
      </w:r>
      <w:proofErr w:type="spellEnd"/>
      <w:r>
        <w:t xml:space="preserve"> + Nichtderbholz </w:t>
      </w:r>
      <w:proofErr w:type="spellStart"/>
      <w:r>
        <w:t>TapeS</w:t>
      </w:r>
      <w:proofErr w:type="spellEnd"/>
      <w:r>
        <w:t>)</w:t>
      </w:r>
      <w:r w:rsidR="005F732E">
        <w:t xml:space="preserve"> </w:t>
      </w:r>
      <w:r>
        <w:t xml:space="preserve">– (Derbholzrinde </w:t>
      </w:r>
      <w:proofErr w:type="spellStart"/>
      <w:r>
        <w:t>TapeS</w:t>
      </w:r>
      <w:proofErr w:type="spellEnd"/>
      <w:r>
        <w:t xml:space="preserve"> + </w:t>
      </w:r>
      <w:r w:rsidR="002A7DC1">
        <w:t xml:space="preserve">    </w:t>
      </w:r>
      <w:proofErr w:type="spellStart"/>
      <w:r>
        <w:t>Stockmasse</w:t>
      </w:r>
      <w:proofErr w:type="spellEnd"/>
      <w:r>
        <w:t xml:space="preserve"> </w:t>
      </w:r>
      <w:proofErr w:type="spellStart"/>
      <w:r>
        <w:t>TapeS</w:t>
      </w:r>
      <w:proofErr w:type="spellEnd"/>
      <w:r>
        <w:t xml:space="preserve"> + Stockrinde TapeS)</w:t>
      </w:r>
      <w:r w:rsidR="00F95756">
        <w:t xml:space="preserve">) * Biomassereduktionsfaktor </w:t>
      </w:r>
    </w:p>
    <w:p w14:paraId="63BC6743" w14:textId="608C2457" w:rsidR="001E5FDE" w:rsidRDefault="001E5FDE" w:rsidP="006423FB">
      <w:pPr>
        <w:ind w:left="2112" w:hanging="1410"/>
      </w:pPr>
      <w:r w:rsidRPr="001E5FDE">
        <w:rPr>
          <w:b/>
          <w:color w:val="70AD47" w:themeColor="accent6"/>
        </w:rPr>
        <w:t>Derbholzrinde</w:t>
      </w:r>
      <w:r w:rsidRPr="001E5FDE">
        <w:rPr>
          <w:color w:val="538135" w:themeColor="accent6" w:themeShade="BF"/>
        </w:rPr>
        <w:t xml:space="preserve"> </w:t>
      </w:r>
      <w:r w:rsidR="004F3301">
        <w:rPr>
          <w:color w:val="538135" w:themeColor="accent6" w:themeShade="BF"/>
        </w:rPr>
        <w:tab/>
      </w:r>
      <w:r>
        <w:t xml:space="preserve">= (Biomasse BWI&amp;THGI + Blattmasse </w:t>
      </w:r>
      <w:proofErr w:type="spellStart"/>
      <w:r>
        <w:t>TapeS</w:t>
      </w:r>
      <w:proofErr w:type="spellEnd"/>
      <w:r>
        <w:t xml:space="preserve"> + Nichtderbholz </w:t>
      </w:r>
      <w:proofErr w:type="spellStart"/>
      <w:r>
        <w:t>TapeS</w:t>
      </w:r>
      <w:proofErr w:type="spellEnd"/>
      <w:r>
        <w:t>) – (</w:t>
      </w:r>
      <w:proofErr w:type="spellStart"/>
      <w:r w:rsidRPr="001E5FDE">
        <w:rPr>
          <w:b/>
          <w:color w:val="385623" w:themeColor="accent6" w:themeShade="80"/>
        </w:rPr>
        <w:t>Derbholz.o.R</w:t>
      </w:r>
      <w:proofErr w:type="spellEnd"/>
      <w:r w:rsidRPr="001E5FDE">
        <w:rPr>
          <w:b/>
          <w:color w:val="385623" w:themeColor="accent6" w:themeShade="80"/>
        </w:rPr>
        <w:t>.</w:t>
      </w:r>
      <w:r w:rsidRPr="001E5FDE">
        <w:rPr>
          <w:color w:val="385623" w:themeColor="accent6" w:themeShade="80"/>
        </w:rPr>
        <w:t xml:space="preserve"> </w:t>
      </w:r>
      <w:r>
        <w:t xml:space="preserve">+ </w:t>
      </w:r>
      <w:proofErr w:type="spellStart"/>
      <w:r>
        <w:t>Stockmasse</w:t>
      </w:r>
      <w:proofErr w:type="spellEnd"/>
      <w:r>
        <w:t xml:space="preserve"> </w:t>
      </w:r>
      <w:proofErr w:type="spellStart"/>
      <w:r>
        <w:t>TapeS</w:t>
      </w:r>
      <w:proofErr w:type="spellEnd"/>
      <w:r>
        <w:t xml:space="preserve"> + Stockrinde </w:t>
      </w:r>
      <w:proofErr w:type="gramStart"/>
      <w:r>
        <w:t>TapeS )</w:t>
      </w:r>
      <w:proofErr w:type="gramEnd"/>
      <w:r w:rsidR="00F95756" w:rsidRPr="00F95756">
        <w:t xml:space="preserve"> </w:t>
      </w:r>
      <w:r w:rsidR="00F95756">
        <w:t>* Biomassereduktionsfaktor</w:t>
      </w:r>
    </w:p>
    <w:p w14:paraId="4C337606" w14:textId="72AF07CA" w:rsidR="001E5FDE" w:rsidRDefault="001E5FDE" w:rsidP="006423FB">
      <w:pPr>
        <w:ind w:left="2112" w:hanging="1410"/>
      </w:pPr>
      <w:proofErr w:type="spellStart"/>
      <w:proofErr w:type="gramStart"/>
      <w:r w:rsidRPr="001E5FDE">
        <w:rPr>
          <w:b/>
          <w:color w:val="2F5496" w:themeColor="accent1" w:themeShade="BF"/>
        </w:rPr>
        <w:t>Stockmass</w:t>
      </w:r>
      <w:r w:rsidR="008D2CDA">
        <w:rPr>
          <w:b/>
          <w:color w:val="2F5496" w:themeColor="accent1" w:themeShade="BF"/>
        </w:rPr>
        <w:t>e.o.R</w:t>
      </w:r>
      <w:proofErr w:type="spellEnd"/>
      <w:proofErr w:type="gramEnd"/>
      <w:r w:rsidR="008D2CDA">
        <w:rPr>
          <w:b/>
          <w:color w:val="2F5496" w:themeColor="accent1" w:themeShade="BF"/>
        </w:rPr>
        <w:t>:</w:t>
      </w:r>
      <w:r w:rsidRPr="001E5FDE">
        <w:rPr>
          <w:color w:val="2F5496" w:themeColor="accent1" w:themeShade="BF"/>
        </w:rPr>
        <w:t xml:space="preserve"> </w:t>
      </w:r>
      <w:r>
        <w:t xml:space="preserve">= (Biomasse BWI&amp;THGI + Blattmasse </w:t>
      </w:r>
      <w:proofErr w:type="spellStart"/>
      <w:r>
        <w:t>TapeS</w:t>
      </w:r>
      <w:proofErr w:type="spellEnd"/>
      <w:r>
        <w:t xml:space="preserve"> + Nichtderbholz </w:t>
      </w:r>
      <w:proofErr w:type="spellStart"/>
      <w:r>
        <w:t>TapeS</w:t>
      </w:r>
      <w:proofErr w:type="spellEnd"/>
      <w:r>
        <w:t>) – (</w:t>
      </w:r>
      <w:proofErr w:type="spellStart"/>
      <w:r w:rsidRPr="001E5FDE">
        <w:rPr>
          <w:b/>
          <w:color w:val="385623" w:themeColor="accent6" w:themeShade="80"/>
        </w:rPr>
        <w:t>Derbholz.o.R</w:t>
      </w:r>
      <w:proofErr w:type="spellEnd"/>
      <w:r w:rsidRPr="001E5FDE">
        <w:rPr>
          <w:b/>
          <w:color w:val="385623" w:themeColor="accent6" w:themeShade="80"/>
        </w:rPr>
        <w:t>.</w:t>
      </w:r>
      <w:r w:rsidRPr="001E5FDE">
        <w:rPr>
          <w:color w:val="385623" w:themeColor="accent6" w:themeShade="80"/>
        </w:rPr>
        <w:t xml:space="preserve"> </w:t>
      </w:r>
      <w:r>
        <w:rPr>
          <w:color w:val="385623" w:themeColor="accent6" w:themeShade="80"/>
        </w:rPr>
        <w:t xml:space="preserve"> + </w:t>
      </w:r>
      <w:r w:rsidRPr="001E5FDE">
        <w:rPr>
          <w:b/>
          <w:color w:val="70AD47" w:themeColor="accent6"/>
        </w:rPr>
        <w:t>Derbholzrinde</w:t>
      </w:r>
      <w:r w:rsidRPr="001E5FDE">
        <w:rPr>
          <w:color w:val="538135" w:themeColor="accent6" w:themeShade="BF"/>
        </w:rPr>
        <w:t xml:space="preserve"> </w:t>
      </w:r>
      <w:r>
        <w:rPr>
          <w:color w:val="538135" w:themeColor="accent6" w:themeShade="BF"/>
        </w:rPr>
        <w:t xml:space="preserve">+ </w:t>
      </w:r>
      <w:r>
        <w:t xml:space="preserve">Stockrinde </w:t>
      </w:r>
      <w:proofErr w:type="gramStart"/>
      <w:r>
        <w:t>TapeS )</w:t>
      </w:r>
      <w:proofErr w:type="gramEnd"/>
      <w:r w:rsidR="00F95756" w:rsidRPr="00F95756">
        <w:t xml:space="preserve"> </w:t>
      </w:r>
      <w:r w:rsidR="00F95756">
        <w:t>* Biomassereduktionsfaktor</w:t>
      </w:r>
    </w:p>
    <w:p w14:paraId="1C5FC41A" w14:textId="4720178D" w:rsidR="001E5FDE" w:rsidRDefault="001E5FDE" w:rsidP="006423FB">
      <w:pPr>
        <w:ind w:left="2112" w:hanging="1410"/>
      </w:pPr>
      <w:r w:rsidRPr="001E5FDE">
        <w:rPr>
          <w:b/>
          <w:color w:val="9CC2E5" w:themeColor="accent5" w:themeTint="99"/>
        </w:rPr>
        <w:t>Stockrinde</w:t>
      </w:r>
      <w:r w:rsidRPr="001E5FDE">
        <w:rPr>
          <w:color w:val="9CC2E5" w:themeColor="accent5" w:themeTint="99"/>
        </w:rPr>
        <w:t xml:space="preserve"> </w:t>
      </w:r>
      <w:r w:rsidR="004F3301">
        <w:rPr>
          <w:color w:val="9CC2E5" w:themeColor="accent5" w:themeTint="99"/>
        </w:rPr>
        <w:tab/>
      </w:r>
      <w:r w:rsidR="004F3301">
        <w:rPr>
          <w:color w:val="9CC2E5" w:themeColor="accent5" w:themeTint="99"/>
        </w:rPr>
        <w:tab/>
      </w:r>
      <w:r>
        <w:t xml:space="preserve">= (Biomasse BWI&amp;THGI + Blattmasse </w:t>
      </w:r>
      <w:proofErr w:type="spellStart"/>
      <w:r>
        <w:t>TapeS</w:t>
      </w:r>
      <w:proofErr w:type="spellEnd"/>
      <w:r>
        <w:t xml:space="preserve"> + Nichtderbholz </w:t>
      </w:r>
      <w:proofErr w:type="spellStart"/>
      <w:r>
        <w:t>TapeS</w:t>
      </w:r>
      <w:proofErr w:type="spellEnd"/>
      <w:r>
        <w:t>) – (</w:t>
      </w:r>
      <w:proofErr w:type="spellStart"/>
      <w:r w:rsidRPr="001E5FDE">
        <w:rPr>
          <w:b/>
          <w:color w:val="385623" w:themeColor="accent6" w:themeShade="80"/>
        </w:rPr>
        <w:t>Derbholz.o.R</w:t>
      </w:r>
      <w:proofErr w:type="spellEnd"/>
      <w:r w:rsidRPr="001E5FDE">
        <w:rPr>
          <w:b/>
          <w:color w:val="385623" w:themeColor="accent6" w:themeShade="80"/>
        </w:rPr>
        <w:t>.</w:t>
      </w:r>
      <w:r w:rsidRPr="001E5FDE">
        <w:rPr>
          <w:color w:val="385623" w:themeColor="accent6" w:themeShade="80"/>
        </w:rPr>
        <w:t xml:space="preserve"> </w:t>
      </w:r>
      <w:r>
        <w:rPr>
          <w:color w:val="385623" w:themeColor="accent6" w:themeShade="80"/>
        </w:rPr>
        <w:t xml:space="preserve"> + </w:t>
      </w:r>
      <w:r w:rsidRPr="001E5FDE">
        <w:rPr>
          <w:b/>
          <w:color w:val="70AD47" w:themeColor="accent6"/>
        </w:rPr>
        <w:t>Derbholzrinde</w:t>
      </w:r>
      <w:r w:rsidRPr="001E5FDE">
        <w:rPr>
          <w:color w:val="538135" w:themeColor="accent6" w:themeShade="BF"/>
        </w:rPr>
        <w:t xml:space="preserve"> </w:t>
      </w:r>
      <w:r>
        <w:rPr>
          <w:color w:val="538135" w:themeColor="accent6" w:themeShade="BF"/>
        </w:rPr>
        <w:t xml:space="preserve">+ </w:t>
      </w:r>
      <w:proofErr w:type="spellStart"/>
      <w:proofErr w:type="gramStart"/>
      <w:r w:rsidR="00081EF0" w:rsidRPr="001E5FDE">
        <w:rPr>
          <w:b/>
          <w:color w:val="2F5496" w:themeColor="accent1" w:themeShade="BF"/>
        </w:rPr>
        <w:t>Stockmass</w:t>
      </w:r>
      <w:r w:rsidR="00081EF0">
        <w:rPr>
          <w:b/>
          <w:color w:val="2F5496" w:themeColor="accent1" w:themeShade="BF"/>
        </w:rPr>
        <w:t>e.o.R</w:t>
      </w:r>
      <w:proofErr w:type="spellEnd"/>
      <w:proofErr w:type="gramEnd"/>
      <w:r>
        <w:t>)</w:t>
      </w:r>
      <w:r w:rsidR="00F95756" w:rsidRPr="00F95756">
        <w:t xml:space="preserve"> </w:t>
      </w:r>
      <w:r w:rsidR="00F95756">
        <w:t>* Biomassereduktionsfaktor</w:t>
      </w:r>
    </w:p>
    <w:p w14:paraId="5965E7F6" w14:textId="7D2A6F55" w:rsidR="00F95756" w:rsidRPr="00F95756" w:rsidRDefault="00F95756" w:rsidP="002A7DC1">
      <w:pPr>
        <w:ind w:left="1410" w:hanging="1410"/>
      </w:pPr>
      <w:r w:rsidRPr="00F95756">
        <w:t xml:space="preserve">Für Zersetzungsgrad 1: </w:t>
      </w:r>
    </w:p>
    <w:p w14:paraId="7A218387" w14:textId="7CEDE349" w:rsidR="002A7DC1" w:rsidRDefault="004F3301" w:rsidP="006423FB">
      <w:pPr>
        <w:ind w:left="708"/>
      </w:pPr>
      <w:r w:rsidRPr="004F3301">
        <w:rPr>
          <w:b/>
          <w:color w:val="BF8F00" w:themeColor="accent4" w:themeShade="BF"/>
        </w:rPr>
        <w:t xml:space="preserve">Nichtderbholz </w:t>
      </w:r>
      <w:proofErr w:type="spellStart"/>
      <w:r w:rsidRPr="004F3301">
        <w:rPr>
          <w:b/>
          <w:color w:val="BF8F00" w:themeColor="accent4" w:themeShade="BF"/>
        </w:rPr>
        <w:t>m.R</w:t>
      </w:r>
      <w:proofErr w:type="spellEnd"/>
      <w:r w:rsidRPr="004F3301">
        <w:rPr>
          <w:b/>
          <w:color w:val="BF8F00" w:themeColor="accent4" w:themeShade="BF"/>
        </w:rPr>
        <w:t>.</w:t>
      </w:r>
      <w:r w:rsidRPr="004F3301">
        <w:rPr>
          <w:color w:val="BF8F00" w:themeColor="accent4" w:themeShade="BF"/>
        </w:rPr>
        <w:t xml:space="preserve"> </w:t>
      </w:r>
      <w:r w:rsidR="004112A9">
        <w:rPr>
          <w:color w:val="BF8F00" w:themeColor="accent4" w:themeShade="BF"/>
        </w:rPr>
        <w:tab/>
      </w:r>
      <w:r w:rsidR="004112A9">
        <w:t>= Nichtderbholz</w:t>
      </w:r>
      <w:r>
        <w:t xml:space="preserve"> TapeS</w:t>
      </w:r>
      <w:r w:rsidR="00F95756">
        <w:t>* Biomassereduktionsfaktor</w:t>
      </w:r>
    </w:p>
    <w:p w14:paraId="280E6A5D" w14:textId="12C2DA9F" w:rsidR="002A7DC1" w:rsidRDefault="002A7DC1" w:rsidP="006423FB">
      <w:pPr>
        <w:ind w:left="3588" w:hanging="2880"/>
      </w:pPr>
      <w:r w:rsidRPr="008366AA">
        <w:rPr>
          <w:b/>
        </w:rPr>
        <w:t>oberirdische Biomasse</w:t>
      </w:r>
      <w:r w:rsidR="004112A9">
        <w:rPr>
          <w:color w:val="9CC2E5" w:themeColor="accent5" w:themeTint="99"/>
        </w:rPr>
        <w:t xml:space="preserve"> </w:t>
      </w:r>
      <w:r>
        <w:t>= Biomasse BWI&amp;THGI (=</w:t>
      </w:r>
      <w:r w:rsidR="004112A9">
        <w:t xml:space="preserve"> </w:t>
      </w:r>
      <w:proofErr w:type="spellStart"/>
      <w:r w:rsidRPr="001E5FDE">
        <w:rPr>
          <w:b/>
          <w:color w:val="385623" w:themeColor="accent6" w:themeShade="80"/>
        </w:rPr>
        <w:t>Derbholz.o.R</w:t>
      </w:r>
      <w:proofErr w:type="spellEnd"/>
      <w:r w:rsidRPr="001E5FDE">
        <w:rPr>
          <w:b/>
          <w:color w:val="385623" w:themeColor="accent6" w:themeShade="80"/>
        </w:rPr>
        <w:t>.</w:t>
      </w:r>
      <w:r>
        <w:rPr>
          <w:b/>
          <w:color w:val="385623" w:themeColor="accent6" w:themeShade="80"/>
        </w:rPr>
        <w:t xml:space="preserve"> </w:t>
      </w:r>
      <w:r w:rsidRPr="00E82DC3">
        <w:t>+</w:t>
      </w:r>
      <w:r>
        <w:rPr>
          <w:b/>
          <w:color w:val="385623" w:themeColor="accent6" w:themeShade="80"/>
        </w:rPr>
        <w:t xml:space="preserve"> </w:t>
      </w:r>
      <w:r w:rsidRPr="001E5FDE">
        <w:rPr>
          <w:b/>
          <w:color w:val="70AD47" w:themeColor="accent6"/>
        </w:rPr>
        <w:t>Derbholzrinde</w:t>
      </w:r>
      <w:r>
        <w:rPr>
          <w:b/>
          <w:color w:val="70AD47" w:themeColor="accent6"/>
        </w:rPr>
        <w:t xml:space="preserve"> </w:t>
      </w:r>
      <w:r w:rsidRPr="00E82DC3">
        <w:t>+</w:t>
      </w:r>
      <w:r>
        <w:rPr>
          <w:b/>
          <w:color w:val="70AD47" w:themeColor="accent6"/>
        </w:rPr>
        <w:t xml:space="preserve"> </w:t>
      </w:r>
      <w:proofErr w:type="spellStart"/>
      <w:proofErr w:type="gramStart"/>
      <w:r w:rsidR="00081EF0" w:rsidRPr="001E5FDE">
        <w:rPr>
          <w:b/>
          <w:color w:val="2F5496" w:themeColor="accent1" w:themeShade="BF"/>
        </w:rPr>
        <w:t>Stockmass</w:t>
      </w:r>
      <w:r w:rsidR="00081EF0">
        <w:rPr>
          <w:b/>
          <w:color w:val="2F5496" w:themeColor="accent1" w:themeShade="BF"/>
        </w:rPr>
        <w:t>e.o.R</w:t>
      </w:r>
      <w:proofErr w:type="spellEnd"/>
      <w:proofErr w:type="gramEnd"/>
      <w:r w:rsidR="00081EF0">
        <w:rPr>
          <w:b/>
          <w:color w:val="2F5496" w:themeColor="accent1" w:themeShade="BF"/>
        </w:rPr>
        <w:t xml:space="preserve"> </w:t>
      </w:r>
      <w:r>
        <w:rPr>
          <w:b/>
          <w:color w:val="2F5496" w:themeColor="accent1" w:themeShade="BF"/>
        </w:rPr>
        <w:t xml:space="preserve">+ </w:t>
      </w:r>
      <w:r w:rsidRPr="001E5FDE">
        <w:rPr>
          <w:b/>
          <w:color w:val="9CC2E5" w:themeColor="accent5" w:themeTint="99"/>
        </w:rPr>
        <w:t>Stockrinde</w:t>
      </w:r>
      <w:r w:rsidRPr="00E82DC3">
        <w:t xml:space="preserve">) </w:t>
      </w:r>
      <w:r>
        <w:t xml:space="preserve">+ </w:t>
      </w:r>
      <w:r w:rsidRPr="004F3301">
        <w:rPr>
          <w:b/>
          <w:color w:val="BF8F00" w:themeColor="accent4" w:themeShade="BF"/>
        </w:rPr>
        <w:t xml:space="preserve">Nichtderbholz </w:t>
      </w:r>
      <w:proofErr w:type="spellStart"/>
      <w:r w:rsidRPr="004F3301">
        <w:rPr>
          <w:b/>
          <w:color w:val="BF8F00" w:themeColor="accent4" w:themeShade="BF"/>
        </w:rPr>
        <w:t>m.R</w:t>
      </w:r>
      <w:proofErr w:type="spellEnd"/>
      <w:r w:rsidRPr="004F3301">
        <w:rPr>
          <w:b/>
          <w:color w:val="BF8F00" w:themeColor="accent4" w:themeShade="BF"/>
        </w:rPr>
        <w:t>.</w:t>
      </w:r>
      <w:r w:rsidRPr="004F3301">
        <w:rPr>
          <w:color w:val="BF8F00" w:themeColor="accent4" w:themeShade="BF"/>
        </w:rPr>
        <w:t xml:space="preserve"> </w:t>
      </w:r>
      <w:r>
        <w:t xml:space="preserve"> </w:t>
      </w:r>
    </w:p>
    <w:p w14:paraId="0AAEEFF1" w14:textId="44D24588" w:rsidR="00F95756" w:rsidRDefault="00F95756" w:rsidP="00F95756">
      <w:pPr>
        <w:ind w:left="1410" w:hanging="1410"/>
      </w:pPr>
      <w:r w:rsidRPr="00F95756">
        <w:t xml:space="preserve">Für Zersetzungsgrad </w:t>
      </w:r>
      <w:r>
        <w:t>2</w:t>
      </w:r>
      <w:r w:rsidRPr="00F95756">
        <w:t xml:space="preserve">: </w:t>
      </w:r>
      <w:r>
        <w:t xml:space="preserve">Berechnung identisch </w:t>
      </w:r>
      <w:r w:rsidR="00BF6D55">
        <w:t xml:space="preserve">jedoch </w:t>
      </w:r>
      <w:r>
        <w:t>wird die Nichtderbholzbiomasse nicht mit</w:t>
      </w:r>
      <w:r w:rsidR="00BF6D55">
        <w:t>g</w:t>
      </w:r>
      <w:r>
        <w:t xml:space="preserve">erechnet. </w:t>
      </w:r>
    </w:p>
    <w:p w14:paraId="1D30089E" w14:textId="777B4C17" w:rsidR="00100D0E" w:rsidRDefault="00100D0E" w:rsidP="006423FB">
      <w:pPr>
        <w:ind w:left="708"/>
      </w:pPr>
      <w:r w:rsidRPr="004F3301">
        <w:rPr>
          <w:b/>
          <w:color w:val="BF8F00" w:themeColor="accent4" w:themeShade="BF"/>
        </w:rPr>
        <w:t xml:space="preserve">Nichtderbholz </w:t>
      </w:r>
      <w:proofErr w:type="spellStart"/>
      <w:r w:rsidRPr="004F3301">
        <w:rPr>
          <w:b/>
          <w:color w:val="BF8F00" w:themeColor="accent4" w:themeShade="BF"/>
        </w:rPr>
        <w:t>m.R</w:t>
      </w:r>
      <w:proofErr w:type="spellEnd"/>
      <w:r w:rsidRPr="004F3301">
        <w:rPr>
          <w:b/>
          <w:color w:val="BF8F00" w:themeColor="accent4" w:themeShade="BF"/>
        </w:rPr>
        <w:t>.</w:t>
      </w:r>
      <w:r w:rsidRPr="004F3301">
        <w:rPr>
          <w:color w:val="BF8F00" w:themeColor="accent4" w:themeShade="BF"/>
        </w:rPr>
        <w:t xml:space="preserve"> </w:t>
      </w:r>
      <w:r>
        <w:rPr>
          <w:color w:val="BF8F00" w:themeColor="accent4" w:themeShade="BF"/>
        </w:rPr>
        <w:tab/>
      </w:r>
      <w:r>
        <w:t xml:space="preserve">=  </w:t>
      </w:r>
      <w:r w:rsidR="00AB76C3">
        <w:t xml:space="preserve"> </w:t>
      </w:r>
      <w:r w:rsidR="002D5543">
        <w:t>0</w:t>
      </w:r>
    </w:p>
    <w:p w14:paraId="56C767AB" w14:textId="000923BF" w:rsidR="00100D0E" w:rsidRDefault="00100D0E" w:rsidP="006423FB">
      <w:pPr>
        <w:ind w:left="708"/>
      </w:pPr>
      <w:r w:rsidRPr="002D5543">
        <w:rPr>
          <w:b/>
        </w:rPr>
        <w:t xml:space="preserve">oberirdische Biomasse </w:t>
      </w:r>
      <w:r w:rsidRPr="008366AA">
        <w:t>=</w:t>
      </w:r>
      <w:r w:rsidRPr="002D5543">
        <w:rPr>
          <w:b/>
        </w:rPr>
        <w:t xml:space="preserve"> </w:t>
      </w:r>
      <w:r>
        <w:t xml:space="preserve">Biomasse BWI&amp;THGI </w:t>
      </w:r>
      <w:r w:rsidR="00E82DC3">
        <w:t xml:space="preserve">= </w:t>
      </w:r>
      <w:proofErr w:type="spellStart"/>
      <w:r w:rsidR="00E82DC3" w:rsidRPr="001E5FDE">
        <w:rPr>
          <w:b/>
          <w:color w:val="385623" w:themeColor="accent6" w:themeShade="80"/>
        </w:rPr>
        <w:t>Derbholz.o.R</w:t>
      </w:r>
      <w:proofErr w:type="spellEnd"/>
      <w:r w:rsidR="00E82DC3" w:rsidRPr="001E5FDE">
        <w:rPr>
          <w:b/>
          <w:color w:val="385623" w:themeColor="accent6" w:themeShade="80"/>
        </w:rPr>
        <w:t>.</w:t>
      </w:r>
      <w:r w:rsidR="00E82DC3">
        <w:rPr>
          <w:b/>
          <w:color w:val="385623" w:themeColor="accent6" w:themeShade="80"/>
        </w:rPr>
        <w:t xml:space="preserve"> </w:t>
      </w:r>
      <w:r w:rsidR="00E82DC3" w:rsidRPr="00E82DC3">
        <w:t>+</w:t>
      </w:r>
      <w:r w:rsidR="00E82DC3">
        <w:rPr>
          <w:b/>
          <w:color w:val="385623" w:themeColor="accent6" w:themeShade="80"/>
        </w:rPr>
        <w:t xml:space="preserve"> </w:t>
      </w:r>
      <w:r w:rsidR="00E82DC3" w:rsidRPr="001E5FDE">
        <w:rPr>
          <w:b/>
          <w:color w:val="70AD47" w:themeColor="accent6"/>
        </w:rPr>
        <w:t>Derbholzrinde</w:t>
      </w:r>
      <w:r w:rsidR="00E82DC3">
        <w:rPr>
          <w:b/>
          <w:color w:val="70AD47" w:themeColor="accent6"/>
        </w:rPr>
        <w:t xml:space="preserve"> </w:t>
      </w:r>
      <w:r w:rsidR="00E82DC3" w:rsidRPr="00E82DC3">
        <w:t>+</w:t>
      </w:r>
      <w:r w:rsidR="00E82DC3">
        <w:rPr>
          <w:b/>
          <w:color w:val="70AD47" w:themeColor="accent6"/>
        </w:rPr>
        <w:t xml:space="preserve"> </w:t>
      </w:r>
      <w:proofErr w:type="spellStart"/>
      <w:proofErr w:type="gramStart"/>
      <w:r w:rsidR="00081EF0" w:rsidRPr="001E5FDE">
        <w:rPr>
          <w:b/>
          <w:color w:val="2F5496" w:themeColor="accent1" w:themeShade="BF"/>
        </w:rPr>
        <w:t>Stockmass</w:t>
      </w:r>
      <w:r w:rsidR="00081EF0">
        <w:rPr>
          <w:b/>
          <w:color w:val="2F5496" w:themeColor="accent1" w:themeShade="BF"/>
        </w:rPr>
        <w:t>e.o.R</w:t>
      </w:r>
      <w:proofErr w:type="spellEnd"/>
      <w:proofErr w:type="gramEnd"/>
      <w:r w:rsidR="00081EF0" w:rsidRPr="00E82DC3">
        <w:t xml:space="preserve"> </w:t>
      </w:r>
      <w:r w:rsidR="00E82DC3" w:rsidRPr="00E82DC3">
        <w:t>+</w:t>
      </w:r>
      <w:r w:rsidR="00E82DC3">
        <w:rPr>
          <w:b/>
          <w:color w:val="2F5496" w:themeColor="accent1" w:themeShade="BF"/>
        </w:rPr>
        <w:t xml:space="preserve"> </w:t>
      </w:r>
      <w:r w:rsidR="00E82DC3" w:rsidRPr="001E5FDE">
        <w:rPr>
          <w:b/>
          <w:color w:val="9CC2E5" w:themeColor="accent5" w:themeTint="99"/>
        </w:rPr>
        <w:t>Stockrinde</w:t>
      </w:r>
    </w:p>
    <w:p w14:paraId="4E6692E4" w14:textId="5A194A06" w:rsidR="00100D0E" w:rsidRDefault="00556B35" w:rsidP="00556B35">
      <w:pPr>
        <w:pStyle w:val="Zwischenberschriftkursiv"/>
      </w:pPr>
      <w:r>
        <w:lastRenderedPageBreak/>
        <w:t>Stehendes Bruchstück</w:t>
      </w:r>
      <w:r w:rsidR="00420359">
        <w:t xml:space="preserve"> (3)</w:t>
      </w:r>
      <w:r>
        <w:t xml:space="preserve"> in </w:t>
      </w:r>
      <w:r w:rsidR="00BC1083">
        <w:t xml:space="preserve">Zersetzungsgraden </w:t>
      </w:r>
      <w:r>
        <w:t>1 &amp; 2</w:t>
      </w:r>
    </w:p>
    <w:p w14:paraId="1AA7774C" w14:textId="77777777" w:rsidR="00B66F09" w:rsidRDefault="00B66F09" w:rsidP="00B66F09">
      <w:pPr>
        <w:spacing w:before="0"/>
      </w:pPr>
      <w:r>
        <w:t>D</w:t>
      </w:r>
      <w:r w:rsidR="00F6370A">
        <w:t xml:space="preserve">ie </w:t>
      </w:r>
      <w:r>
        <w:t xml:space="preserve">Schätzung </w:t>
      </w:r>
      <w:r w:rsidR="00F6370A">
        <w:t xml:space="preserve">der </w:t>
      </w:r>
      <w:r w:rsidR="00276A57">
        <w:t>Biomasse</w:t>
      </w:r>
      <w:r>
        <w:t xml:space="preserve"> in den Kompartimenten Derbholz und Derbholzrinde erfolgte mittels TapeS. Die Eingangsgrößen zum erzeugen des TapeS Objektes waren:</w:t>
      </w:r>
    </w:p>
    <w:p w14:paraId="4CE350C7" w14:textId="30054CE3" w:rsidR="004C0E73" w:rsidRDefault="004C0E73" w:rsidP="004C0E73">
      <w:pPr>
        <w:spacing w:before="0"/>
      </w:pPr>
      <w:r>
        <w:t xml:space="preserve">Der </w:t>
      </w:r>
      <w:r w:rsidR="00D03870">
        <w:t xml:space="preserve">als BHD wurde der </w:t>
      </w:r>
      <w:r>
        <w:t xml:space="preserve">Durchmesser des Grundflächenmittelstammes über die Grundfläche pro Plot, Baumart und </w:t>
      </w:r>
      <w:proofErr w:type="spellStart"/>
      <w:r>
        <w:t>Zerstzungrad</w:t>
      </w:r>
      <w:proofErr w:type="spellEnd"/>
      <w:r>
        <w:t xml:space="preserve"> berechnet </w:t>
      </w:r>
      <w:r w:rsidRPr="00276A57">
        <w:t>((</w:t>
      </w:r>
      <w:proofErr w:type="spellStart"/>
      <w:r w:rsidRPr="00276A57">
        <w:t>sqrt</w:t>
      </w:r>
      <w:proofErr w:type="spellEnd"/>
      <w:r w:rsidRPr="00276A57">
        <w:t>((</w:t>
      </w:r>
      <w:proofErr w:type="spellStart"/>
      <w:proofErr w:type="gramStart"/>
      <w:r w:rsidRPr="00276A57">
        <w:t>mean</w:t>
      </w:r>
      <w:proofErr w:type="spellEnd"/>
      <w:r w:rsidRPr="00276A57">
        <w:t>(</w:t>
      </w:r>
      <w:proofErr w:type="gramEnd"/>
      <w:r w:rsidRPr="00276A57">
        <w:t>BA_m2)/</w:t>
      </w:r>
      <w:proofErr w:type="spellStart"/>
      <w:r w:rsidRPr="00276A57">
        <w:t>pi</w:t>
      </w:r>
      <w:proofErr w:type="spellEnd"/>
      <w:r w:rsidRPr="00276A57">
        <w:t>)))*2)</w:t>
      </w:r>
      <w:r>
        <w:t xml:space="preserve">. </w:t>
      </w:r>
    </w:p>
    <w:p w14:paraId="3DB9A7D7" w14:textId="6ED03CD3" w:rsidR="00B66F09" w:rsidRDefault="00B66F09" w:rsidP="004C0E73">
      <w:pPr>
        <w:spacing w:before="0"/>
        <w:rPr>
          <w:highlight w:val="yellow"/>
        </w:rPr>
      </w:pPr>
      <w:r>
        <w:rPr>
          <w:highlight w:val="yellow"/>
        </w:rPr>
        <w:t xml:space="preserve">Die Trennung nach Zersetzungsgrad und Baumartengruppe </w:t>
      </w:r>
      <w:r w:rsidR="005107ED">
        <w:rPr>
          <w:highlight w:val="yellow"/>
        </w:rPr>
        <w:t>ist erforderlich</w:t>
      </w:r>
      <w:r>
        <w:rPr>
          <w:highlight w:val="yellow"/>
        </w:rPr>
        <w:t>,</w:t>
      </w:r>
      <w:r w:rsidRPr="00C07C08">
        <w:rPr>
          <w:highlight w:val="yellow"/>
        </w:rPr>
        <w:t xml:space="preserve"> </w:t>
      </w:r>
      <w:r w:rsidR="005107ED">
        <w:rPr>
          <w:highlight w:val="yellow"/>
        </w:rPr>
        <w:t>weil</w:t>
      </w:r>
      <w:r>
        <w:rPr>
          <w:highlight w:val="yellow"/>
        </w:rPr>
        <w:t xml:space="preserve"> </w:t>
      </w:r>
      <w:r w:rsidR="005107ED">
        <w:rPr>
          <w:highlight w:val="yellow"/>
        </w:rPr>
        <w:t xml:space="preserve">TapeS die </w:t>
      </w:r>
      <w:r w:rsidRPr="00C07C08">
        <w:rPr>
          <w:highlight w:val="yellow"/>
        </w:rPr>
        <w:t xml:space="preserve">Biomasse </w:t>
      </w:r>
      <w:r w:rsidR="005107ED">
        <w:rPr>
          <w:highlight w:val="yellow"/>
        </w:rPr>
        <w:t xml:space="preserve">von lebenden ganzen Bäumen ausgibt, welche </w:t>
      </w:r>
      <w:r w:rsidRPr="00C07C08">
        <w:rPr>
          <w:highlight w:val="yellow"/>
        </w:rPr>
        <w:t xml:space="preserve">um die relative Dichte in Abhängigkeit des </w:t>
      </w:r>
      <w:r w:rsidRPr="00C07C08">
        <w:t xml:space="preserve">Zersetzungsgrades </w:t>
      </w:r>
      <w:r>
        <w:t xml:space="preserve">und der Artengruppe </w:t>
      </w:r>
      <w:r w:rsidRPr="00C07C08">
        <w:rPr>
          <w:highlight w:val="yellow"/>
        </w:rPr>
        <w:t xml:space="preserve">reduziert werden muss. </w:t>
      </w:r>
    </w:p>
    <w:p w14:paraId="52D9600A" w14:textId="46A81D43" w:rsidR="004C0E73" w:rsidRDefault="004C0E73" w:rsidP="004C0E73">
      <w:pPr>
        <w:spacing w:before="0"/>
      </w:pPr>
      <w:r>
        <w:t xml:space="preserve">Die Länge bzw. Höhe der Bruchstücke </w:t>
      </w:r>
      <w:r w:rsidR="005107ED">
        <w:t>kann nicht</w:t>
      </w:r>
      <w:r>
        <w:t xml:space="preserve"> </w:t>
      </w:r>
      <w:r w:rsidR="005107ED">
        <w:t>direkt</w:t>
      </w:r>
      <w:r>
        <w:t xml:space="preserve"> als Höhe in das TapeS Objekt miteingehen, da TapeS das Verhältnis zwischen Abgebrochener Stammlänge und BHD als unplausibel erkennt und von der Berechnung ausschließt. Daher </w:t>
      </w:r>
      <w:r w:rsidR="005107ED">
        <w:t>musste</w:t>
      </w:r>
      <w:r>
        <w:t xml:space="preserve"> zunächst mittels der TapeS Funktion „estHeight“ </w:t>
      </w:r>
      <w:r w:rsidR="005107ED">
        <w:t>über</w:t>
      </w:r>
      <w:r>
        <w:t xml:space="preserve"> de</w:t>
      </w:r>
      <w:r w:rsidR="005107ED">
        <w:t>n</w:t>
      </w:r>
      <w:r>
        <w:t xml:space="preserve"> Dg und </w:t>
      </w:r>
      <w:r w:rsidR="005107ED">
        <w:t>die</w:t>
      </w:r>
      <w:r>
        <w:t xml:space="preserve"> Artengruppe die Höhe eines Stammes mit einem BDH der dem Dg entspricht (also repräsentativ für die Zersetzungs- und Artengruppe ist) ermittelt. Die Höhenberechnung mit TapeS basiert auf der </w:t>
      </w:r>
      <w:proofErr w:type="spellStart"/>
      <w:r>
        <w:t>Pettersen-Function</w:t>
      </w:r>
      <w:proofErr w:type="spellEnd"/>
      <w:r>
        <w:t xml:space="preserve"> (h = 1.3 + (a + \</w:t>
      </w:r>
      <w:proofErr w:type="spellStart"/>
      <w:r>
        <w:t>frac</w:t>
      </w:r>
      <w:proofErr w:type="spellEnd"/>
      <w:r>
        <w:t>{b}{</w:t>
      </w:r>
      <w:proofErr w:type="spellStart"/>
      <w:r>
        <w:t>dbh</w:t>
      </w:r>
      <w:proofErr w:type="spellEnd"/>
      <w:proofErr w:type="gramStart"/>
      <w:r>
        <w:t>})^</w:t>
      </w:r>
      <w:proofErr w:type="gramEnd"/>
      <w:r>
        <w:t xml:space="preserve">{-3}h=1.3+(a+ </w:t>
      </w:r>
      <w:proofErr w:type="spellStart"/>
      <w:r>
        <w:t>dbhb</w:t>
      </w:r>
      <w:proofErr w:type="spellEnd"/>
      <w:r>
        <w:t xml:space="preserve">) −3 ) die für die BWI3 für alle Hauptbaumarten gefittet wurde (R </w:t>
      </w:r>
      <w:proofErr w:type="spellStart"/>
      <w:r>
        <w:t>Documentation</w:t>
      </w:r>
      <w:proofErr w:type="spellEnd"/>
      <w:r>
        <w:t xml:space="preserve"> </w:t>
      </w:r>
      <w:proofErr w:type="spellStart"/>
      <w:r>
        <w:t>estHeight</w:t>
      </w:r>
      <w:proofErr w:type="spellEnd"/>
      <w:r>
        <w:t xml:space="preserve">). </w:t>
      </w:r>
    </w:p>
    <w:p w14:paraId="2EEC3E4D" w14:textId="472C4991" w:rsidR="004C0E73" w:rsidRDefault="005107ED" w:rsidP="004C0E73">
      <w:pPr>
        <w:spacing w:before="0"/>
      </w:pPr>
      <w:r>
        <w:t xml:space="preserve">Folgend wurde die Biomasse in den </w:t>
      </w:r>
      <w:r w:rsidR="00D03870">
        <w:t>Kompartimenten</w:t>
      </w:r>
      <w:r>
        <w:t xml:space="preserve"> Derbholz und Derbholzrinde ermittelt, um den Biomassereduktionsfaktor reduziert und ins </w:t>
      </w:r>
      <w:r w:rsidR="00D03870">
        <w:t>Verhältnis</w:t>
      </w:r>
      <w:r>
        <w:t xml:space="preserve"> zueinander gesetzt. </w:t>
      </w:r>
    </w:p>
    <w:p w14:paraId="1CABA131" w14:textId="1FD3398F" w:rsidR="008A678E" w:rsidRDefault="008A678E" w:rsidP="008A678E">
      <w:pPr>
        <w:spacing w:before="0"/>
        <w:ind w:left="708"/>
      </w:pPr>
      <w:r>
        <w:t>Rindenanteil = Derbholzrinde TapeS * Biomassereduktionsfaktor / Derbholzmasse TapeS * Biomassereduktionsfaktor)</w:t>
      </w:r>
    </w:p>
    <w:p w14:paraId="5DDD6A49" w14:textId="17F69F8E" w:rsidR="009013E2" w:rsidRDefault="00BC1083" w:rsidP="00F6370A">
      <w:pPr>
        <w:spacing w:before="0"/>
      </w:pPr>
      <w:r>
        <w:t xml:space="preserve">Das daraus resultierende Rindenprozent wird dann </w:t>
      </w:r>
      <w:r w:rsidR="009013E2">
        <w:t xml:space="preserve">wie folgt </w:t>
      </w:r>
      <w:r w:rsidR="00422F4C">
        <w:t>angewandt</w:t>
      </w:r>
      <w:r w:rsidR="009013E2">
        <w:t xml:space="preserve"> um die Biomasse in den Bruchstück</w:t>
      </w:r>
      <w:r w:rsidR="00422F4C">
        <w:t>-Kompartimenten</w:t>
      </w:r>
      <w:r w:rsidR="009013E2">
        <w:t xml:space="preserve"> Derbholz und Derbholzrinde zu berechnen: </w:t>
      </w:r>
    </w:p>
    <w:p w14:paraId="43B57C22" w14:textId="692CAE37" w:rsidR="009013E2" w:rsidRDefault="00BC1083" w:rsidP="009013E2">
      <w:pPr>
        <w:ind w:left="2118" w:hanging="1410"/>
      </w:pPr>
      <w:r>
        <w:t xml:space="preserve"> </w:t>
      </w:r>
      <w:proofErr w:type="spellStart"/>
      <w:r w:rsidR="009013E2" w:rsidRPr="001E5FDE">
        <w:rPr>
          <w:b/>
          <w:color w:val="385623" w:themeColor="accent6" w:themeShade="80"/>
        </w:rPr>
        <w:t>Derbholz.o.R</w:t>
      </w:r>
      <w:proofErr w:type="spellEnd"/>
      <w:r w:rsidR="009013E2" w:rsidRPr="001E5FDE">
        <w:rPr>
          <w:b/>
          <w:color w:val="385623" w:themeColor="accent6" w:themeShade="80"/>
        </w:rPr>
        <w:t>.</w:t>
      </w:r>
      <w:r w:rsidR="009013E2" w:rsidRPr="001E5FDE">
        <w:rPr>
          <w:color w:val="385623" w:themeColor="accent6" w:themeShade="80"/>
        </w:rPr>
        <w:t xml:space="preserve"> </w:t>
      </w:r>
      <w:r w:rsidR="009013E2">
        <w:rPr>
          <w:color w:val="385623" w:themeColor="accent6" w:themeShade="80"/>
        </w:rPr>
        <w:tab/>
      </w:r>
      <w:r w:rsidR="009013E2">
        <w:t xml:space="preserve">= Biomasse BWI&amp;THGI – Derbholzrinde </w:t>
      </w:r>
    </w:p>
    <w:p w14:paraId="05352878" w14:textId="13BAF52B" w:rsidR="009013E2" w:rsidRDefault="009013E2" w:rsidP="009013E2">
      <w:pPr>
        <w:ind w:left="2118"/>
      </w:pPr>
      <w:r>
        <w:t xml:space="preserve"> = Biomasse BWI&amp;THGI – </w:t>
      </w:r>
      <w:r w:rsidR="008A678E">
        <w:t xml:space="preserve">(Rindenanteil </w:t>
      </w:r>
      <w:r>
        <w:t>* Biomasse BWI&amp;THGI</w:t>
      </w:r>
      <w:r w:rsidR="008A678E">
        <w:t>)</w:t>
      </w:r>
    </w:p>
    <w:p w14:paraId="5C426642" w14:textId="7270E608" w:rsidR="00B66F09" w:rsidRPr="00D03870" w:rsidRDefault="009013E2" w:rsidP="00D03870">
      <w:pPr>
        <w:ind w:left="2112" w:hanging="1410"/>
        <w:rPr>
          <w:color w:val="385623" w:themeColor="accent6" w:themeShade="80"/>
        </w:rPr>
      </w:pPr>
      <w:r w:rsidRPr="001E5FDE">
        <w:rPr>
          <w:b/>
          <w:color w:val="70AD47" w:themeColor="accent6"/>
        </w:rPr>
        <w:t>Derbholzrinde</w:t>
      </w:r>
      <w:r w:rsidRPr="001E5FDE">
        <w:rPr>
          <w:color w:val="538135" w:themeColor="accent6" w:themeShade="BF"/>
        </w:rPr>
        <w:t xml:space="preserve"> </w:t>
      </w:r>
      <w:r>
        <w:rPr>
          <w:color w:val="538135" w:themeColor="accent6" w:themeShade="BF"/>
        </w:rPr>
        <w:tab/>
      </w:r>
      <w:r>
        <w:t xml:space="preserve">= Biomasse BWI&amp; – </w:t>
      </w:r>
      <w:proofErr w:type="spellStart"/>
      <w:r w:rsidRPr="001E5FDE">
        <w:rPr>
          <w:b/>
          <w:color w:val="385623" w:themeColor="accent6" w:themeShade="80"/>
        </w:rPr>
        <w:t>Derbholz.o.R</w:t>
      </w:r>
      <w:proofErr w:type="spellEnd"/>
      <w:r w:rsidRPr="001E5FDE">
        <w:rPr>
          <w:b/>
          <w:color w:val="385623" w:themeColor="accent6" w:themeShade="80"/>
        </w:rPr>
        <w:t>.</w:t>
      </w:r>
      <w:r w:rsidRPr="001E5FDE">
        <w:rPr>
          <w:color w:val="385623" w:themeColor="accent6" w:themeShade="80"/>
        </w:rPr>
        <w:t xml:space="preserve"> </w:t>
      </w:r>
    </w:p>
    <w:p w14:paraId="2B735714" w14:textId="3FF2AF78" w:rsidR="00422F4C" w:rsidRDefault="0090344B" w:rsidP="0090344B">
      <w:pPr>
        <w:pStyle w:val="Zwischenberschriftkursiv"/>
      </w:pPr>
      <w:r>
        <w:t>Wurzelstöcke (6) in Zersetzungsgraden 1 &amp; 2</w:t>
      </w:r>
    </w:p>
    <w:p w14:paraId="7DD586B4" w14:textId="4FAA302D" w:rsidR="0090344B" w:rsidRDefault="0090344B" w:rsidP="0090344B">
      <w:r>
        <w:t xml:space="preserve">Für Wurzelstöcke wird </w:t>
      </w:r>
      <w:r w:rsidR="00D03870">
        <w:t>der Rindenanteil pro</w:t>
      </w:r>
      <w:r>
        <w:t xml:space="preserve"> Baumartengruppe und Zers</w:t>
      </w:r>
      <w:r w:rsidR="00F7456A">
        <w:t>e</w:t>
      </w:r>
      <w:r>
        <w:t xml:space="preserve">tzungsgrad </w:t>
      </w:r>
      <w:r w:rsidR="00D03870">
        <w:t xml:space="preserve">über die TapeS Biomasse in den Kompartimenten Stock und Stockrinde berechnet. </w:t>
      </w:r>
    </w:p>
    <w:p w14:paraId="2F5A5083" w14:textId="77777777" w:rsidR="00F0329A" w:rsidRPr="00F0329A" w:rsidRDefault="00F84322" w:rsidP="00F0329A">
      <w:pPr>
        <w:spacing w:before="0"/>
      </w:pPr>
      <w:r w:rsidRPr="00F0329A">
        <w:rPr>
          <w:rFonts w:asciiTheme="minorHAnsi" w:hAnsiTheme="minorHAnsi" w:cstheme="minorHAnsi"/>
        </w:rPr>
        <w:t xml:space="preserve">Für Totholz des Typen 4 (Wurzelstöcke) wird kein </w:t>
      </w:r>
      <w:proofErr w:type="gramStart"/>
      <w:r w:rsidRPr="00F0329A">
        <w:rPr>
          <w:rFonts w:asciiTheme="minorHAnsi" w:hAnsiTheme="minorHAnsi" w:cstheme="minorHAnsi"/>
        </w:rPr>
        <w:t>BHD</w:t>
      </w:r>
      <w:proofErr w:type="gramEnd"/>
      <w:r w:rsidRPr="00F0329A">
        <w:rPr>
          <w:rFonts w:asciiTheme="minorHAnsi" w:hAnsiTheme="minorHAnsi" w:cstheme="minorHAnsi"/>
        </w:rPr>
        <w:t xml:space="preserve"> sondern nur der durchschnittliche Schnittflächendurchmesser erfasst. </w:t>
      </w:r>
      <w:r w:rsidR="0090344B" w:rsidRPr="00F0329A">
        <w:t xml:space="preserve">Da TapeS ein vollständiges TapeS Objekt aus BHD, BHD </w:t>
      </w:r>
      <w:proofErr w:type="spellStart"/>
      <w:r w:rsidR="0090344B" w:rsidRPr="00F0329A">
        <w:t>Messhöhe</w:t>
      </w:r>
      <w:proofErr w:type="spellEnd"/>
      <w:r w:rsidR="0090344B" w:rsidRPr="00F0329A">
        <w:t>, Baumhöhe und Baumartengruppe benötigt um die Biomasse in den Kompartimenten zu schätzen, muss</w:t>
      </w:r>
      <w:r w:rsidRPr="00F0329A">
        <w:t xml:space="preserve"> </w:t>
      </w:r>
      <w:r w:rsidR="0090344B" w:rsidRPr="00F0329A">
        <w:t xml:space="preserve">zunächst von dem Durchmesser der Schnittfläche auf den Durchmesser in 1.3m Höhe geschlossen werden. </w:t>
      </w:r>
    </w:p>
    <w:p w14:paraId="52F10EF6" w14:textId="77777777" w:rsidR="00F0329A" w:rsidRPr="00F0329A" w:rsidRDefault="00F84322" w:rsidP="00F0329A">
      <w:pPr>
        <w:spacing w:before="0"/>
      </w:pPr>
      <w:r w:rsidRPr="00F0329A">
        <w:rPr>
          <w:rFonts w:asciiTheme="minorHAnsi" w:hAnsiTheme="minorHAnsi" w:cstheme="minorHAnsi"/>
        </w:rPr>
        <w:t>D</w:t>
      </w:r>
      <w:r w:rsidR="00C07C08" w:rsidRPr="00F0329A">
        <w:rPr>
          <w:rFonts w:asciiTheme="minorHAnsi" w:hAnsiTheme="minorHAnsi" w:cstheme="minorHAnsi"/>
        </w:rPr>
        <w:t xml:space="preserve">ies ist mit TapeS nicht möglich, da die Höhe/ Länge hier als Inputgröße </w:t>
      </w:r>
      <w:r w:rsidR="00F0329A" w:rsidRPr="00F0329A">
        <w:rPr>
          <w:rFonts w:asciiTheme="minorHAnsi" w:hAnsiTheme="minorHAnsi" w:cstheme="minorHAnsi"/>
        </w:rPr>
        <w:t>für die Durchmesserschätzung erfordert ist</w:t>
      </w:r>
      <w:r w:rsidR="00C07C08" w:rsidRPr="00F0329A">
        <w:rPr>
          <w:rFonts w:asciiTheme="minorHAnsi" w:hAnsiTheme="minorHAnsi" w:cstheme="minorHAnsi"/>
        </w:rPr>
        <w:t xml:space="preserve"> und der Durchmesser in 1.3m somit immer </w:t>
      </w:r>
      <w:r w:rsidR="00F0329A" w:rsidRPr="00F0329A">
        <w:rPr>
          <w:rFonts w:asciiTheme="minorHAnsi" w:hAnsiTheme="minorHAnsi" w:cstheme="minorHAnsi"/>
        </w:rPr>
        <w:t xml:space="preserve">mit </w:t>
      </w:r>
      <w:r w:rsidR="00C07C08" w:rsidRPr="00F0329A">
        <w:rPr>
          <w:rFonts w:asciiTheme="minorHAnsi" w:hAnsiTheme="minorHAnsi" w:cstheme="minorHAnsi"/>
        </w:rPr>
        <w:t xml:space="preserve">0 </w:t>
      </w:r>
      <w:r w:rsidR="00F0329A" w:rsidRPr="00F0329A">
        <w:rPr>
          <w:rFonts w:asciiTheme="minorHAnsi" w:hAnsiTheme="minorHAnsi" w:cstheme="minorHAnsi"/>
        </w:rPr>
        <w:t xml:space="preserve">berechnet wird, wenn man die Stocklänge als Höhe verwendet </w:t>
      </w:r>
      <w:r w:rsidR="00C07C08" w:rsidRPr="00F0329A">
        <w:rPr>
          <w:rFonts w:asciiTheme="minorHAnsi" w:hAnsiTheme="minorHAnsi" w:cstheme="minorHAnsi"/>
        </w:rPr>
        <w:t xml:space="preserve">(da die Länge/ </w:t>
      </w:r>
      <w:r w:rsidR="00F0329A" w:rsidRPr="00F0329A">
        <w:rPr>
          <w:rFonts w:asciiTheme="minorHAnsi" w:hAnsiTheme="minorHAnsi" w:cstheme="minorHAnsi"/>
        </w:rPr>
        <w:t>G</w:t>
      </w:r>
      <w:r w:rsidR="00C07C08" w:rsidRPr="00F0329A">
        <w:rPr>
          <w:rFonts w:asciiTheme="minorHAnsi" w:hAnsiTheme="minorHAnsi" w:cstheme="minorHAnsi"/>
        </w:rPr>
        <w:t>esamthöhe des Stammes geringer als 1.3m ist)</w:t>
      </w:r>
      <w:r w:rsidR="00F0329A" w:rsidRPr="00F0329A">
        <w:rPr>
          <w:rFonts w:asciiTheme="minorHAnsi" w:hAnsiTheme="minorHAnsi" w:cstheme="minorHAnsi"/>
        </w:rPr>
        <w:t>.</w:t>
      </w:r>
      <w:r w:rsidR="00F0329A" w:rsidRPr="00F0329A">
        <w:t xml:space="preserve"> </w:t>
      </w:r>
    </w:p>
    <w:p w14:paraId="6DCE6EE9" w14:textId="77777777" w:rsidR="00F0329A" w:rsidRDefault="00F0329A" w:rsidP="00F0329A">
      <w:pPr>
        <w:spacing w:before="0"/>
      </w:pPr>
      <w:r w:rsidRPr="00F0329A">
        <w:t>D</w:t>
      </w:r>
      <w:r w:rsidR="00C07C08" w:rsidRPr="00F0329A">
        <w:rPr>
          <w:rFonts w:asciiTheme="minorHAnsi" w:hAnsiTheme="minorHAnsi" w:cstheme="minorHAnsi"/>
        </w:rPr>
        <w:t xml:space="preserve">aher wird der Durchmesser hier mittels des Regressionsverfahren für BHD bei Probebäumen mit geänderter </w:t>
      </w:r>
      <w:proofErr w:type="spellStart"/>
      <w:r w:rsidR="00C07C08" w:rsidRPr="00F0329A">
        <w:rPr>
          <w:rFonts w:asciiTheme="minorHAnsi" w:hAnsiTheme="minorHAnsi" w:cstheme="minorHAnsi"/>
        </w:rPr>
        <w:t>Messhöhe</w:t>
      </w:r>
      <w:proofErr w:type="spellEnd"/>
      <w:r w:rsidR="00C07C08" w:rsidRPr="00F0329A">
        <w:rPr>
          <w:rFonts w:asciiTheme="minorHAnsi" w:hAnsiTheme="minorHAnsi" w:cstheme="minorHAnsi"/>
        </w:rPr>
        <w:t xml:space="preserve"> (BWI </w:t>
      </w:r>
      <w:proofErr w:type="spellStart"/>
      <w:r w:rsidR="00C07C08" w:rsidRPr="00F0329A">
        <w:rPr>
          <w:rFonts w:asciiTheme="minorHAnsi" w:hAnsiTheme="minorHAnsi" w:cstheme="minorHAnsi"/>
        </w:rPr>
        <w:t>Methodikband</w:t>
      </w:r>
      <w:proofErr w:type="spellEnd"/>
      <w:r w:rsidR="00C07C08" w:rsidRPr="00F0329A">
        <w:rPr>
          <w:rFonts w:asciiTheme="minorHAnsi" w:hAnsiTheme="minorHAnsi" w:cstheme="minorHAnsi"/>
        </w:rPr>
        <w:t xml:space="preserve"> 5.2.1.) nach </w:t>
      </w:r>
      <w:proofErr w:type="spellStart"/>
      <w:r w:rsidR="00C07C08" w:rsidRPr="00F0329A">
        <w:rPr>
          <w:rFonts w:asciiTheme="minorHAnsi" w:hAnsiTheme="minorHAnsi" w:cstheme="minorHAnsi"/>
        </w:rPr>
        <w:t>Kublin</w:t>
      </w:r>
      <w:proofErr w:type="spellEnd"/>
      <w:r w:rsidR="00C07C08" w:rsidRPr="00F0329A">
        <w:rPr>
          <w:rFonts w:asciiTheme="minorHAnsi" w:hAnsiTheme="minorHAnsi" w:cstheme="minorHAnsi"/>
        </w:rPr>
        <w:t xml:space="preserve"> berechnet: </w:t>
      </w:r>
      <w:proofErr w:type="spellStart"/>
      <w:r w:rsidR="00C07C08" w:rsidRPr="00F0329A">
        <w:rPr>
          <w:rFonts w:asciiTheme="minorHAnsi" w:hAnsiTheme="minorHAnsi" w:cstheme="minorHAnsi"/>
        </w:rPr>
        <w:t>dz</w:t>
      </w:r>
      <w:proofErr w:type="spellEnd"/>
      <w:r w:rsidR="00C07C08" w:rsidRPr="00F0329A">
        <w:rPr>
          <w:rFonts w:asciiTheme="minorHAnsi" w:hAnsiTheme="minorHAnsi" w:cstheme="minorHAnsi"/>
        </w:rPr>
        <w:t xml:space="preserve"> = d </w:t>
      </w:r>
      <w:r w:rsidR="00C07C08" w:rsidRPr="00F0329A">
        <w:rPr>
          <w:rFonts w:ascii="Cambria Math" w:hAnsi="Cambria Math" w:cs="Cambria Math"/>
        </w:rPr>
        <w:t>∗</w:t>
      </w:r>
      <w:r w:rsidR="00C07C08" w:rsidRPr="00F0329A">
        <w:rPr>
          <w:rFonts w:asciiTheme="minorHAnsi" w:hAnsiTheme="minorHAnsi" w:cstheme="minorHAnsi"/>
        </w:rPr>
        <w:t xml:space="preserve"> (1.0 + (0.0011 </w:t>
      </w:r>
      <w:r w:rsidR="00C07C08" w:rsidRPr="00F0329A">
        <w:rPr>
          <w:rFonts w:ascii="Cambria Math" w:hAnsi="Cambria Math" w:cs="Cambria Math"/>
        </w:rPr>
        <w:t>∗</w:t>
      </w:r>
      <w:r w:rsidR="00C07C08" w:rsidRPr="00F0329A">
        <w:rPr>
          <w:rFonts w:asciiTheme="minorHAnsi" w:hAnsiTheme="minorHAnsi" w:cstheme="minorHAnsi"/>
        </w:rPr>
        <w:t xml:space="preserve"> (</w:t>
      </w:r>
      <w:proofErr w:type="spellStart"/>
      <w:r w:rsidR="00C07C08" w:rsidRPr="00F0329A">
        <w:rPr>
          <w:rFonts w:asciiTheme="minorHAnsi" w:hAnsiTheme="minorHAnsi" w:cstheme="minorHAnsi"/>
        </w:rPr>
        <w:t>hd</w:t>
      </w:r>
      <w:proofErr w:type="spellEnd"/>
      <w:r w:rsidR="00C07C08" w:rsidRPr="00F0329A">
        <w:rPr>
          <w:rFonts w:asciiTheme="minorHAnsi" w:hAnsiTheme="minorHAnsi" w:cstheme="minorHAnsi"/>
        </w:rPr>
        <w:t xml:space="preserve"> − 130)))</w:t>
      </w:r>
      <w:r>
        <w:t xml:space="preserve">. </w:t>
      </w:r>
      <w:r w:rsidR="00C07C08" w:rsidRPr="00F0329A">
        <w:rPr>
          <w:rFonts w:asciiTheme="minorHAnsi" w:hAnsiTheme="minorHAnsi" w:cstheme="minorHAnsi"/>
        </w:rPr>
        <w:t>Über d</w:t>
      </w:r>
      <w:r>
        <w:rPr>
          <w:rFonts w:asciiTheme="minorHAnsi" w:hAnsiTheme="minorHAnsi" w:cstheme="minorHAnsi"/>
        </w:rPr>
        <w:t xml:space="preserve">en </w:t>
      </w:r>
      <w:r w:rsidR="00C07C08" w:rsidRPr="00F0329A">
        <w:rPr>
          <w:rFonts w:asciiTheme="minorHAnsi" w:hAnsiTheme="minorHAnsi" w:cstheme="minorHAnsi"/>
        </w:rPr>
        <w:t>Durchmesser</w:t>
      </w:r>
      <w:r>
        <w:rPr>
          <w:rFonts w:asciiTheme="minorHAnsi" w:hAnsiTheme="minorHAnsi" w:cstheme="minorHAnsi"/>
        </w:rPr>
        <w:t xml:space="preserve"> nach </w:t>
      </w:r>
      <w:proofErr w:type="spellStart"/>
      <w:r>
        <w:rPr>
          <w:rFonts w:asciiTheme="minorHAnsi" w:hAnsiTheme="minorHAnsi" w:cstheme="minorHAnsi"/>
        </w:rPr>
        <w:t>Kublin</w:t>
      </w:r>
      <w:proofErr w:type="spellEnd"/>
      <w:r w:rsidR="00C07C08" w:rsidRPr="00F0329A">
        <w:rPr>
          <w:rFonts w:asciiTheme="minorHAnsi" w:hAnsiTheme="minorHAnsi" w:cstheme="minorHAnsi"/>
        </w:rPr>
        <w:t xml:space="preserve"> wird dann mittels TapeS estHeight die Höhe zu dem jeweiligen BHD berechnet</w:t>
      </w:r>
    </w:p>
    <w:p w14:paraId="7F430F57" w14:textId="52FDF258" w:rsidR="00CC3E85" w:rsidRDefault="00F0329A" w:rsidP="00F0329A">
      <w:pPr>
        <w:spacing w:before="0"/>
        <w:rPr>
          <w:rFonts w:asciiTheme="minorHAnsi" w:hAnsiTheme="minorHAnsi" w:cstheme="minorHAnsi"/>
        </w:rPr>
      </w:pPr>
      <w:r>
        <w:rPr>
          <w:rFonts w:asciiTheme="minorHAnsi" w:hAnsiTheme="minorHAnsi" w:cstheme="minorHAnsi"/>
        </w:rPr>
        <w:t>D</w:t>
      </w:r>
      <w:r w:rsidR="00C07C08" w:rsidRPr="00F0329A">
        <w:rPr>
          <w:rFonts w:asciiTheme="minorHAnsi" w:hAnsiTheme="minorHAnsi" w:cstheme="minorHAnsi"/>
        </w:rPr>
        <w:t xml:space="preserve">ie so erlangte TapeS Höhe dient dann als Input Variable für die </w:t>
      </w:r>
      <w:proofErr w:type="spellStart"/>
      <w:r w:rsidR="00C07C08" w:rsidRPr="00F0329A">
        <w:rPr>
          <w:rFonts w:asciiTheme="minorHAnsi" w:hAnsiTheme="minorHAnsi" w:cstheme="minorHAnsi"/>
        </w:rPr>
        <w:t>tprDiameter</w:t>
      </w:r>
      <w:proofErr w:type="spellEnd"/>
      <w:r w:rsidR="00C07C08" w:rsidRPr="00F0329A">
        <w:rPr>
          <w:rFonts w:asciiTheme="minorHAnsi" w:hAnsiTheme="minorHAnsi" w:cstheme="minorHAnsi"/>
        </w:rPr>
        <w:t xml:space="preserve"> Funktion, die dann einen neuen, finalen BHD zu dem </w:t>
      </w:r>
      <w:r w:rsidR="00CC3E85">
        <w:rPr>
          <w:rFonts w:asciiTheme="minorHAnsi" w:hAnsiTheme="minorHAnsi" w:cstheme="minorHAnsi"/>
        </w:rPr>
        <w:t>Wurzelstock</w:t>
      </w:r>
      <w:r w:rsidR="00C07C08" w:rsidRPr="00F0329A">
        <w:rPr>
          <w:rFonts w:asciiTheme="minorHAnsi" w:hAnsiTheme="minorHAnsi" w:cstheme="minorHAnsi"/>
        </w:rPr>
        <w:t xml:space="preserve"> schätzt. </w:t>
      </w:r>
      <w:r w:rsidR="00CC3E85">
        <w:rPr>
          <w:rFonts w:asciiTheme="minorHAnsi" w:hAnsiTheme="minorHAnsi" w:cstheme="minorHAnsi"/>
        </w:rPr>
        <w:t xml:space="preserve">Aus dem geschätzten BHD wird der Durchmesser des Grundflächenmittenstammes pro Plot, Baumartengruppe und </w:t>
      </w:r>
      <w:proofErr w:type="spellStart"/>
      <w:r w:rsidR="00CC3E85">
        <w:rPr>
          <w:rFonts w:asciiTheme="minorHAnsi" w:hAnsiTheme="minorHAnsi" w:cstheme="minorHAnsi"/>
        </w:rPr>
        <w:t>Zersetzungstufe</w:t>
      </w:r>
      <w:proofErr w:type="spellEnd"/>
      <w:r w:rsidR="00CC3E85">
        <w:rPr>
          <w:rFonts w:asciiTheme="minorHAnsi" w:hAnsiTheme="minorHAnsi" w:cstheme="minorHAnsi"/>
        </w:rPr>
        <w:t xml:space="preserve"> berechnet. </w:t>
      </w:r>
    </w:p>
    <w:p w14:paraId="6576F4CE" w14:textId="43A382F1" w:rsidR="00C07C08" w:rsidRPr="00687919" w:rsidRDefault="00C07C08" w:rsidP="00CC3E85">
      <w:pPr>
        <w:spacing w:before="0"/>
        <w:jc w:val="left"/>
        <w:rPr>
          <w:rFonts w:asciiTheme="minorHAnsi" w:hAnsiTheme="minorHAnsi" w:cstheme="minorHAnsi"/>
        </w:rPr>
      </w:pPr>
      <w:r w:rsidRPr="00F0329A">
        <w:rPr>
          <w:rFonts w:asciiTheme="minorHAnsi" w:hAnsiTheme="minorHAnsi" w:cstheme="minorHAnsi"/>
        </w:rPr>
        <w:t xml:space="preserve">Nach Schätzung der Höhe und des BHDs wird ein </w:t>
      </w:r>
      <w:proofErr w:type="spellStart"/>
      <w:r w:rsidRPr="00F0329A">
        <w:rPr>
          <w:rFonts w:asciiTheme="minorHAnsi" w:hAnsiTheme="minorHAnsi" w:cstheme="minorHAnsi"/>
        </w:rPr>
        <w:t>tprTree</w:t>
      </w:r>
      <w:proofErr w:type="spellEnd"/>
      <w:r w:rsidRPr="00F0329A">
        <w:rPr>
          <w:rFonts w:asciiTheme="minorHAnsi" w:hAnsiTheme="minorHAnsi" w:cstheme="minorHAnsi"/>
        </w:rPr>
        <w:t xml:space="preserve"> Objekt erzeugt </w:t>
      </w:r>
      <w:r w:rsidR="00CC3E85">
        <w:rPr>
          <w:rFonts w:asciiTheme="minorHAnsi" w:hAnsiTheme="minorHAnsi" w:cstheme="minorHAnsi"/>
        </w:rPr>
        <w:t xml:space="preserve">welches zur Berechnung der Biomasse in den Kompartimenten </w:t>
      </w:r>
      <w:proofErr w:type="spellStart"/>
      <w:r w:rsidR="00CC3E85">
        <w:rPr>
          <w:rFonts w:asciiTheme="minorHAnsi" w:hAnsiTheme="minorHAnsi" w:cstheme="minorHAnsi"/>
        </w:rPr>
        <w:t>Stockmasse</w:t>
      </w:r>
      <w:proofErr w:type="spellEnd"/>
      <w:r w:rsidR="00CC3E85">
        <w:rPr>
          <w:rFonts w:asciiTheme="minorHAnsi" w:hAnsiTheme="minorHAnsi" w:cstheme="minorHAnsi"/>
        </w:rPr>
        <w:t xml:space="preserve"> und – Rinde via TapeS genutzt wird. </w:t>
      </w:r>
    </w:p>
    <w:p w14:paraId="1C9E623C" w14:textId="168807B6" w:rsidR="00BC1083" w:rsidRDefault="00C07C08" w:rsidP="00CC3E85">
      <w:r w:rsidRPr="00687919">
        <w:rPr>
          <w:rFonts w:asciiTheme="minorHAnsi" w:hAnsiTheme="minorHAnsi" w:cstheme="minorHAnsi"/>
        </w:rPr>
        <w:t>Die so errechneten Biomassen werden dann mit der relativen Dichte multipliziert um den Einfluss des Zers</w:t>
      </w:r>
      <w:r>
        <w:rPr>
          <w:rFonts w:asciiTheme="minorHAnsi" w:hAnsiTheme="minorHAnsi" w:cstheme="minorHAnsi"/>
        </w:rPr>
        <w:t>e</w:t>
      </w:r>
      <w:r w:rsidRPr="00687919">
        <w:rPr>
          <w:rFonts w:asciiTheme="minorHAnsi" w:hAnsiTheme="minorHAnsi" w:cstheme="minorHAnsi"/>
        </w:rPr>
        <w:t>tzung</w:t>
      </w:r>
      <w:r>
        <w:rPr>
          <w:rFonts w:asciiTheme="minorHAnsi" w:hAnsiTheme="minorHAnsi" w:cstheme="minorHAnsi"/>
        </w:rPr>
        <w:t>s</w:t>
      </w:r>
      <w:r w:rsidRPr="00687919">
        <w:rPr>
          <w:rFonts w:asciiTheme="minorHAnsi" w:hAnsiTheme="minorHAnsi" w:cstheme="minorHAnsi"/>
        </w:rPr>
        <w:t>grad auf die Biomasse zu beziehen.</w:t>
      </w:r>
      <w:r w:rsidR="00CC3E85">
        <w:t xml:space="preserve"> Nachfolgend wird der Rindenanteil des Stocks eines Baumes zu dem</w:t>
      </w:r>
      <w:r w:rsidR="00D15BA3">
        <w:t xml:space="preserve"> jeweiligen</w:t>
      </w:r>
      <w:r w:rsidR="00CC3E85">
        <w:t xml:space="preserve"> Dg der Wurzelstöcke berechnet. </w:t>
      </w:r>
    </w:p>
    <w:p w14:paraId="04EB19BB" w14:textId="450ED83C" w:rsidR="00CC3E85" w:rsidRDefault="00CC3E85" w:rsidP="00CC3E85">
      <w:pPr>
        <w:spacing w:before="0"/>
        <w:ind w:left="708"/>
      </w:pPr>
      <w:r>
        <w:lastRenderedPageBreak/>
        <w:t xml:space="preserve">Rindenanteil = Stockrinde TapeS * Biomassereduktionsfaktor / </w:t>
      </w:r>
      <w:proofErr w:type="spellStart"/>
      <w:r>
        <w:t>Stockmasse</w:t>
      </w:r>
      <w:proofErr w:type="spellEnd"/>
      <w:r>
        <w:t xml:space="preserve"> </w:t>
      </w:r>
      <w:proofErr w:type="spellStart"/>
      <w:r>
        <w:t>TapeS</w:t>
      </w:r>
      <w:proofErr w:type="spellEnd"/>
      <w:r>
        <w:t xml:space="preserve"> * Biomassereduktionsfaktor)</w:t>
      </w:r>
    </w:p>
    <w:p w14:paraId="4A46D035" w14:textId="77777777" w:rsidR="00CC3E85" w:rsidRDefault="00CC3E85" w:rsidP="00CC3E85">
      <w:pPr>
        <w:spacing w:before="0"/>
      </w:pPr>
      <w:r>
        <w:t xml:space="preserve">Das daraus resultierende Rindenprozent wird dann wie folgt angewandt um die Biomasse in den Bruchstück-Kompartimenten Derbholz und Derbholzrinde zu berechnen: </w:t>
      </w:r>
    </w:p>
    <w:p w14:paraId="19AE60B7" w14:textId="1289662E" w:rsidR="00CC3E85" w:rsidRDefault="00CC3E85" w:rsidP="00CC3E85">
      <w:pPr>
        <w:ind w:left="2118" w:hanging="1410"/>
      </w:pPr>
      <w:r>
        <w:t xml:space="preserve"> </w:t>
      </w:r>
      <w:proofErr w:type="spellStart"/>
      <w:proofErr w:type="gramStart"/>
      <w:r w:rsidR="00081EF0" w:rsidRPr="001E5FDE">
        <w:rPr>
          <w:b/>
          <w:color w:val="2F5496" w:themeColor="accent1" w:themeShade="BF"/>
        </w:rPr>
        <w:t>Stockmass</w:t>
      </w:r>
      <w:r w:rsidR="00081EF0">
        <w:rPr>
          <w:b/>
          <w:color w:val="2F5496" w:themeColor="accent1" w:themeShade="BF"/>
        </w:rPr>
        <w:t>e.o.R</w:t>
      </w:r>
      <w:proofErr w:type="spellEnd"/>
      <w:proofErr w:type="gramEnd"/>
      <w:r w:rsidR="00081EF0">
        <w:t xml:space="preserve"> </w:t>
      </w:r>
      <w:r>
        <w:t>= Biomasse BWI&amp;THGI –</w:t>
      </w:r>
      <w:r w:rsidR="00D15BA3">
        <w:t>Stockrinde</w:t>
      </w:r>
      <w:r>
        <w:t xml:space="preserve"> </w:t>
      </w:r>
    </w:p>
    <w:p w14:paraId="51C10FB1" w14:textId="77777777" w:rsidR="00CC3E85" w:rsidRDefault="00CC3E85" w:rsidP="00CC3E85">
      <w:pPr>
        <w:ind w:left="2118"/>
      </w:pPr>
      <w:r>
        <w:t xml:space="preserve"> = Biomasse BWI&amp;THGI – (Rindenanteil * Biomasse BWI&amp;THGI)</w:t>
      </w:r>
    </w:p>
    <w:p w14:paraId="7683D084" w14:textId="51CAC29F" w:rsidR="00CC3E85" w:rsidRPr="00D03870" w:rsidRDefault="00081EF0" w:rsidP="00CC3E85">
      <w:pPr>
        <w:ind w:left="2112" w:hanging="1410"/>
        <w:rPr>
          <w:color w:val="385623" w:themeColor="accent6" w:themeShade="80"/>
        </w:rPr>
      </w:pPr>
      <w:r w:rsidRPr="001E5FDE">
        <w:rPr>
          <w:b/>
          <w:color w:val="9CC2E5" w:themeColor="accent5" w:themeTint="99"/>
        </w:rPr>
        <w:t>Stockrinde</w:t>
      </w:r>
      <w:r w:rsidR="00CC3E85">
        <w:rPr>
          <w:color w:val="538135" w:themeColor="accent6" w:themeShade="BF"/>
        </w:rPr>
        <w:tab/>
      </w:r>
      <w:r w:rsidR="00CC3E85">
        <w:t xml:space="preserve">= Biomasse BWI&amp; – </w:t>
      </w:r>
      <w:proofErr w:type="spellStart"/>
      <w:proofErr w:type="gramStart"/>
      <w:r w:rsidRPr="001E5FDE">
        <w:rPr>
          <w:b/>
          <w:color w:val="2F5496" w:themeColor="accent1" w:themeShade="BF"/>
        </w:rPr>
        <w:t>Stockmass</w:t>
      </w:r>
      <w:r>
        <w:rPr>
          <w:b/>
          <w:color w:val="2F5496" w:themeColor="accent1" w:themeShade="BF"/>
        </w:rPr>
        <w:t>e.o.R</w:t>
      </w:r>
      <w:proofErr w:type="spellEnd"/>
      <w:proofErr w:type="gramEnd"/>
    </w:p>
    <w:p w14:paraId="367A4DAB" w14:textId="76614FD4" w:rsidR="00CC3E85" w:rsidRDefault="00EC5A13" w:rsidP="00EC5A13">
      <w:pPr>
        <w:pStyle w:val="Zwischenberschriftkursiv"/>
      </w:pPr>
      <w:r>
        <w:rPr>
          <w:rFonts w:asciiTheme="minorHAnsi" w:hAnsiTheme="minorHAnsi" w:cstheme="minorHAnsi"/>
        </w:rPr>
        <w:t xml:space="preserve">Totholz Haufen </w:t>
      </w:r>
      <w:proofErr w:type="gramStart"/>
      <w:r>
        <w:rPr>
          <w:rFonts w:asciiTheme="minorHAnsi" w:hAnsiTheme="minorHAnsi" w:cstheme="minorHAnsi"/>
        </w:rPr>
        <w:t>(</w:t>
      </w:r>
      <w:r w:rsidRPr="00EC5A13">
        <w:rPr>
          <w:rFonts w:asciiTheme="minorHAnsi" w:hAnsiTheme="minorHAnsi" w:cstheme="minorHAnsi"/>
        </w:rPr>
        <w:t xml:space="preserve"> 6</w:t>
      </w:r>
      <w:proofErr w:type="gramEnd"/>
      <w:r>
        <w:rPr>
          <w:rFonts w:asciiTheme="minorHAnsi" w:hAnsiTheme="minorHAnsi" w:cstheme="minorHAnsi"/>
        </w:rPr>
        <w:t>) aller Zersetzungsgrade und andere Totholztypen höherer Zersetzungsgrade (&gt;3)</w:t>
      </w:r>
    </w:p>
    <w:p w14:paraId="60D3EAA6" w14:textId="168F1FB9" w:rsidR="001E5FDE" w:rsidRPr="00903571" w:rsidRDefault="00903571" w:rsidP="00822894">
      <w:pPr>
        <w:rPr>
          <w:rFonts w:asciiTheme="minorHAnsi" w:hAnsiTheme="minorHAnsi" w:cstheme="minorHAnsi"/>
        </w:rPr>
      </w:pPr>
      <w:r>
        <w:rPr>
          <w:rFonts w:asciiTheme="minorHAnsi" w:hAnsiTheme="minorHAnsi" w:cstheme="minorHAnsi"/>
        </w:rPr>
        <w:t xml:space="preserve">Für </w:t>
      </w:r>
      <w:r w:rsidR="00EC5A13" w:rsidRPr="00EC5A13">
        <w:rPr>
          <w:rFonts w:asciiTheme="minorHAnsi" w:hAnsiTheme="minorHAnsi" w:cstheme="minorHAnsi"/>
        </w:rPr>
        <w:t xml:space="preserve">Totholzzersetzungsgruppen &gt;= 3 und </w:t>
      </w:r>
      <w:proofErr w:type="spellStart"/>
      <w:r w:rsidR="00EC5A13" w:rsidRPr="00EC5A13">
        <w:rPr>
          <w:rFonts w:asciiTheme="minorHAnsi" w:hAnsiTheme="minorHAnsi" w:cstheme="minorHAnsi"/>
        </w:rPr>
        <w:t>Tothlztyp</w:t>
      </w:r>
      <w:proofErr w:type="spellEnd"/>
      <w:r w:rsidR="00EC5A13" w:rsidRPr="00EC5A13">
        <w:rPr>
          <w:rFonts w:asciiTheme="minorHAnsi" w:hAnsiTheme="minorHAnsi" w:cstheme="minorHAnsi"/>
        </w:rPr>
        <w:t xml:space="preserve"> 6 wird nicht </w:t>
      </w:r>
      <w:proofErr w:type="spellStart"/>
      <w:r w:rsidR="00EC5A13" w:rsidRPr="00EC5A13">
        <w:rPr>
          <w:rFonts w:asciiTheme="minorHAnsi" w:hAnsiTheme="minorHAnsi" w:cstheme="minorHAnsi"/>
        </w:rPr>
        <w:t>Kompartimentiert</w:t>
      </w:r>
      <w:proofErr w:type="spellEnd"/>
      <w:r w:rsidR="00EC5A13" w:rsidRPr="00EC5A13">
        <w:rPr>
          <w:rFonts w:asciiTheme="minorHAnsi" w:hAnsiTheme="minorHAnsi" w:cstheme="minorHAnsi"/>
        </w:rPr>
        <w:t xml:space="preserve"> und die Nährelementgehalte des Derbholzes ohne Rinde mit der gesamten Biomasse multipliziert</w:t>
      </w:r>
      <w:r>
        <w:rPr>
          <w:rFonts w:asciiTheme="minorHAnsi" w:hAnsiTheme="minorHAnsi" w:cstheme="minorHAnsi"/>
        </w:rPr>
        <w:t>.</w:t>
      </w:r>
    </w:p>
    <w:p w14:paraId="25CED7D8" w14:textId="77777777" w:rsidR="001E5FDE" w:rsidRDefault="001E5FDE" w:rsidP="00822894"/>
    <w:p w14:paraId="7FABEEC1" w14:textId="24C3689A" w:rsidR="00733D24" w:rsidRDefault="002D2266" w:rsidP="00733D24">
      <w:pPr>
        <w:pStyle w:val="Liste-2"/>
      </w:pPr>
      <w:r w:rsidRPr="00733D24">
        <w:t xml:space="preserve">Wellbrock, N. &amp; Bielefeldt, Judith &amp; </w:t>
      </w:r>
      <w:proofErr w:type="spellStart"/>
      <w:r w:rsidRPr="00733D24">
        <w:t>Eickenscheidt</w:t>
      </w:r>
      <w:proofErr w:type="spellEnd"/>
      <w:r w:rsidRPr="00733D24">
        <w:t xml:space="preserve">, Nadine &amp; Bolte, Andreas &amp; Wolff, Barbara &amp; Block, Joachim &amp; Schröck, Hans-Werner &amp; Schuck, Julius &amp; Moshammer, Ralf. (2014). Kohlenstoff- und Nährelementspeicherung von Waldflächen des forstlichen Umweltmonitorings (BZE) in Rheinland-Pfalz </w:t>
      </w:r>
    </w:p>
    <w:p w14:paraId="5938E28D" w14:textId="77777777" w:rsidR="002D2266" w:rsidRPr="00687919" w:rsidRDefault="002D2266" w:rsidP="006245BA">
      <w:pPr>
        <w:pStyle w:val="Listenabsatz"/>
        <w:ind w:left="1416"/>
        <w:rPr>
          <w:rFonts w:asciiTheme="minorHAnsi" w:hAnsiTheme="minorHAnsi" w:cstheme="minorHAnsi"/>
        </w:rPr>
      </w:pPr>
    </w:p>
    <w:p w14:paraId="3CFCFBE8" w14:textId="77777777" w:rsidR="004E200E" w:rsidRPr="00687919" w:rsidRDefault="004E200E" w:rsidP="001D0D18">
      <w:pPr>
        <w:pStyle w:val="berschrift3"/>
        <w:numPr>
          <w:ilvl w:val="2"/>
          <w:numId w:val="9"/>
        </w:numPr>
        <w:rPr>
          <w:rFonts w:asciiTheme="minorHAnsi" w:hAnsiTheme="minorHAnsi" w:cstheme="minorHAnsi"/>
        </w:rPr>
      </w:pPr>
      <w:bookmarkStart w:id="25" w:name="_Toc137711763"/>
      <w:r w:rsidRPr="00687919">
        <w:rPr>
          <w:rFonts w:asciiTheme="minorHAnsi" w:hAnsiTheme="minorHAnsi" w:cstheme="minorHAnsi"/>
        </w:rPr>
        <w:t>Kohlenstoffgehalt Totholz</w:t>
      </w:r>
      <w:bookmarkEnd w:id="25"/>
    </w:p>
    <w:p w14:paraId="5058B957" w14:textId="77777777" w:rsidR="004E200E" w:rsidRPr="00687919" w:rsidRDefault="004E200E" w:rsidP="004E200E">
      <w:pPr>
        <w:rPr>
          <w:rFonts w:asciiTheme="minorHAnsi" w:hAnsiTheme="minorHAnsi" w:cstheme="minorHAnsi"/>
        </w:rPr>
      </w:pPr>
      <w:r w:rsidRPr="00687919">
        <w:rPr>
          <w:rFonts w:asciiTheme="minorHAnsi" w:hAnsiTheme="minorHAnsi" w:cstheme="minorHAnsi"/>
        </w:rPr>
        <w:t>Laut IPCC Methodik 2006 kann ein Kohlenstoffgehalt von 0,5 für Totholz angenommen werden, was kohärent mit den in Ziche et al. (2019) und Wellbrock et al. (2017) ist.</w:t>
      </w:r>
    </w:p>
    <w:p w14:paraId="76CB1213" w14:textId="77777777" w:rsidR="004E200E" w:rsidRPr="00011E15" w:rsidRDefault="004E200E" w:rsidP="001D0D18">
      <w:pPr>
        <w:pStyle w:val="berschrift3"/>
        <w:numPr>
          <w:ilvl w:val="2"/>
          <w:numId w:val="9"/>
        </w:numPr>
        <w:rPr>
          <w:rFonts w:asciiTheme="minorHAnsi" w:hAnsiTheme="minorHAnsi" w:cstheme="minorHAnsi"/>
          <w:highlight w:val="red"/>
        </w:rPr>
      </w:pPr>
      <w:bookmarkStart w:id="26" w:name="_Toc137711764"/>
      <w:r w:rsidRPr="00011E15">
        <w:rPr>
          <w:rFonts w:asciiTheme="minorHAnsi" w:hAnsiTheme="minorHAnsi" w:cstheme="minorHAnsi"/>
          <w:highlight w:val="red"/>
        </w:rPr>
        <w:t>Nährelementgehalte Totholz</w:t>
      </w:r>
      <w:bookmarkEnd w:id="26"/>
    </w:p>
    <w:p w14:paraId="4353307F" w14:textId="3C5BDC3C" w:rsidR="00FA78C8" w:rsidRDefault="00FA78C8" w:rsidP="004E200E">
      <w:pPr>
        <w:rPr>
          <w:rFonts w:asciiTheme="minorHAnsi" w:hAnsiTheme="minorHAnsi" w:cstheme="minorHAnsi"/>
        </w:rPr>
      </w:pPr>
      <w:r>
        <w:rPr>
          <w:rFonts w:asciiTheme="minorHAnsi" w:hAnsiTheme="minorHAnsi" w:cstheme="minorHAnsi"/>
        </w:rPr>
        <w:t xml:space="preserve">Die Nährelemente, bzw. der Stickstoffgehalt </w:t>
      </w:r>
      <w:r w:rsidR="007647AD">
        <w:rPr>
          <w:rFonts w:asciiTheme="minorHAnsi" w:hAnsiTheme="minorHAnsi" w:cstheme="minorHAnsi"/>
        </w:rPr>
        <w:t xml:space="preserve">der zur Berechnung des Stickstoffvorrates in Totholz verwendet wurde, orientiert sich an der Möglichkeit zur Berechnung der Biomasse in einzelnen Kompartimenten. </w:t>
      </w:r>
      <w:r w:rsidR="00717040">
        <w:rPr>
          <w:rFonts w:asciiTheme="minorHAnsi" w:hAnsiTheme="minorHAnsi" w:cstheme="minorHAnsi"/>
        </w:rPr>
        <w:t xml:space="preserve"> </w:t>
      </w:r>
      <w:bookmarkStart w:id="27" w:name="_Hlk153786460"/>
      <w:r w:rsidR="00717040">
        <w:rPr>
          <w:rFonts w:asciiTheme="minorHAnsi" w:hAnsiTheme="minorHAnsi" w:cstheme="minorHAnsi"/>
        </w:rPr>
        <w:t xml:space="preserve">Sofern </w:t>
      </w:r>
      <w:proofErr w:type="spellStart"/>
      <w:r w:rsidR="004D22DD">
        <w:rPr>
          <w:rFonts w:asciiTheme="minorHAnsi" w:hAnsiTheme="minorHAnsi" w:cstheme="minorHAnsi"/>
        </w:rPr>
        <w:t>k</w:t>
      </w:r>
      <w:r w:rsidR="00717040">
        <w:rPr>
          <w:rFonts w:asciiTheme="minorHAnsi" w:hAnsiTheme="minorHAnsi" w:cstheme="minorHAnsi"/>
        </w:rPr>
        <w:t>ompartim</w:t>
      </w:r>
      <w:r w:rsidR="004D22DD">
        <w:rPr>
          <w:rFonts w:asciiTheme="minorHAnsi" w:hAnsiTheme="minorHAnsi" w:cstheme="minorHAnsi"/>
        </w:rPr>
        <w:t>e</w:t>
      </w:r>
      <w:r w:rsidR="00717040">
        <w:rPr>
          <w:rFonts w:asciiTheme="minorHAnsi" w:hAnsiTheme="minorHAnsi" w:cstheme="minorHAnsi"/>
        </w:rPr>
        <w:t>ntweise</w:t>
      </w:r>
      <w:proofErr w:type="spellEnd"/>
      <w:r w:rsidR="00717040">
        <w:rPr>
          <w:rFonts w:asciiTheme="minorHAnsi" w:hAnsiTheme="minorHAnsi" w:cstheme="minorHAnsi"/>
        </w:rPr>
        <w:t xml:space="preserve"> Biomassenvorräte zur </w:t>
      </w:r>
      <w:r w:rsidR="004D22DD">
        <w:rPr>
          <w:rFonts w:asciiTheme="minorHAnsi" w:hAnsiTheme="minorHAnsi" w:cstheme="minorHAnsi"/>
        </w:rPr>
        <w:t>V</w:t>
      </w:r>
      <w:r w:rsidR="00717040">
        <w:rPr>
          <w:rFonts w:asciiTheme="minorHAnsi" w:hAnsiTheme="minorHAnsi" w:cstheme="minorHAnsi"/>
        </w:rPr>
        <w:t xml:space="preserve">erfügung stehen, wird er Stickstoffvorrat des </w:t>
      </w:r>
      <w:r w:rsidR="004D22DD">
        <w:rPr>
          <w:rFonts w:asciiTheme="minorHAnsi" w:hAnsiTheme="minorHAnsi" w:cstheme="minorHAnsi"/>
        </w:rPr>
        <w:t>jeweiligen</w:t>
      </w:r>
      <w:r w:rsidR="00717040">
        <w:rPr>
          <w:rFonts w:asciiTheme="minorHAnsi" w:hAnsiTheme="minorHAnsi" w:cstheme="minorHAnsi"/>
        </w:rPr>
        <w:t xml:space="preserve"> Totholzstückes aus der Summe </w:t>
      </w:r>
      <w:proofErr w:type="gramStart"/>
      <w:r w:rsidR="00717040">
        <w:rPr>
          <w:rFonts w:asciiTheme="minorHAnsi" w:hAnsiTheme="minorHAnsi" w:cstheme="minorHAnsi"/>
        </w:rPr>
        <w:t xml:space="preserve">des </w:t>
      </w:r>
      <w:r w:rsidR="004D22DD">
        <w:rPr>
          <w:rFonts w:asciiTheme="minorHAnsi" w:hAnsiTheme="minorHAnsi" w:cstheme="minorHAnsi"/>
        </w:rPr>
        <w:t>Kompartiment</w:t>
      </w:r>
      <w:proofErr w:type="gramEnd"/>
      <w:r w:rsidR="004D22DD">
        <w:rPr>
          <w:rFonts w:asciiTheme="minorHAnsi" w:hAnsiTheme="minorHAnsi" w:cstheme="minorHAnsi"/>
        </w:rPr>
        <w:t xml:space="preserve"> spezifischen</w:t>
      </w:r>
      <w:r w:rsidR="00717040">
        <w:rPr>
          <w:rFonts w:asciiTheme="minorHAnsi" w:hAnsiTheme="minorHAnsi" w:cstheme="minorHAnsi"/>
        </w:rPr>
        <w:t xml:space="preserve"> Stickstoffvorräte </w:t>
      </w:r>
      <w:r w:rsidR="004D22DD">
        <w:rPr>
          <w:rFonts w:asciiTheme="minorHAnsi" w:hAnsiTheme="minorHAnsi" w:cstheme="minorHAnsi"/>
        </w:rPr>
        <w:t>berechnet</w:t>
      </w:r>
      <w:r w:rsidR="00717040">
        <w:rPr>
          <w:rFonts w:asciiTheme="minorHAnsi" w:hAnsiTheme="minorHAnsi" w:cstheme="minorHAnsi"/>
        </w:rPr>
        <w:t xml:space="preserve">. Sollte keine Kompartimentierung möglich sein, wird der Stickstoffvorrat mit dem Elementgehalt der Baumartengruppe im Kompartiment „Derbholz“ berechnet.  </w:t>
      </w:r>
    </w:p>
    <w:bookmarkEnd w:id="27"/>
    <w:p w14:paraId="79870652" w14:textId="588A3BDD" w:rsidR="007647AD" w:rsidRDefault="00717040" w:rsidP="004E200E">
      <w:pPr>
        <w:rPr>
          <w:rFonts w:asciiTheme="minorHAnsi" w:hAnsiTheme="minorHAnsi" w:cstheme="minorHAnsi"/>
        </w:rPr>
      </w:pPr>
      <w:r>
        <w:rPr>
          <w:rFonts w:asciiTheme="minorHAnsi" w:hAnsiTheme="minorHAnsi" w:cstheme="minorHAnsi"/>
        </w:rPr>
        <w:t xml:space="preserve">Es werden keine Totholzspezifischen Elementgehalte </w:t>
      </w:r>
      <w:r w:rsidR="004D22DD">
        <w:rPr>
          <w:rFonts w:asciiTheme="minorHAnsi" w:hAnsiTheme="minorHAnsi" w:cstheme="minorHAnsi"/>
        </w:rPr>
        <w:t>verwendet,</w:t>
      </w:r>
      <w:r>
        <w:rPr>
          <w:rFonts w:asciiTheme="minorHAnsi" w:hAnsiTheme="minorHAnsi" w:cstheme="minorHAnsi"/>
        </w:rPr>
        <w:t xml:space="preserve"> sondern dieselben Werte wir für den Lebenden bestand. Dies ist möglich, da die </w:t>
      </w:r>
      <w:r w:rsidR="004D22DD">
        <w:rPr>
          <w:rFonts w:asciiTheme="minorHAnsi" w:hAnsiTheme="minorHAnsi" w:cstheme="minorHAnsi"/>
        </w:rPr>
        <w:t>Eigenschaften des Totholzes</w:t>
      </w:r>
      <w:r w:rsidR="00C129A7">
        <w:rPr>
          <w:rFonts w:asciiTheme="minorHAnsi" w:hAnsiTheme="minorHAnsi" w:cstheme="minorHAnsi"/>
        </w:rPr>
        <w:t>, welche Unterschiede</w:t>
      </w:r>
      <w:r w:rsidR="004D22DD">
        <w:rPr>
          <w:rFonts w:asciiTheme="minorHAnsi" w:hAnsiTheme="minorHAnsi" w:cstheme="minorHAnsi"/>
        </w:rPr>
        <w:t xml:space="preserve"> in der Biomasseakkumulation im Vergleich zu lebenden Bäumen verursachen</w:t>
      </w:r>
      <w:r w:rsidR="00C129A7">
        <w:rPr>
          <w:rFonts w:asciiTheme="minorHAnsi" w:hAnsiTheme="minorHAnsi" w:cstheme="minorHAnsi"/>
        </w:rPr>
        <w:t xml:space="preserve"> können,</w:t>
      </w:r>
      <w:r>
        <w:rPr>
          <w:rFonts w:asciiTheme="minorHAnsi" w:hAnsiTheme="minorHAnsi" w:cstheme="minorHAnsi"/>
        </w:rPr>
        <w:t xml:space="preserve"> bereits in die Biomassenberechnung einbezogen wurden</w:t>
      </w:r>
      <w:r w:rsidR="004D22DD">
        <w:rPr>
          <w:rFonts w:asciiTheme="minorHAnsi" w:hAnsiTheme="minorHAnsi" w:cstheme="minorHAnsi"/>
        </w:rPr>
        <w:t xml:space="preserve"> (zersetzungsgrad, relative Dichte, etc.)</w:t>
      </w:r>
      <w:r>
        <w:rPr>
          <w:rFonts w:asciiTheme="minorHAnsi" w:hAnsiTheme="minorHAnsi" w:cstheme="minorHAnsi"/>
        </w:rPr>
        <w:t xml:space="preserve">.  </w:t>
      </w:r>
    </w:p>
    <w:p w14:paraId="305D2711" w14:textId="77777777" w:rsidR="004E200E" w:rsidRPr="00687919" w:rsidRDefault="004E200E" w:rsidP="001D0D18">
      <w:pPr>
        <w:pStyle w:val="berschrift2"/>
        <w:numPr>
          <w:ilvl w:val="1"/>
          <w:numId w:val="9"/>
        </w:numPr>
        <w:rPr>
          <w:rFonts w:asciiTheme="minorHAnsi" w:hAnsiTheme="minorHAnsi" w:cstheme="minorHAnsi"/>
          <w:shd w:val="clear" w:color="auto" w:fill="FFFFFF"/>
        </w:rPr>
      </w:pPr>
      <w:bookmarkStart w:id="28" w:name="_Toc137711765"/>
      <w:r w:rsidRPr="00687919">
        <w:rPr>
          <w:rFonts w:asciiTheme="minorHAnsi" w:hAnsiTheme="minorHAnsi" w:cstheme="minorHAnsi"/>
          <w:shd w:val="clear" w:color="auto" w:fill="FFFFFF"/>
        </w:rPr>
        <w:t>Verjüngung</w:t>
      </w:r>
      <w:bookmarkEnd w:id="28"/>
    </w:p>
    <w:p w14:paraId="00B07BBD" w14:textId="77777777" w:rsidR="004E200E" w:rsidRPr="00687919" w:rsidRDefault="004E200E" w:rsidP="001D0D18">
      <w:pPr>
        <w:pStyle w:val="berschrift3"/>
        <w:numPr>
          <w:ilvl w:val="2"/>
          <w:numId w:val="9"/>
        </w:numPr>
        <w:rPr>
          <w:rFonts w:asciiTheme="minorHAnsi" w:hAnsiTheme="minorHAnsi" w:cstheme="minorHAnsi"/>
        </w:rPr>
      </w:pPr>
      <w:bookmarkStart w:id="29" w:name="_Toc137711766"/>
      <w:r w:rsidRPr="00687919">
        <w:rPr>
          <w:rFonts w:asciiTheme="minorHAnsi" w:hAnsiTheme="minorHAnsi" w:cstheme="minorHAnsi"/>
        </w:rPr>
        <w:t>Verjüngung Biomasse</w:t>
      </w:r>
      <w:bookmarkEnd w:id="29"/>
    </w:p>
    <w:p w14:paraId="61BDAF98" w14:textId="77777777" w:rsidR="004E200E" w:rsidRPr="00687919" w:rsidRDefault="004E200E" w:rsidP="001842F6">
      <w:r w:rsidRPr="00687919">
        <w:t xml:space="preserve">Für Bäume der Verjüngung, die über einen BHD verfügen, also eine Höhe von &gt; 1.3m haben, wird die Biomasse über TapeS bestimmt. Für Bäume der Verjüngung &lt; 1.3 wird die Biomasse über die Formeln der GHGI für Bäume BHD &lt;10cm &amp; H &lt; 1.3 bestimmt.  </w:t>
      </w:r>
    </w:p>
    <w:p w14:paraId="45065015" w14:textId="77777777" w:rsidR="004E200E" w:rsidRPr="00687919" w:rsidRDefault="004E200E" w:rsidP="001842F6">
      <w:pPr>
        <w:rPr>
          <w:rFonts w:asciiTheme="minorHAnsi" w:hAnsiTheme="minorHAnsi" w:cstheme="minorHAnsi"/>
        </w:rPr>
      </w:pPr>
      <w:r w:rsidRPr="00687919">
        <w:rPr>
          <w:rFonts w:asciiTheme="minorHAnsi" w:hAnsiTheme="minorHAnsi" w:cstheme="minorHAnsi"/>
        </w:rPr>
        <w:t xml:space="preserve">Die unterirdische Biomasse wird über den Durchmesser bestimmt. Da Bäume der Verjüngung unter 1.3m nicht mehr in Größenklassen eingeteilt werden und somit kein Durchmesser bekannt ist, beschränkt sich die </w:t>
      </w:r>
      <w:r w:rsidRPr="00687919">
        <w:rPr>
          <w:rFonts w:asciiTheme="minorHAnsi" w:hAnsiTheme="minorHAnsi" w:cstheme="minorHAnsi"/>
        </w:rPr>
        <w:lastRenderedPageBreak/>
        <w:t xml:space="preserve">Berechnung der unterirdischen Biomasse, sowie die darauf beruhende nachträgliche Kompartimentierung durch </w:t>
      </w:r>
      <w:proofErr w:type="spellStart"/>
      <w:r w:rsidRPr="00687919">
        <w:rPr>
          <w:rFonts w:asciiTheme="minorHAnsi" w:hAnsiTheme="minorHAnsi" w:cstheme="minorHAnsi"/>
        </w:rPr>
        <w:t>Poorters</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leaf</w:t>
      </w:r>
      <w:proofErr w:type="spellEnd"/>
      <w:r w:rsidRPr="00687919">
        <w:rPr>
          <w:rFonts w:asciiTheme="minorHAnsi" w:hAnsiTheme="minorHAnsi" w:cstheme="minorHAnsi"/>
        </w:rPr>
        <w:t xml:space="preserve">-root-ratio auf größere Bäume der Verjüngung über 1.3m Höhe. </w:t>
      </w:r>
    </w:p>
    <w:p w14:paraId="1E3B04C1" w14:textId="1202E410" w:rsidR="004E200E" w:rsidRPr="00687919" w:rsidRDefault="00B25399" w:rsidP="001D0D18">
      <w:pPr>
        <w:pStyle w:val="berschrift3"/>
        <w:numPr>
          <w:ilvl w:val="2"/>
          <w:numId w:val="9"/>
        </w:numPr>
        <w:rPr>
          <w:rFonts w:asciiTheme="minorHAnsi" w:hAnsiTheme="minorHAnsi" w:cstheme="minorHAnsi"/>
        </w:rPr>
      </w:pPr>
      <w:bookmarkStart w:id="30" w:name="_Toc137711767"/>
      <w:r>
        <w:rPr>
          <w:rFonts w:asciiTheme="minorHAnsi" w:hAnsiTheme="minorHAnsi" w:cstheme="minorHAnsi"/>
        </w:rPr>
        <w:t xml:space="preserve">Nachträgliche </w:t>
      </w:r>
      <w:r w:rsidR="004E200E" w:rsidRPr="00687919">
        <w:rPr>
          <w:rFonts w:asciiTheme="minorHAnsi" w:hAnsiTheme="minorHAnsi" w:cstheme="minorHAnsi"/>
        </w:rPr>
        <w:t>Kompartimentierung Biomasse Verjüngung</w:t>
      </w:r>
      <w:bookmarkEnd w:id="30"/>
    </w:p>
    <w:p w14:paraId="74050696" w14:textId="77777777" w:rsidR="00B30230" w:rsidRDefault="004E200E" w:rsidP="004E200E">
      <w:pPr>
        <w:rPr>
          <w:rFonts w:asciiTheme="minorHAnsi" w:hAnsiTheme="minorHAnsi" w:cstheme="minorHAnsi"/>
        </w:rPr>
      </w:pPr>
      <w:r w:rsidRPr="00687919">
        <w:rPr>
          <w:rFonts w:asciiTheme="minorHAnsi" w:hAnsiTheme="minorHAnsi" w:cstheme="minorHAnsi"/>
        </w:rPr>
        <w:t>Orientiert an den Verfügbaren Quellen für Nährstoffgehalte in Bäumen der Verjüngung</w:t>
      </w:r>
      <w:r w:rsidR="00B30230">
        <w:rPr>
          <w:rFonts w:asciiTheme="minorHAnsi" w:hAnsiTheme="minorHAnsi" w:cstheme="minorHAnsi"/>
        </w:rPr>
        <w:t xml:space="preserve"> bzw. des </w:t>
      </w:r>
      <w:r w:rsidRPr="00687919">
        <w:rPr>
          <w:rFonts w:asciiTheme="minorHAnsi" w:hAnsiTheme="minorHAnsi" w:cstheme="minorHAnsi"/>
        </w:rPr>
        <w:t>Nichtderbholz</w:t>
      </w:r>
      <w:r w:rsidR="00B30230">
        <w:rPr>
          <w:rFonts w:asciiTheme="minorHAnsi" w:hAnsiTheme="minorHAnsi" w:cstheme="minorHAnsi"/>
        </w:rPr>
        <w:t>es</w:t>
      </w:r>
      <w:r w:rsidRPr="00687919">
        <w:rPr>
          <w:rFonts w:asciiTheme="minorHAnsi" w:hAnsiTheme="minorHAnsi" w:cstheme="minorHAnsi"/>
        </w:rPr>
        <w:t>,</w:t>
      </w:r>
      <w:r w:rsidR="00B30230">
        <w:rPr>
          <w:rFonts w:asciiTheme="minorHAnsi" w:hAnsiTheme="minorHAnsi" w:cstheme="minorHAnsi"/>
        </w:rPr>
        <w:t xml:space="preserve"> empfiehlt sich </w:t>
      </w:r>
      <w:r w:rsidRPr="00687919">
        <w:rPr>
          <w:rFonts w:asciiTheme="minorHAnsi" w:hAnsiTheme="minorHAnsi" w:cstheme="minorHAnsi"/>
        </w:rPr>
        <w:t>eine Unterteilung in holzige und nichtholzige Biomasse (Nadel/ Blatt)</w:t>
      </w:r>
      <w:r w:rsidR="00B30230">
        <w:rPr>
          <w:rFonts w:asciiTheme="minorHAnsi" w:hAnsiTheme="minorHAnsi" w:cstheme="minorHAnsi"/>
        </w:rPr>
        <w:t xml:space="preserve"> zur </w:t>
      </w:r>
      <w:proofErr w:type="spellStart"/>
      <w:r w:rsidR="00B30230">
        <w:rPr>
          <w:rFonts w:asciiTheme="minorHAnsi" w:hAnsiTheme="minorHAnsi" w:cstheme="minorHAnsi"/>
        </w:rPr>
        <w:t>berechnung</w:t>
      </w:r>
      <w:proofErr w:type="spellEnd"/>
      <w:r w:rsidR="00B30230">
        <w:rPr>
          <w:rFonts w:asciiTheme="minorHAnsi" w:hAnsiTheme="minorHAnsi" w:cstheme="minorHAnsi"/>
        </w:rPr>
        <w:t xml:space="preserve"> der Stickstoffvorräte</w:t>
      </w:r>
      <w:r w:rsidRPr="00687919">
        <w:rPr>
          <w:rFonts w:asciiTheme="minorHAnsi" w:hAnsiTheme="minorHAnsi" w:cstheme="minorHAnsi"/>
        </w:rPr>
        <w:t xml:space="preserve">. </w:t>
      </w:r>
      <w:r w:rsidR="00B30230">
        <w:rPr>
          <w:rFonts w:asciiTheme="minorHAnsi" w:hAnsiTheme="minorHAnsi" w:cstheme="minorHAnsi"/>
        </w:rPr>
        <w:t xml:space="preserve">Generell ist, wie bei der Berechnung der gesamten Biomasse an Bäumen der Verjüngung zu unterscheiden in: </w:t>
      </w:r>
    </w:p>
    <w:p w14:paraId="0A0B9501" w14:textId="52EF3268" w:rsidR="0048515D" w:rsidRDefault="00B30230" w:rsidP="0048515D">
      <w:pPr>
        <w:pStyle w:val="Liste-2"/>
      </w:pPr>
      <w:r>
        <w:t xml:space="preserve"> </w:t>
      </w:r>
      <w:r w:rsidR="0048515D">
        <w:t>B</w:t>
      </w:r>
      <w:r>
        <w:t xml:space="preserve">äume über 1.3m Höhe welche über einen BHD und BHD </w:t>
      </w:r>
      <w:proofErr w:type="spellStart"/>
      <w:r>
        <w:t>Messhöhe</w:t>
      </w:r>
      <w:proofErr w:type="spellEnd"/>
      <w:r>
        <w:t xml:space="preserve"> verfügen und damit für TapeS</w:t>
      </w:r>
      <w:r w:rsidR="0048515D">
        <w:t xml:space="preserve"> und die BWI &amp; THG Formeln für die Unterirdische Biomasse</w:t>
      </w:r>
      <w:r>
        <w:t xml:space="preserve"> </w:t>
      </w:r>
      <w:r w:rsidR="0048515D">
        <w:t>geeignet</w:t>
      </w:r>
      <w:r>
        <w:t xml:space="preserve"> sind </w:t>
      </w:r>
    </w:p>
    <w:p w14:paraId="6A44F3DF" w14:textId="0841182B" w:rsidR="00B30230" w:rsidRDefault="00B30230" w:rsidP="00B30230">
      <w:pPr>
        <w:pStyle w:val="Liste-2"/>
      </w:pPr>
      <w:r>
        <w:t xml:space="preserve">Bäume unter 1.3m für die kein </w:t>
      </w:r>
      <w:proofErr w:type="spellStart"/>
      <w:r>
        <w:t>TprTree</w:t>
      </w:r>
      <w:proofErr w:type="spellEnd"/>
      <w:r>
        <w:t xml:space="preserve"> </w:t>
      </w:r>
      <w:proofErr w:type="spellStart"/>
      <w:r>
        <w:t>Object</w:t>
      </w:r>
      <w:proofErr w:type="spellEnd"/>
      <w:r>
        <w:t xml:space="preserve"> erzeugt werden kann</w:t>
      </w:r>
      <w:r w:rsidR="0048515D">
        <w:t xml:space="preserve"> und für die, aufgrund des fehlenden Durchmessers auch keine unterirdische Biomasse berechnet werden kann</w:t>
      </w:r>
      <w:r>
        <w:t xml:space="preserve"> </w:t>
      </w:r>
    </w:p>
    <w:p w14:paraId="128698A8" w14:textId="77777777" w:rsidR="004E200E" w:rsidRPr="00687919" w:rsidRDefault="004E200E" w:rsidP="004E200E">
      <w:pPr>
        <w:rPr>
          <w:rFonts w:asciiTheme="minorHAnsi" w:hAnsiTheme="minorHAnsi" w:cstheme="minorHAnsi"/>
        </w:rPr>
      </w:pPr>
      <w:r w:rsidRPr="00687919">
        <w:rPr>
          <w:rFonts w:asciiTheme="minorHAnsi" w:hAnsiTheme="minorHAnsi" w:cstheme="minorHAnsi"/>
        </w:rPr>
        <w:t xml:space="preserve">Zunächst gilt es anzumerken, dass die Kompartimentierung in Blatt- und holzige Biomasse mittels (1) </w:t>
      </w:r>
      <w:proofErr w:type="spellStart"/>
      <w:r w:rsidRPr="00687919">
        <w:rPr>
          <w:rFonts w:asciiTheme="minorHAnsi" w:hAnsiTheme="minorHAnsi" w:cstheme="minorHAnsi"/>
        </w:rPr>
        <w:t>Poorter</w:t>
      </w:r>
      <w:proofErr w:type="spellEnd"/>
      <w:r w:rsidRPr="00687919">
        <w:rPr>
          <w:rFonts w:asciiTheme="minorHAnsi" w:hAnsiTheme="minorHAnsi" w:cstheme="minorHAnsi"/>
        </w:rPr>
        <w:t xml:space="preserve"> et al. auf der unterirdischen Biomasse beruht, welche über den Durchmesser bestimmt wird, welcher für Bäume &lt; 1.3m nicht gemessen wird und mittels (2) </w:t>
      </w:r>
      <w:proofErr w:type="spellStart"/>
      <w:r w:rsidRPr="00687919">
        <w:rPr>
          <w:rFonts w:asciiTheme="minorHAnsi" w:hAnsiTheme="minorHAnsi" w:cstheme="minorHAnsi"/>
        </w:rPr>
        <w:t>tapeS</w:t>
      </w:r>
      <w:proofErr w:type="spellEnd"/>
      <w:r w:rsidRPr="00687919">
        <w:rPr>
          <w:rFonts w:asciiTheme="minorHAnsi" w:hAnsiTheme="minorHAnsi" w:cstheme="minorHAnsi"/>
        </w:rPr>
        <w:t xml:space="preserve"> nur für Nadelholz an Bäumen deren Durchmesser bekannt ist (also H &gt; 1.3m) möglich ist. </w:t>
      </w:r>
    </w:p>
    <w:p w14:paraId="509B25B2" w14:textId="77777777" w:rsidR="004E200E" w:rsidRPr="00687919" w:rsidRDefault="004E200E" w:rsidP="004E200E">
      <w:pPr>
        <w:rPr>
          <w:rFonts w:asciiTheme="minorHAnsi" w:hAnsiTheme="minorHAnsi" w:cstheme="minorHAnsi"/>
        </w:rPr>
      </w:pPr>
      <w:r w:rsidRPr="00687919">
        <w:rPr>
          <w:rFonts w:asciiTheme="minorHAnsi" w:hAnsiTheme="minorHAnsi" w:cstheme="minorHAnsi"/>
        </w:rPr>
        <w:t xml:space="preserve">Daraus ergibt sich folgendes Vorgehen bei der nachträglichen Kompartimentierung: </w:t>
      </w:r>
    </w:p>
    <w:p w14:paraId="6B01EE22" w14:textId="77777777" w:rsidR="004E200E" w:rsidRPr="00687919" w:rsidRDefault="004E200E" w:rsidP="0048515D">
      <w:pPr>
        <w:pStyle w:val="Liste-2"/>
      </w:pPr>
      <w:r w:rsidRPr="00687919">
        <w:t xml:space="preserve">Für Bäume unter 1.3m Höhe bzw. ohne einen gemessenen Durchmesser wird nicht </w:t>
      </w:r>
      <w:proofErr w:type="spellStart"/>
      <w:r w:rsidRPr="00687919">
        <w:t>kompartimentiert</w:t>
      </w:r>
      <w:proofErr w:type="spellEnd"/>
      <w:r w:rsidRPr="00687919">
        <w:t xml:space="preserve">, da alle Möglichkeiten zur </w:t>
      </w:r>
      <w:r>
        <w:t>K</w:t>
      </w:r>
      <w:r w:rsidRPr="00687919">
        <w:t>ompartimentierung auf dem BHD beruhen</w:t>
      </w:r>
    </w:p>
    <w:p w14:paraId="441991B3" w14:textId="77777777" w:rsidR="004E200E" w:rsidRPr="00687919" w:rsidRDefault="004E200E" w:rsidP="0048515D">
      <w:pPr>
        <w:pStyle w:val="Liste-2"/>
      </w:pPr>
      <w:r w:rsidRPr="00687919">
        <w:t xml:space="preserve">Blattmasse: </w:t>
      </w:r>
    </w:p>
    <w:p w14:paraId="23F769E7" w14:textId="77777777" w:rsidR="004E200E" w:rsidRPr="00687919" w:rsidRDefault="004E200E" w:rsidP="0048515D">
      <w:pPr>
        <w:pStyle w:val="Liste-2"/>
        <w:numPr>
          <w:ilvl w:val="1"/>
          <w:numId w:val="6"/>
        </w:numPr>
      </w:pPr>
      <w:r w:rsidRPr="00687919">
        <w:t xml:space="preserve">Für Nadelbäume mit H &gt; 1.3m und BHD &gt; 0cm wird die Blattmasse mittels </w:t>
      </w:r>
      <w:proofErr w:type="spellStart"/>
      <w:r w:rsidRPr="00687919">
        <w:t>TapeS</w:t>
      </w:r>
      <w:proofErr w:type="spellEnd"/>
      <w:r w:rsidRPr="00687919">
        <w:t xml:space="preserve"> bestimmt (</w:t>
      </w:r>
      <w:proofErr w:type="spellStart"/>
      <w:r w:rsidRPr="00687919">
        <w:t>component</w:t>
      </w:r>
      <w:proofErr w:type="spellEnd"/>
      <w:r w:rsidRPr="00687919">
        <w:t xml:space="preserve"> = „</w:t>
      </w:r>
      <w:proofErr w:type="spellStart"/>
      <w:r w:rsidRPr="00687919">
        <w:t>Ndl</w:t>
      </w:r>
      <w:proofErr w:type="spellEnd"/>
      <w:r w:rsidRPr="00687919">
        <w:t>“)</w:t>
      </w:r>
    </w:p>
    <w:p w14:paraId="65A68FA4" w14:textId="77777777" w:rsidR="004E200E" w:rsidRPr="00687919" w:rsidRDefault="004E200E" w:rsidP="0048515D">
      <w:pPr>
        <w:pStyle w:val="Liste-2"/>
        <w:numPr>
          <w:ilvl w:val="1"/>
          <w:numId w:val="6"/>
        </w:numPr>
      </w:pPr>
      <w:r w:rsidRPr="00687919">
        <w:t xml:space="preserve">Für Laubbäume mit gemessenem BHD (also H &gt; 1.3m und BHD &gt; 0cm) wir die Blattmasse über die unterirdische Biomasse mittels </w:t>
      </w:r>
      <w:proofErr w:type="spellStart"/>
      <w:r w:rsidRPr="00687919">
        <w:t>Poorters</w:t>
      </w:r>
      <w:proofErr w:type="spellEnd"/>
      <w:r w:rsidRPr="00687919">
        <w:t xml:space="preserve"> root-</w:t>
      </w:r>
      <w:proofErr w:type="spellStart"/>
      <w:r w:rsidRPr="00687919">
        <w:t>leaf</w:t>
      </w:r>
      <w:proofErr w:type="spellEnd"/>
      <w:r w:rsidRPr="00687919">
        <w:t>-ratio bestimmt</w:t>
      </w:r>
    </w:p>
    <w:p w14:paraId="41E186C8" w14:textId="6315257C" w:rsidR="004E200E" w:rsidRPr="00687919" w:rsidRDefault="004E200E" w:rsidP="0048515D">
      <w:pPr>
        <w:pStyle w:val="Liste-2"/>
        <w:numPr>
          <w:ilvl w:val="1"/>
          <w:numId w:val="6"/>
        </w:numPr>
      </w:pPr>
      <w:r w:rsidRPr="00687919">
        <w:t xml:space="preserve">Für </w:t>
      </w:r>
      <w:r w:rsidR="00DE651C">
        <w:t>B</w:t>
      </w:r>
      <w:r w:rsidRPr="00687919">
        <w:t>äume auf die diese Bedingungen nicht zutreffen wird die Blattmasse = 0 gesetzt</w:t>
      </w:r>
    </w:p>
    <w:p w14:paraId="03FC7855" w14:textId="77777777" w:rsidR="004E200E" w:rsidRPr="00687919" w:rsidRDefault="004E200E" w:rsidP="0048515D">
      <w:pPr>
        <w:pStyle w:val="Liste-2"/>
      </w:pPr>
      <w:r w:rsidRPr="00687919">
        <w:t xml:space="preserve">Holzige Biomasse: </w:t>
      </w:r>
    </w:p>
    <w:p w14:paraId="07A107E9" w14:textId="77777777" w:rsidR="004E200E" w:rsidRPr="00687919" w:rsidRDefault="004E200E" w:rsidP="0048515D">
      <w:pPr>
        <w:pStyle w:val="Liste-2"/>
        <w:numPr>
          <w:ilvl w:val="1"/>
          <w:numId w:val="6"/>
        </w:numPr>
      </w:pPr>
      <w:r w:rsidRPr="00687919">
        <w:t>Für Nadelbäume mit H &gt; 1.3m und BHD &gt; 0cm wird die mit TapeS berechnete Blattmasse von der durch TapeS berechneten oberirdischen Gesamtbiomasse abgezogen</w:t>
      </w:r>
    </w:p>
    <w:p w14:paraId="62CE6E9A" w14:textId="77777777" w:rsidR="00DE651C" w:rsidRDefault="004E200E" w:rsidP="00DE651C">
      <w:pPr>
        <w:pStyle w:val="Liste-2"/>
        <w:numPr>
          <w:ilvl w:val="1"/>
          <w:numId w:val="6"/>
        </w:numPr>
      </w:pPr>
      <w:r w:rsidRPr="00687919">
        <w:t xml:space="preserve">Für Laubbäume mit H &gt; 1.3m und BHD &gt; 0cm wird die mittels </w:t>
      </w:r>
      <w:proofErr w:type="spellStart"/>
      <w:r w:rsidRPr="00687919">
        <w:t>Poorters</w:t>
      </w:r>
      <w:proofErr w:type="spellEnd"/>
      <w:r w:rsidRPr="00687919">
        <w:t xml:space="preserve"> Root-</w:t>
      </w:r>
      <w:proofErr w:type="spellStart"/>
      <w:r w:rsidRPr="00687919">
        <w:t>leaf</w:t>
      </w:r>
      <w:proofErr w:type="spellEnd"/>
      <w:r w:rsidRPr="00687919">
        <w:t xml:space="preserve">-ratio berechnete Blattmasse von der mittels GHGI bestimmten  </w:t>
      </w:r>
    </w:p>
    <w:p w14:paraId="3E43B1C7" w14:textId="73066C3E" w:rsidR="004E200E" w:rsidRPr="00DE651C" w:rsidRDefault="004E200E" w:rsidP="00DE651C">
      <w:pPr>
        <w:pStyle w:val="Liste-2"/>
        <w:numPr>
          <w:ilvl w:val="1"/>
          <w:numId w:val="6"/>
        </w:numPr>
      </w:pPr>
      <w:r w:rsidRPr="00DE651C">
        <w:rPr>
          <w:rFonts w:asciiTheme="minorHAnsi" w:hAnsiTheme="minorHAnsi" w:cstheme="minorHAnsi"/>
        </w:rPr>
        <w:t xml:space="preserve">Für Laub- und Nadelbäume mit H &lt;= 1.3m und/ oder BHD = 0cm wird die mittels </w:t>
      </w:r>
      <w:r w:rsidR="00DE651C" w:rsidRPr="00DE651C">
        <w:rPr>
          <w:rFonts w:asciiTheme="minorHAnsi" w:hAnsiTheme="minorHAnsi" w:cstheme="minorHAnsi"/>
        </w:rPr>
        <w:t>BWI&amp;THGI</w:t>
      </w:r>
      <w:r w:rsidRPr="00DE651C">
        <w:rPr>
          <w:rFonts w:asciiTheme="minorHAnsi" w:hAnsiTheme="minorHAnsi" w:cstheme="minorHAnsi"/>
        </w:rPr>
        <w:t xml:space="preserve"> </w:t>
      </w:r>
      <w:r w:rsidR="00DE651C">
        <w:rPr>
          <w:rFonts w:asciiTheme="minorHAnsi" w:hAnsiTheme="minorHAnsi" w:cstheme="minorHAnsi"/>
        </w:rPr>
        <w:t xml:space="preserve">Funktionen </w:t>
      </w:r>
      <w:r w:rsidRPr="00DE651C">
        <w:rPr>
          <w:rFonts w:asciiTheme="minorHAnsi" w:hAnsiTheme="minorHAnsi" w:cstheme="minorHAnsi"/>
        </w:rPr>
        <w:t>berechnete Gesamtbiomasse als holzige Biomasse behandelt</w:t>
      </w:r>
    </w:p>
    <w:p w14:paraId="4607F3D0" w14:textId="77777777" w:rsidR="004E200E" w:rsidRPr="00687919" w:rsidRDefault="004E200E" w:rsidP="001D0D18">
      <w:pPr>
        <w:pStyle w:val="berschrift3"/>
        <w:numPr>
          <w:ilvl w:val="2"/>
          <w:numId w:val="9"/>
        </w:numPr>
        <w:rPr>
          <w:rFonts w:asciiTheme="minorHAnsi" w:hAnsiTheme="minorHAnsi" w:cstheme="minorHAnsi"/>
        </w:rPr>
      </w:pPr>
      <w:bookmarkStart w:id="31" w:name="_Toc137711768"/>
      <w:r w:rsidRPr="00687919">
        <w:rPr>
          <w:rFonts w:asciiTheme="minorHAnsi" w:hAnsiTheme="minorHAnsi" w:cstheme="minorHAnsi"/>
        </w:rPr>
        <w:t>Artengruppen Verjüngung</w:t>
      </w:r>
      <w:bookmarkEnd w:id="31"/>
    </w:p>
    <w:p w14:paraId="3A214835" w14:textId="77777777" w:rsidR="004E200E" w:rsidRPr="00E33A6F" w:rsidRDefault="004E200E" w:rsidP="004E200E">
      <w:pPr>
        <w:rPr>
          <w:rFonts w:asciiTheme="minorHAnsi" w:hAnsiTheme="minorHAnsi" w:cstheme="minorHAnsi"/>
        </w:rPr>
      </w:pPr>
      <w:r w:rsidRPr="00E33A6F">
        <w:rPr>
          <w:rFonts w:asciiTheme="minorHAnsi" w:hAnsiTheme="minorHAnsi" w:cstheme="minorHAnsi"/>
        </w:rPr>
        <w:t xml:space="preserve">Verschiedene Arten ließen sich keiner der in </w:t>
      </w:r>
      <w:proofErr w:type="spellStart"/>
      <w:r w:rsidRPr="00E33A6F">
        <w:rPr>
          <w:rFonts w:asciiTheme="minorHAnsi" w:hAnsiTheme="minorHAnsi" w:cstheme="minorHAnsi"/>
        </w:rPr>
        <w:t>x_bart</w:t>
      </w:r>
      <w:proofErr w:type="spellEnd"/>
      <w:r w:rsidRPr="00E33A6F">
        <w:rPr>
          <w:rFonts w:asciiTheme="minorHAnsi" w:hAnsiTheme="minorHAnsi" w:cstheme="minorHAnsi"/>
        </w:rPr>
        <w:t xml:space="preserve"> gelisteten Baumarten oder Artengruppen zuordnen. Dazu zählten u.a. EB, EBS, SHO, SHA, FLB, KD, MKI. Eine nachträgliche Zuordnung wurde wie folgt vorgenommen: (Ausschnitt aus E-Mail mit Julian Gärtner) </w:t>
      </w:r>
    </w:p>
    <w:p w14:paraId="29DBE455" w14:textId="77777777" w:rsidR="004E200E" w:rsidRPr="00E33A6F" w:rsidRDefault="004E200E" w:rsidP="001D0D18">
      <w:pPr>
        <w:pStyle w:val="Listenabsatz"/>
        <w:numPr>
          <w:ilvl w:val="0"/>
          <w:numId w:val="13"/>
        </w:numPr>
        <w:rPr>
          <w:rFonts w:asciiTheme="minorHAnsi" w:hAnsiTheme="minorHAnsi" w:cstheme="minorHAnsi"/>
        </w:rPr>
      </w:pPr>
      <w:r w:rsidRPr="00E33A6F">
        <w:rPr>
          <w:rFonts w:asciiTheme="minorHAnsi" w:hAnsiTheme="minorHAnsi" w:cstheme="minorHAnsi"/>
        </w:rPr>
        <w:t xml:space="preserve">EB und EBS sind Eberesche, </w:t>
      </w:r>
      <w:proofErr w:type="gramStart"/>
      <w:r w:rsidRPr="00E33A6F">
        <w:rPr>
          <w:rFonts w:asciiTheme="minorHAnsi" w:hAnsiTheme="minorHAnsi" w:cstheme="minorHAnsi"/>
        </w:rPr>
        <w:t>hab</w:t>
      </w:r>
      <w:proofErr w:type="gramEnd"/>
      <w:r w:rsidRPr="00E33A6F">
        <w:rPr>
          <w:rFonts w:asciiTheme="minorHAnsi" w:hAnsiTheme="minorHAnsi" w:cstheme="minorHAnsi"/>
        </w:rPr>
        <w:t xml:space="preserve"> ich jetzt in VBE für Vogelbeere geändert</w:t>
      </w:r>
    </w:p>
    <w:p w14:paraId="73D36ADD" w14:textId="77777777" w:rsidR="004E200E" w:rsidRPr="00E33A6F" w:rsidRDefault="004E200E" w:rsidP="001D0D18">
      <w:pPr>
        <w:pStyle w:val="Listenabsatz"/>
        <w:numPr>
          <w:ilvl w:val="0"/>
          <w:numId w:val="13"/>
        </w:numPr>
        <w:rPr>
          <w:rFonts w:asciiTheme="minorHAnsi" w:hAnsiTheme="minorHAnsi" w:cstheme="minorHAnsi"/>
        </w:rPr>
      </w:pPr>
      <w:r w:rsidRPr="00E33A6F">
        <w:rPr>
          <w:rFonts w:asciiTheme="minorHAnsi" w:hAnsiTheme="minorHAnsi" w:cstheme="minorHAnsi"/>
        </w:rPr>
        <w:t>SHO ist Schwarzer Holunder, taucht nicht in der Liste auf, da es kein baumförmiges Gehölz ist. Ich habe die eigentlichen Sträucher dennoch mit aufgenommen, da die in Mooren ja auch durchaus eine gewichtige Rolle spielen können, besonders während der Degradierung/Sukzession. Dafür wird es allerdings wohl eher keine Koeffizienten geben, nehme ich an ;)</w:t>
      </w:r>
    </w:p>
    <w:p w14:paraId="10B7A643" w14:textId="77777777" w:rsidR="004E200E" w:rsidRPr="00E33A6F" w:rsidRDefault="004E200E" w:rsidP="001D0D18">
      <w:pPr>
        <w:pStyle w:val="Listenabsatz"/>
        <w:numPr>
          <w:ilvl w:val="0"/>
          <w:numId w:val="13"/>
        </w:numPr>
        <w:rPr>
          <w:rFonts w:asciiTheme="minorHAnsi" w:hAnsiTheme="minorHAnsi" w:cstheme="minorHAnsi"/>
        </w:rPr>
      </w:pPr>
      <w:r w:rsidRPr="00E33A6F">
        <w:rPr>
          <w:rFonts w:asciiTheme="minorHAnsi" w:hAnsiTheme="minorHAnsi" w:cstheme="minorHAnsi"/>
        </w:rPr>
        <w:lastRenderedPageBreak/>
        <w:t>SHA ist Strauch-Hasel, siehe SHO</w:t>
      </w:r>
    </w:p>
    <w:p w14:paraId="7072031F" w14:textId="77777777" w:rsidR="004E200E" w:rsidRPr="00E33A6F" w:rsidRDefault="004E200E" w:rsidP="001D0D18">
      <w:pPr>
        <w:pStyle w:val="Listenabsatz"/>
        <w:numPr>
          <w:ilvl w:val="0"/>
          <w:numId w:val="13"/>
        </w:numPr>
        <w:rPr>
          <w:rFonts w:asciiTheme="minorHAnsi" w:hAnsiTheme="minorHAnsi" w:cstheme="minorHAnsi"/>
        </w:rPr>
      </w:pPr>
      <w:r w:rsidRPr="00E33A6F">
        <w:rPr>
          <w:rFonts w:asciiTheme="minorHAnsi" w:hAnsiTheme="minorHAnsi" w:cstheme="minorHAnsi"/>
        </w:rPr>
        <w:t>FLB ist Faulbaum, siehe SHO</w:t>
      </w:r>
    </w:p>
    <w:p w14:paraId="60EEB199" w14:textId="77777777" w:rsidR="004E200E" w:rsidRPr="00E33A6F" w:rsidRDefault="004E200E" w:rsidP="001D0D18">
      <w:pPr>
        <w:pStyle w:val="Listenabsatz"/>
        <w:numPr>
          <w:ilvl w:val="0"/>
          <w:numId w:val="13"/>
        </w:numPr>
        <w:rPr>
          <w:rFonts w:asciiTheme="minorHAnsi" w:hAnsiTheme="minorHAnsi" w:cstheme="minorHAnsi"/>
        </w:rPr>
      </w:pPr>
      <w:r w:rsidRPr="00E33A6F">
        <w:rPr>
          <w:rFonts w:asciiTheme="minorHAnsi" w:hAnsiTheme="minorHAnsi" w:cstheme="minorHAnsi"/>
        </w:rPr>
        <w:t xml:space="preserve">was KD sein soll, kann ich mir gerade auch nicht erklären, glaube ich habe mich da verschrieben (?) Ich werde </w:t>
      </w:r>
      <w:proofErr w:type="spellStart"/>
      <w:r w:rsidRPr="00E33A6F">
        <w:rPr>
          <w:rStyle w:val="object"/>
          <w:rFonts w:asciiTheme="minorHAnsi" w:hAnsiTheme="minorHAnsi" w:cstheme="minorHAnsi"/>
        </w:rPr>
        <w:t>heute</w:t>
      </w:r>
      <w:r w:rsidRPr="00E33A6F">
        <w:rPr>
          <w:rFonts w:asciiTheme="minorHAnsi" w:hAnsiTheme="minorHAnsi" w:cstheme="minorHAnsi"/>
        </w:rPr>
        <w:t xml:space="preserve"> nachmittag</w:t>
      </w:r>
      <w:proofErr w:type="spellEnd"/>
      <w:r w:rsidRPr="00E33A6F">
        <w:rPr>
          <w:rFonts w:asciiTheme="minorHAnsi" w:hAnsiTheme="minorHAnsi" w:cstheme="minorHAnsi"/>
        </w:rPr>
        <w:t xml:space="preserve"> im Büro noch mal meine Feldunterlagen checken, um herauszufinden, was es damit auf sich hat</w:t>
      </w:r>
    </w:p>
    <w:p w14:paraId="402025CE" w14:textId="77777777" w:rsidR="004E200E" w:rsidRPr="00E33A6F" w:rsidRDefault="004E200E" w:rsidP="001D0D18">
      <w:pPr>
        <w:pStyle w:val="Listenabsatz"/>
        <w:numPr>
          <w:ilvl w:val="0"/>
          <w:numId w:val="13"/>
        </w:numPr>
        <w:rPr>
          <w:rFonts w:asciiTheme="minorHAnsi" w:hAnsiTheme="minorHAnsi" w:cstheme="minorHAnsi"/>
        </w:rPr>
      </w:pPr>
      <w:r w:rsidRPr="00E33A6F">
        <w:rPr>
          <w:rFonts w:asciiTheme="minorHAnsi" w:hAnsiTheme="minorHAnsi" w:cstheme="minorHAnsi"/>
        </w:rPr>
        <w:t>MKI ist die Moor-Kiefer, habe ich falsch verschlüsselt, gehört zur Berg-Kiefer (BKI)</w:t>
      </w:r>
    </w:p>
    <w:p w14:paraId="2C5726E7" w14:textId="77777777" w:rsidR="004E200E" w:rsidRPr="00687919" w:rsidRDefault="004E200E" w:rsidP="001D0D18">
      <w:pPr>
        <w:pStyle w:val="berschrift3"/>
        <w:numPr>
          <w:ilvl w:val="2"/>
          <w:numId w:val="9"/>
        </w:numPr>
        <w:rPr>
          <w:rFonts w:asciiTheme="minorHAnsi" w:hAnsiTheme="minorHAnsi" w:cstheme="minorHAnsi"/>
        </w:rPr>
      </w:pPr>
      <w:bookmarkStart w:id="32" w:name="_Toc137711769"/>
      <w:r w:rsidRPr="00687919">
        <w:rPr>
          <w:rFonts w:asciiTheme="minorHAnsi" w:hAnsiTheme="minorHAnsi" w:cstheme="minorHAnsi"/>
        </w:rPr>
        <w:t>Verjüngung Stickstoff</w:t>
      </w:r>
      <w:bookmarkEnd w:id="32"/>
    </w:p>
    <w:p w14:paraId="0B13E46E" w14:textId="4436AA41" w:rsidR="004E200E" w:rsidRPr="00687919" w:rsidRDefault="004E200E" w:rsidP="004E200E">
      <w:pPr>
        <w:rPr>
          <w:rFonts w:asciiTheme="minorHAnsi" w:hAnsiTheme="minorHAnsi" w:cstheme="minorHAnsi"/>
        </w:rPr>
      </w:pPr>
      <w:r w:rsidRPr="00687919">
        <w:rPr>
          <w:rFonts w:asciiTheme="minorHAnsi" w:hAnsiTheme="minorHAnsi" w:cstheme="minorHAnsi"/>
        </w:rPr>
        <w:t>Um Einheitlichkeit mit der Berechnung der Stickstoffvorräte im lebenden Bestand und Totholz zu gewährleisten, werden die Stickstoffvo</w:t>
      </w:r>
      <w:r w:rsidR="00F17B66">
        <w:rPr>
          <w:rFonts w:asciiTheme="minorHAnsi" w:hAnsiTheme="minorHAnsi" w:cstheme="minorHAnsi"/>
        </w:rPr>
        <w:t>r</w:t>
      </w:r>
      <w:r w:rsidRPr="00687919">
        <w:rPr>
          <w:rFonts w:asciiTheme="minorHAnsi" w:hAnsiTheme="minorHAnsi" w:cstheme="minorHAnsi"/>
        </w:rPr>
        <w:t xml:space="preserve">räte in der </w:t>
      </w:r>
      <w:r w:rsidR="00F17B66" w:rsidRPr="00687919">
        <w:rPr>
          <w:rFonts w:asciiTheme="minorHAnsi" w:hAnsiTheme="minorHAnsi" w:cstheme="minorHAnsi"/>
        </w:rPr>
        <w:t>Verjüngung</w:t>
      </w:r>
      <w:r w:rsidRPr="00687919">
        <w:rPr>
          <w:rFonts w:asciiTheme="minorHAnsi" w:hAnsiTheme="minorHAnsi" w:cstheme="minorHAnsi"/>
        </w:rPr>
        <w:t xml:space="preserve"> ebenfalls über </w:t>
      </w:r>
      <w:r w:rsidR="00F17B66" w:rsidRPr="00687919">
        <w:rPr>
          <w:rFonts w:asciiTheme="minorHAnsi" w:hAnsiTheme="minorHAnsi" w:cstheme="minorHAnsi"/>
        </w:rPr>
        <w:t>RUMPF</w:t>
      </w:r>
      <w:r w:rsidRPr="00687919">
        <w:rPr>
          <w:rFonts w:asciiTheme="minorHAnsi" w:hAnsiTheme="minorHAnsi" w:cstheme="minorHAnsi"/>
        </w:rPr>
        <w:t xml:space="preserve"> et al. </w:t>
      </w:r>
      <w:r w:rsidR="00F17B66">
        <w:rPr>
          <w:rFonts w:asciiTheme="minorHAnsi" w:hAnsiTheme="minorHAnsi" w:cstheme="minorHAnsi"/>
        </w:rPr>
        <w:t>(</w:t>
      </w:r>
      <w:r w:rsidRPr="00687919">
        <w:rPr>
          <w:rFonts w:asciiTheme="minorHAnsi" w:hAnsiTheme="minorHAnsi" w:cstheme="minorHAnsi"/>
        </w:rPr>
        <w:t>20</w:t>
      </w:r>
      <w:r w:rsidR="00F17B66">
        <w:rPr>
          <w:rFonts w:asciiTheme="minorHAnsi" w:hAnsiTheme="minorHAnsi" w:cstheme="minorHAnsi"/>
        </w:rPr>
        <w:t>1</w:t>
      </w:r>
      <w:r w:rsidRPr="00687919">
        <w:rPr>
          <w:rFonts w:asciiTheme="minorHAnsi" w:hAnsiTheme="minorHAnsi" w:cstheme="minorHAnsi"/>
        </w:rPr>
        <w:t>8</w:t>
      </w:r>
      <w:r w:rsidR="00F17B66">
        <w:rPr>
          <w:rFonts w:asciiTheme="minorHAnsi" w:hAnsiTheme="minorHAnsi" w:cstheme="minorHAnsi"/>
        </w:rPr>
        <w:t>)</w:t>
      </w:r>
      <w:r w:rsidRPr="00687919">
        <w:rPr>
          <w:rFonts w:asciiTheme="minorHAnsi" w:hAnsiTheme="minorHAnsi" w:cstheme="minorHAnsi"/>
        </w:rPr>
        <w:t xml:space="preserve"> berechnet. </w:t>
      </w:r>
    </w:p>
    <w:p w14:paraId="152EFD72" w14:textId="40A6C5B3" w:rsidR="004E200E" w:rsidRPr="00687919" w:rsidRDefault="004E200E" w:rsidP="004E200E">
      <w:pPr>
        <w:rPr>
          <w:rFonts w:asciiTheme="minorHAnsi" w:hAnsiTheme="minorHAnsi" w:cstheme="minorHAnsi"/>
        </w:rPr>
      </w:pPr>
      <w:r w:rsidRPr="00687919">
        <w:rPr>
          <w:rFonts w:asciiTheme="minorHAnsi" w:hAnsiTheme="minorHAnsi" w:cstheme="minorHAnsi"/>
        </w:rPr>
        <w:t>Zu</w:t>
      </w:r>
      <w:r>
        <w:rPr>
          <w:rFonts w:asciiTheme="minorHAnsi" w:hAnsiTheme="minorHAnsi" w:cstheme="minorHAnsi"/>
        </w:rPr>
        <w:t xml:space="preserve">r </w:t>
      </w:r>
      <w:r w:rsidRPr="00687919">
        <w:rPr>
          <w:rFonts w:asciiTheme="minorHAnsi" w:hAnsiTheme="minorHAnsi" w:cstheme="minorHAnsi"/>
        </w:rPr>
        <w:t>Berechnung des Stickstoffvorrats für das Verjüngungskompartiment „holzige Biomasse“ wird der Stickstoffgehalt des Kompartiments „Nichtderbholz“</w:t>
      </w:r>
      <w:r w:rsidR="00F17B66">
        <w:rPr>
          <w:rFonts w:asciiTheme="minorHAnsi" w:hAnsiTheme="minorHAnsi" w:cstheme="minorHAnsi"/>
        </w:rPr>
        <w:t xml:space="preserve"> in</w:t>
      </w:r>
      <w:r w:rsidRPr="00687919">
        <w:rPr>
          <w:rFonts w:asciiTheme="minorHAnsi" w:hAnsiTheme="minorHAnsi" w:cstheme="minorHAnsi"/>
        </w:rPr>
        <w:t xml:space="preserve"> </w:t>
      </w:r>
      <w:r w:rsidR="00F17B66" w:rsidRPr="00687919">
        <w:rPr>
          <w:rFonts w:asciiTheme="minorHAnsi" w:hAnsiTheme="minorHAnsi" w:cstheme="minorHAnsi"/>
        </w:rPr>
        <w:t xml:space="preserve">RUMPF et al. </w:t>
      </w:r>
      <w:r w:rsidR="00F17B66">
        <w:rPr>
          <w:rFonts w:asciiTheme="minorHAnsi" w:hAnsiTheme="minorHAnsi" w:cstheme="minorHAnsi"/>
        </w:rPr>
        <w:t>(</w:t>
      </w:r>
      <w:r w:rsidR="00F17B66" w:rsidRPr="00687919">
        <w:rPr>
          <w:rFonts w:asciiTheme="minorHAnsi" w:hAnsiTheme="minorHAnsi" w:cstheme="minorHAnsi"/>
        </w:rPr>
        <w:t>20</w:t>
      </w:r>
      <w:r w:rsidR="00F17B66">
        <w:rPr>
          <w:rFonts w:asciiTheme="minorHAnsi" w:hAnsiTheme="minorHAnsi" w:cstheme="minorHAnsi"/>
        </w:rPr>
        <w:t>1</w:t>
      </w:r>
      <w:r w:rsidR="00F17B66" w:rsidRPr="00687919">
        <w:rPr>
          <w:rFonts w:asciiTheme="minorHAnsi" w:hAnsiTheme="minorHAnsi" w:cstheme="minorHAnsi"/>
        </w:rPr>
        <w:t>8</w:t>
      </w:r>
      <w:r w:rsidR="00F17B66">
        <w:rPr>
          <w:rFonts w:asciiTheme="minorHAnsi" w:hAnsiTheme="minorHAnsi" w:cstheme="minorHAnsi"/>
        </w:rPr>
        <w:t>)</w:t>
      </w:r>
      <w:r w:rsidR="00F17B66" w:rsidRPr="00687919">
        <w:rPr>
          <w:rFonts w:asciiTheme="minorHAnsi" w:hAnsiTheme="minorHAnsi" w:cstheme="minorHAnsi"/>
        </w:rPr>
        <w:t xml:space="preserve"> </w:t>
      </w:r>
      <w:r w:rsidRPr="00687919">
        <w:rPr>
          <w:rFonts w:asciiTheme="minorHAnsi" w:hAnsiTheme="minorHAnsi" w:cstheme="minorHAnsi"/>
        </w:rPr>
        <w:t xml:space="preserve">verwendet. Die entsprechenden Artengruppen stimmen mit denen des lebenden Altbestandes überein. </w:t>
      </w:r>
    </w:p>
    <w:p w14:paraId="653DB355" w14:textId="7928F761" w:rsidR="004E200E" w:rsidRPr="006E6228" w:rsidRDefault="004E200E" w:rsidP="006E6228">
      <w:pPr>
        <w:rPr>
          <w:rFonts w:asciiTheme="minorHAnsi" w:hAnsiTheme="minorHAnsi" w:cstheme="minorHAnsi"/>
        </w:rPr>
      </w:pPr>
      <w:r w:rsidRPr="00687919">
        <w:rPr>
          <w:rFonts w:asciiTheme="minorHAnsi" w:hAnsiTheme="minorHAnsi" w:cstheme="minorHAnsi"/>
        </w:rPr>
        <w:t xml:space="preserve">Zur </w:t>
      </w:r>
      <w:r>
        <w:rPr>
          <w:rFonts w:asciiTheme="minorHAnsi" w:hAnsiTheme="minorHAnsi" w:cstheme="minorHAnsi"/>
        </w:rPr>
        <w:t>B</w:t>
      </w:r>
      <w:r w:rsidRPr="00687919">
        <w:rPr>
          <w:rFonts w:asciiTheme="minorHAnsi" w:hAnsiTheme="minorHAnsi" w:cstheme="minorHAnsi"/>
        </w:rPr>
        <w:t>erechnung der Stickstoffvor</w:t>
      </w:r>
      <w:r>
        <w:rPr>
          <w:rFonts w:asciiTheme="minorHAnsi" w:hAnsiTheme="minorHAnsi" w:cstheme="minorHAnsi"/>
        </w:rPr>
        <w:t>r</w:t>
      </w:r>
      <w:r w:rsidRPr="00687919">
        <w:rPr>
          <w:rFonts w:asciiTheme="minorHAnsi" w:hAnsiTheme="minorHAnsi" w:cstheme="minorHAnsi"/>
        </w:rPr>
        <w:t>ates des Verjüngungskompartimen</w:t>
      </w:r>
      <w:r>
        <w:rPr>
          <w:rFonts w:asciiTheme="minorHAnsi" w:hAnsiTheme="minorHAnsi" w:cstheme="minorHAnsi"/>
        </w:rPr>
        <w:t>t</w:t>
      </w:r>
      <w:r w:rsidRPr="00687919">
        <w:rPr>
          <w:rFonts w:asciiTheme="minorHAnsi" w:hAnsiTheme="minorHAnsi" w:cstheme="minorHAnsi"/>
        </w:rPr>
        <w:t xml:space="preserve">s „Blatt/Nadelmasse“ wird für Nadelbäume der Stickstoffgenalt des Kompartiments „Nadeln“ aus Rumpf et al. 2018 entnommen. Für die Blattmasse von Laubbäumen </w:t>
      </w:r>
      <w:r w:rsidR="00A208DE">
        <w:rPr>
          <w:rFonts w:asciiTheme="minorHAnsi" w:hAnsiTheme="minorHAnsi" w:cstheme="minorHAnsi"/>
        </w:rPr>
        <w:t xml:space="preserve">werden die mittleren Stickstoffgehalte aus den Blattanalysen am jeweiligen Plot verwendet. </w:t>
      </w:r>
    </w:p>
    <w:p w14:paraId="0B15AB95" w14:textId="77777777" w:rsidR="004E200E" w:rsidRPr="00687919" w:rsidRDefault="004E200E" w:rsidP="001D0D18">
      <w:pPr>
        <w:pStyle w:val="berschrift1"/>
        <w:numPr>
          <w:ilvl w:val="0"/>
          <w:numId w:val="9"/>
        </w:numPr>
        <w:rPr>
          <w:rFonts w:asciiTheme="minorHAnsi" w:hAnsiTheme="minorHAnsi" w:cstheme="minorHAnsi"/>
        </w:rPr>
      </w:pPr>
      <w:r w:rsidRPr="00687919">
        <w:rPr>
          <w:rFonts w:asciiTheme="minorHAnsi" w:hAnsiTheme="minorHAnsi" w:cstheme="minorHAnsi"/>
        </w:rPr>
        <w:t> </w:t>
      </w:r>
      <w:bookmarkStart w:id="33" w:name="_Toc137711777"/>
      <w:r w:rsidRPr="00687919">
        <w:rPr>
          <w:rFonts w:asciiTheme="minorHAnsi" w:hAnsiTheme="minorHAnsi" w:cstheme="minorHAnsi"/>
        </w:rPr>
        <w:t>Ergebnisse</w:t>
      </w:r>
      <w:bookmarkEnd w:id="33"/>
    </w:p>
    <w:p w14:paraId="59643597" w14:textId="77777777" w:rsidR="004E200E" w:rsidRPr="00687919" w:rsidRDefault="004E200E" w:rsidP="001D0D18">
      <w:pPr>
        <w:pStyle w:val="berschrift2"/>
        <w:numPr>
          <w:ilvl w:val="1"/>
          <w:numId w:val="9"/>
        </w:numPr>
        <w:rPr>
          <w:rFonts w:asciiTheme="minorHAnsi" w:hAnsiTheme="minorHAnsi" w:cstheme="minorHAnsi"/>
        </w:rPr>
      </w:pPr>
      <w:bookmarkStart w:id="34" w:name="_Toc137711778"/>
      <w:r w:rsidRPr="00687919">
        <w:rPr>
          <w:rFonts w:asciiTheme="minorHAnsi" w:hAnsiTheme="minorHAnsi" w:cstheme="minorHAnsi"/>
        </w:rPr>
        <w:t xml:space="preserve">Mögliche </w:t>
      </w:r>
      <w:proofErr w:type="spellStart"/>
      <w:r w:rsidRPr="00687919">
        <w:rPr>
          <w:rFonts w:asciiTheme="minorHAnsi" w:hAnsiTheme="minorHAnsi" w:cstheme="minorHAnsi"/>
        </w:rPr>
        <w:t>Ergebisstabellen</w:t>
      </w:r>
      <w:bookmarkEnd w:id="34"/>
      <w:proofErr w:type="spellEnd"/>
    </w:p>
    <w:p w14:paraId="7468C01D" w14:textId="77777777" w:rsidR="004E200E" w:rsidRPr="00687919" w:rsidRDefault="004E200E" w:rsidP="004E200E">
      <w:pPr>
        <w:rPr>
          <w:rFonts w:asciiTheme="minorHAnsi" w:hAnsiTheme="minorHAnsi" w:cstheme="minorHAnsi"/>
        </w:rPr>
      </w:pPr>
      <w:r w:rsidRPr="00687919">
        <w:rPr>
          <w:rFonts w:asciiTheme="minorHAnsi" w:hAnsiTheme="minorHAnsi" w:cstheme="minorHAnsi"/>
        </w:rPr>
        <w:t>Siehe Excel beispiel_ergebnisstabellen_momok_bestandesauswertung.csv</w:t>
      </w:r>
    </w:p>
    <w:p w14:paraId="719F05B4" w14:textId="77777777" w:rsidR="004E200E" w:rsidRPr="00687919" w:rsidRDefault="004E200E" w:rsidP="004E200E">
      <w:pPr>
        <w:rPr>
          <w:rFonts w:asciiTheme="minorHAnsi" w:hAnsiTheme="minorHAnsi" w:cstheme="minorHAnsi"/>
        </w:rPr>
      </w:pPr>
      <w:r w:rsidRPr="00687919">
        <w:rPr>
          <w:rFonts w:asciiTheme="minorHAnsi" w:hAnsiTheme="minorHAnsi" w:cstheme="minorHAnsi"/>
        </w:rPr>
        <w:t>O:\a7bze\ZZ_BZE3_Bestand_Auswertung</w:t>
      </w:r>
    </w:p>
    <w:p w14:paraId="7CAABD41" w14:textId="775FDA25" w:rsidR="004E200E" w:rsidRDefault="004E200E" w:rsidP="004E200E">
      <w:pPr>
        <w:pStyle w:val="berschrift1"/>
        <w:numPr>
          <w:ilvl w:val="0"/>
          <w:numId w:val="1"/>
        </w:numPr>
        <w:rPr>
          <w:rFonts w:asciiTheme="minorHAnsi" w:hAnsiTheme="minorHAnsi" w:cstheme="minorHAnsi"/>
        </w:rPr>
      </w:pPr>
      <w:bookmarkStart w:id="35" w:name="_Toc137711779"/>
      <w:proofErr w:type="spellStart"/>
      <w:r w:rsidRPr="00E33A6F">
        <w:rPr>
          <w:rFonts w:asciiTheme="minorHAnsi" w:hAnsiTheme="minorHAnsi" w:cstheme="minorHAnsi"/>
        </w:rPr>
        <w:t>Plausibilitätprüfung</w:t>
      </w:r>
      <w:bookmarkEnd w:id="35"/>
      <w:proofErr w:type="spellEnd"/>
    </w:p>
    <w:p w14:paraId="64797A3A" w14:textId="77777777" w:rsidR="00312AAF" w:rsidRDefault="00EF1B11" w:rsidP="00EF1B11">
      <w:r>
        <w:t xml:space="preserve">Um die Qualität und Aussagekraft der </w:t>
      </w:r>
      <w:proofErr w:type="spellStart"/>
      <w:r>
        <w:t>Ergbenisse</w:t>
      </w:r>
      <w:proofErr w:type="spellEnd"/>
      <w:r>
        <w:t xml:space="preserve"> zu gewährleisten, wird die </w:t>
      </w:r>
      <w:proofErr w:type="spellStart"/>
      <w:r>
        <w:t>Plausibilitä</w:t>
      </w:r>
      <w:r w:rsidR="00312AAF">
        <w:t>te</w:t>
      </w:r>
      <w:proofErr w:type="spellEnd"/>
      <w:r>
        <w:t xml:space="preserve"> der Biomassen</w:t>
      </w:r>
      <w:r w:rsidR="00312AAF">
        <w:t xml:space="preserve"> </w:t>
      </w:r>
      <w:proofErr w:type="spellStart"/>
      <w:r w:rsidR="00312AAF">
        <w:t>bzw</w:t>
      </w:r>
      <w:proofErr w:type="spellEnd"/>
      <w:r w:rsidR="00312AAF">
        <w:t>- Volumen</w:t>
      </w:r>
      <w:r>
        <w:t>vorräte</w:t>
      </w:r>
      <w:r w:rsidR="00312AAF">
        <w:t xml:space="preserve"> mit vergleichbaren Datensätzen verglichen. Es ist davon auszugehen, dass sofern die Biomasse korrekt </w:t>
      </w:r>
      <w:proofErr w:type="spellStart"/>
      <w:r w:rsidR="00312AAF">
        <w:t>geschätz</w:t>
      </w:r>
      <w:proofErr w:type="spellEnd"/>
      <w:r w:rsidR="00312AAF">
        <w:t xml:space="preserve"> wurde, auch die daraus hervorgehenden Ergebnisse (e.g. Kohlenstoffvorrat, Stickstoffvorrat) plausibel sind. </w:t>
      </w:r>
    </w:p>
    <w:p w14:paraId="3340A777" w14:textId="37558AFF" w:rsidR="00EF1B11" w:rsidRPr="00EF1B11" w:rsidRDefault="00312AAF" w:rsidP="00EF1B11">
      <w:r>
        <w:t xml:space="preserve">Bei der </w:t>
      </w:r>
      <w:proofErr w:type="spellStart"/>
      <w:r>
        <w:t>Plaubilitätsprüfung</w:t>
      </w:r>
      <w:proofErr w:type="spellEnd"/>
      <w:r>
        <w:t xml:space="preserve"> wird es darum gehen (1) mögliche Fehlerquellen vor der </w:t>
      </w:r>
      <w:proofErr w:type="spellStart"/>
      <w:r>
        <w:t>Biomassenebrechnung</w:t>
      </w:r>
      <w:proofErr w:type="spellEnd"/>
      <w:r>
        <w:t xml:space="preserve"> auf Korrektheit zu überprüfen, (2) verbleibende Abweichungen zu identifizieren und (3) zu überprüfen ob diese in einem erklärten Maß liegen. </w:t>
      </w:r>
    </w:p>
    <w:p w14:paraId="41F515A0" w14:textId="7EDC5834" w:rsidR="004E200E" w:rsidRDefault="004E200E" w:rsidP="0095187A">
      <w:pPr>
        <w:pStyle w:val="berschrift2"/>
        <w:numPr>
          <w:ilvl w:val="1"/>
          <w:numId w:val="9"/>
        </w:numPr>
        <w:rPr>
          <w:rFonts w:asciiTheme="minorHAnsi" w:hAnsiTheme="minorHAnsi" w:cstheme="minorHAnsi"/>
        </w:rPr>
      </w:pPr>
      <w:bookmarkStart w:id="36" w:name="_Toc137711780"/>
      <w:r>
        <w:rPr>
          <w:rFonts w:asciiTheme="minorHAnsi" w:hAnsiTheme="minorHAnsi" w:cstheme="minorHAnsi"/>
        </w:rPr>
        <w:t>Lebender Bestand</w:t>
      </w:r>
      <w:bookmarkEnd w:id="36"/>
    </w:p>
    <w:p w14:paraId="79AAB352" w14:textId="6F38844B" w:rsidR="004E200E" w:rsidRDefault="004E200E" w:rsidP="001D0D18">
      <w:pPr>
        <w:pStyle w:val="berschrift3"/>
        <w:numPr>
          <w:ilvl w:val="2"/>
          <w:numId w:val="9"/>
        </w:numPr>
        <w:rPr>
          <w:rFonts w:asciiTheme="minorHAnsi" w:hAnsiTheme="minorHAnsi" w:cstheme="minorHAnsi"/>
        </w:rPr>
      </w:pPr>
      <w:bookmarkStart w:id="37" w:name="_Toc137711782"/>
      <w:r>
        <w:rPr>
          <w:rFonts w:asciiTheme="minorHAnsi" w:hAnsiTheme="minorHAnsi" w:cstheme="minorHAnsi"/>
        </w:rPr>
        <w:t>Vergleichsdaten</w:t>
      </w:r>
      <w:bookmarkEnd w:id="37"/>
    </w:p>
    <w:p w14:paraId="24AE52CB" w14:textId="77777777" w:rsidR="004E200E" w:rsidRDefault="007833DD" w:rsidP="001D0D18">
      <w:pPr>
        <w:pStyle w:val="Listenabsatz"/>
        <w:numPr>
          <w:ilvl w:val="0"/>
          <w:numId w:val="13"/>
        </w:numPr>
        <w:rPr>
          <w:rFonts w:asciiTheme="minorHAnsi" w:hAnsiTheme="minorHAnsi" w:cstheme="minorHAnsi"/>
        </w:rPr>
      </w:pPr>
      <w:hyperlink r:id="rId37" w:history="1">
        <w:r w:rsidR="004E200E">
          <w:rPr>
            <w:rStyle w:val="Hyperlink"/>
            <w:rFonts w:asciiTheme="minorHAnsi" w:hAnsiTheme="minorHAnsi" w:cstheme="minorHAnsi"/>
          </w:rPr>
          <w:t>https://bg.copernicus.org/articles/17/1621/2020/</w:t>
        </w:r>
      </w:hyperlink>
    </w:p>
    <w:p w14:paraId="4EAAEEEA" w14:textId="77777777" w:rsidR="004E200E" w:rsidRDefault="007833DD" w:rsidP="001D0D18">
      <w:pPr>
        <w:pStyle w:val="Listenabsatz"/>
        <w:numPr>
          <w:ilvl w:val="0"/>
          <w:numId w:val="13"/>
        </w:numPr>
        <w:rPr>
          <w:rFonts w:asciiTheme="minorHAnsi" w:hAnsiTheme="minorHAnsi" w:cstheme="minorHAnsi"/>
        </w:rPr>
      </w:pPr>
      <w:hyperlink r:id="rId38" w:history="1">
        <w:r w:rsidR="004E200E">
          <w:rPr>
            <w:rStyle w:val="Hyperlink"/>
            <w:rFonts w:asciiTheme="minorHAnsi" w:hAnsiTheme="minorHAnsi" w:cstheme="minorHAnsi"/>
          </w:rPr>
          <w:t>https://onlinelibrary.wiley.com/doi/10.1111/gcb.12552</w:t>
        </w:r>
      </w:hyperlink>
    </w:p>
    <w:p w14:paraId="0E9C778E" w14:textId="77777777" w:rsidR="004E200E" w:rsidRDefault="007833DD" w:rsidP="001D0D18">
      <w:pPr>
        <w:pStyle w:val="Listenabsatz"/>
        <w:numPr>
          <w:ilvl w:val="0"/>
          <w:numId w:val="13"/>
        </w:numPr>
        <w:rPr>
          <w:rFonts w:asciiTheme="minorHAnsi" w:hAnsiTheme="minorHAnsi" w:cstheme="minorHAnsi"/>
        </w:rPr>
      </w:pPr>
      <w:hyperlink r:id="rId39" w:history="1">
        <w:r w:rsidR="004E200E">
          <w:rPr>
            <w:rStyle w:val="Hyperlink"/>
            <w:rFonts w:asciiTheme="minorHAnsi" w:hAnsiTheme="minorHAnsi" w:cstheme="minorHAnsi"/>
          </w:rPr>
          <w:t>https://www.sciencedirect.com/science/article/pii/S0378112716302870</w:t>
        </w:r>
      </w:hyperlink>
    </w:p>
    <w:p w14:paraId="4ECCE7F4" w14:textId="3642D254" w:rsidR="005B560A" w:rsidRDefault="005B560A" w:rsidP="001D0D18">
      <w:pPr>
        <w:pStyle w:val="berschrift3"/>
        <w:numPr>
          <w:ilvl w:val="2"/>
          <w:numId w:val="9"/>
        </w:numPr>
      </w:pPr>
      <w:bookmarkStart w:id="38" w:name="_Toc137711783"/>
      <w:r>
        <w:lastRenderedPageBreak/>
        <w:t>Biomasse Vergleich lebender Bestand</w:t>
      </w:r>
    </w:p>
    <w:p w14:paraId="23128CE8" w14:textId="5AB87BB5" w:rsidR="002C7DC5" w:rsidRDefault="006847D8" w:rsidP="006847D8">
      <w:r>
        <w:t xml:space="preserve">Der Biomassenvergleich zwischen </w:t>
      </w:r>
      <w:proofErr w:type="spellStart"/>
      <w:r>
        <w:t>MoMoK</w:t>
      </w:r>
      <w:proofErr w:type="spellEnd"/>
      <w:r>
        <w:t xml:space="preserve"> und der BWI erfolgte gruppiert nach Baumartengruppen der BWI, jedoch nicht nach Altersklassen getrennt</w:t>
      </w:r>
      <w:r w:rsidR="002C7DC5">
        <w:t xml:space="preserve">. </w:t>
      </w:r>
    </w:p>
    <w:p w14:paraId="5A32E298" w14:textId="520A2653" w:rsidR="002C7DC5" w:rsidRDefault="002C7DC5" w:rsidP="002C7DC5">
      <w:r>
        <w:t xml:space="preserve">Um den unterschiedlichen Mischprozenten der Arten pro Plot gerecht zu werden wurde der Vergleich entweder durchgeführt indem (1) der gesamte Biomassenvorrat in t/ha unter der BWI Artengruppe der Hauptbaumart des Plots zusammengefasst wurde oder (2) der Biomassenvorrat in t/ha in sogenannte „Vergleichsreinbestände“ über das Grundflächenmischprozent der jeweiligen Artengruppe zusammengefasst wurde. </w:t>
      </w:r>
    </w:p>
    <w:p w14:paraId="3723FA37" w14:textId="77777777" w:rsidR="0095187A" w:rsidRDefault="0095187A" w:rsidP="0095187A">
      <w:r>
        <w:t xml:space="preserve">Die Abweichungen zwischen der Biomasse zwischen dem Biomassevorrat der BWI und </w:t>
      </w:r>
      <w:proofErr w:type="spellStart"/>
      <w:r>
        <w:t>MoMoK</w:t>
      </w:r>
      <w:proofErr w:type="spellEnd"/>
      <w:r>
        <w:t xml:space="preserve"> Flächen kann verschiedenen Gründe haben. Mögliche Erklärungen für die Abweichungen sind: </w:t>
      </w:r>
    </w:p>
    <w:p w14:paraId="7A42EE03" w14:textId="77777777" w:rsidR="0095187A" w:rsidRDefault="0095187A" w:rsidP="0095187A">
      <w:pPr>
        <w:pStyle w:val="Liste-2"/>
      </w:pPr>
      <w:r>
        <w:t xml:space="preserve">Ungenauigkeiten durch das zusammenfassen in Artengruppen, da die Parameter die Wuchsverhältnisse der in </w:t>
      </w:r>
      <w:proofErr w:type="spellStart"/>
      <w:r>
        <w:t>MoMoK</w:t>
      </w:r>
      <w:proofErr w:type="spellEnd"/>
      <w:r>
        <w:t xml:space="preserve"> vertretenen Arten nicht adäquat wiederspiegeln</w:t>
      </w:r>
    </w:p>
    <w:p w14:paraId="74B1E7B7" w14:textId="0793BDB4" w:rsidR="0095187A" w:rsidRDefault="0095187A" w:rsidP="0095187A">
      <w:pPr>
        <w:pStyle w:val="Liste-2"/>
      </w:pPr>
      <w:r>
        <w:t xml:space="preserve">Unterschiede in der Biomassenberechnung zwischen BWI3 (mittels BWI &amp; TGHI Funktionen) und </w:t>
      </w:r>
      <w:proofErr w:type="spellStart"/>
      <w:r>
        <w:t>MoMoK</w:t>
      </w:r>
      <w:proofErr w:type="spellEnd"/>
      <w:r>
        <w:t xml:space="preserve"> (mittels </w:t>
      </w:r>
      <w:proofErr w:type="spellStart"/>
      <w:r>
        <w:t>TapeS</w:t>
      </w:r>
      <w:proofErr w:type="spellEnd"/>
      <w:r>
        <w:t>)</w:t>
      </w:r>
    </w:p>
    <w:p w14:paraId="49E1509F" w14:textId="6B07F059" w:rsidR="0095187A" w:rsidRDefault="0095187A" w:rsidP="0095187A">
      <w:pPr>
        <w:pStyle w:val="Liste-2"/>
      </w:pPr>
      <w:r>
        <w:t xml:space="preserve">Fehler oder </w:t>
      </w:r>
      <w:r w:rsidR="00CA66CF">
        <w:t>Ungenauigkeiten</w:t>
      </w:r>
      <w:r>
        <w:t xml:space="preserve"> welche sich durch das Schätzen fehlender Höhen </w:t>
      </w:r>
      <w:r w:rsidR="00CA66CF">
        <w:t xml:space="preserve">insbesondere durch eigene Modelle </w:t>
      </w:r>
      <w:r>
        <w:t>ergeben</w:t>
      </w:r>
    </w:p>
    <w:p w14:paraId="681356C8" w14:textId="77777777" w:rsidR="0095187A" w:rsidRDefault="0095187A" w:rsidP="0095187A">
      <w:pPr>
        <w:pStyle w:val="Liste-2"/>
      </w:pPr>
      <w:r>
        <w:t xml:space="preserve">Unterschiede die sich aus dem besonderen Wachstums- und Strukturdynamiken von Moorwäldern ergeben: </w:t>
      </w:r>
    </w:p>
    <w:p w14:paraId="48F527DF" w14:textId="77777777" w:rsidR="0095187A" w:rsidRDefault="0095187A" w:rsidP="0095187A">
      <w:pPr>
        <w:pStyle w:val="Liste-2"/>
        <w:numPr>
          <w:ilvl w:val="1"/>
          <w:numId w:val="6"/>
        </w:numPr>
      </w:pPr>
      <w:r>
        <w:t>E.g. durch Abweichungen in der Stammzahl pro Hektar</w:t>
      </w:r>
    </w:p>
    <w:p w14:paraId="00078177" w14:textId="77777777" w:rsidR="0095187A" w:rsidRDefault="0095187A" w:rsidP="0095187A">
      <w:pPr>
        <w:pStyle w:val="Liste-2"/>
        <w:numPr>
          <w:ilvl w:val="1"/>
          <w:numId w:val="6"/>
        </w:numPr>
      </w:pPr>
      <w:r>
        <w:t>Abweichungen der Grundfläche pro Hektar</w:t>
      </w:r>
    </w:p>
    <w:p w14:paraId="3AFE517A" w14:textId="77777777" w:rsidR="0095187A" w:rsidRDefault="0095187A" w:rsidP="0095187A">
      <w:pPr>
        <w:pStyle w:val="Liste-2"/>
        <w:numPr>
          <w:ilvl w:val="1"/>
          <w:numId w:val="6"/>
        </w:numPr>
      </w:pPr>
      <w:r>
        <w:t>Verringerte Wachstumsraten</w:t>
      </w:r>
    </w:p>
    <w:p w14:paraId="35BD34A1" w14:textId="6771D812" w:rsidR="00CA66CF" w:rsidRDefault="0095187A" w:rsidP="00CA66CF">
      <w:pPr>
        <w:pStyle w:val="Liste-2"/>
        <w:numPr>
          <w:ilvl w:val="1"/>
          <w:numId w:val="6"/>
        </w:numPr>
      </w:pPr>
      <w:r>
        <w:t>Höhere Akkumulation von Biomasse in Totholz</w:t>
      </w:r>
      <w:r w:rsidR="00CA66CF">
        <w:t>:</w:t>
      </w:r>
      <w:r w:rsidR="00CA66CF" w:rsidRPr="00CA66CF">
        <w:t xml:space="preserve"> </w:t>
      </w:r>
      <w:r w:rsidR="00CA66CF">
        <w:t>Ein Großteil des Kohlenstoffes könnte nicht in der Oberirdischen Biomasse des lebenden Bestands gespeichert sein, sondern im Boden/ Torf und der Toten Biomasse</w:t>
      </w:r>
    </w:p>
    <w:p w14:paraId="3698D496" w14:textId="486A09CF" w:rsidR="00CA66CF" w:rsidRDefault="00CA66CF" w:rsidP="006C19F8">
      <w:pPr>
        <w:pStyle w:val="Liste-2"/>
        <w:numPr>
          <w:ilvl w:val="2"/>
          <w:numId w:val="6"/>
        </w:numPr>
      </w:pPr>
      <w:r>
        <w:t xml:space="preserve">Dies kann durch einen Vergleich des Totholzvorrates in </w:t>
      </w:r>
      <w:proofErr w:type="spellStart"/>
      <w:r>
        <w:t>MoMok</w:t>
      </w:r>
      <w:proofErr w:type="spellEnd"/>
      <w:r>
        <w:t xml:space="preserve"> und der BWI verglichen werden</w:t>
      </w:r>
      <w:r w:rsidR="006C19F8">
        <w:tab/>
      </w:r>
    </w:p>
    <w:p w14:paraId="6A6D0EA0" w14:textId="77777777" w:rsidR="0095187A" w:rsidRDefault="0095187A" w:rsidP="002C7DC5"/>
    <w:p w14:paraId="5F4B3FB5" w14:textId="00963A24" w:rsidR="00B53B85" w:rsidRDefault="00B53B85" w:rsidP="00B53B85">
      <w:pPr>
        <w:pStyle w:val="berschrift4"/>
        <w:numPr>
          <w:ilvl w:val="3"/>
          <w:numId w:val="1"/>
        </w:numPr>
      </w:pPr>
      <w:r>
        <w:t xml:space="preserve">Fehler durch Höhenschätzung </w:t>
      </w:r>
    </w:p>
    <w:p w14:paraId="07D282AD" w14:textId="77777777" w:rsidR="00B53B85" w:rsidRDefault="00B53B85" w:rsidP="00B53B85">
      <w:r>
        <w:t xml:space="preserve">Da die Schätzung der Höhe zu den möglichen Fehlerquellen in der Biomassenberechnung zählt, wird die Plausibilität durch den Vergleich mit anderen Möglichkeiten der Höhenschätzung verglichen. Die Vergleichsmöglichkeiten waren: </w:t>
      </w:r>
    </w:p>
    <w:p w14:paraId="31EBE9AF" w14:textId="77777777" w:rsidR="00B53B85" w:rsidRDefault="00B53B85" w:rsidP="00B53B85">
      <w:pPr>
        <w:pStyle w:val="Liste-2"/>
      </w:pPr>
      <w:r>
        <w:t xml:space="preserve">Höhenschätzung vollständig über </w:t>
      </w:r>
      <w:proofErr w:type="spellStart"/>
      <w:r>
        <w:t>TapeS</w:t>
      </w:r>
      <w:proofErr w:type="spellEnd"/>
      <w:r>
        <w:t xml:space="preserve"> geschätzte Höhen</w:t>
      </w:r>
    </w:p>
    <w:p w14:paraId="4270B950" w14:textId="77777777" w:rsidR="00B53B85" w:rsidRDefault="00B53B85" w:rsidP="00B53B85">
      <w:pPr>
        <w:pStyle w:val="Liste-2"/>
      </w:pPr>
      <w:r>
        <w:t xml:space="preserve">Höhenschätzung mit Kombination ausgemessenen und mittels </w:t>
      </w:r>
      <w:proofErr w:type="spellStart"/>
      <w:r>
        <w:t>TapeS</w:t>
      </w:r>
      <w:proofErr w:type="spellEnd"/>
      <w:r>
        <w:t xml:space="preserve"> ermittelten Höhen</w:t>
      </w:r>
    </w:p>
    <w:p w14:paraId="79820AA0" w14:textId="77777777" w:rsidR="00B53B85" w:rsidRDefault="00B53B85" w:rsidP="00B53B85">
      <w:pPr>
        <w:pStyle w:val="Liste-2"/>
      </w:pPr>
      <w:r>
        <w:t>Höhenschätzung über Kombination aus gemessenen Höhen und über Sloboda, Curtis und selbst-gefitteten Modellen geschätzten Höhen</w:t>
      </w:r>
    </w:p>
    <w:p w14:paraId="0CDE90CB" w14:textId="77777777" w:rsidR="00B53B85" w:rsidRDefault="00B53B85" w:rsidP="00B53B85">
      <w:pPr>
        <w:pStyle w:val="Liste-2"/>
        <w:numPr>
          <w:ilvl w:val="0"/>
          <w:numId w:val="0"/>
        </w:numPr>
      </w:pPr>
      <w:r>
        <w:t xml:space="preserve">So lassen sich (1) Unterschiede zwischen den Höhenmodellen feststellen und (2) Unterschiede zwischen Schätzungen und Messungen identifizieren, welche eventuell </w:t>
      </w:r>
      <w:proofErr w:type="spellStart"/>
      <w:r>
        <w:t>uskunft</w:t>
      </w:r>
      <w:proofErr w:type="spellEnd"/>
      <w:r>
        <w:t xml:space="preserve"> über die Güte der Höhenmessungen geben können.  </w:t>
      </w:r>
    </w:p>
    <w:p w14:paraId="5165682E" w14:textId="77777777" w:rsidR="00B53B85" w:rsidRPr="00EF1B11" w:rsidRDefault="00B53B85" w:rsidP="00B53B85">
      <w:r>
        <w:t xml:space="preserve">Zunächst erfolgte der Vergleich über den HD-Wert welcher das Verhältnis zwischen Durchmesser und Höhe des Einzelbaumes beschreibt. Jedoch ist es schwierig Grenzwerte für dieses Verhältnis festzulegen, da das </w:t>
      </w:r>
      <w:proofErr w:type="spellStart"/>
      <w:r>
        <w:t>Verhältniss</w:t>
      </w:r>
      <w:proofErr w:type="spellEnd"/>
      <w:r>
        <w:t xml:space="preserve"> zwischen Höhe und Durchmesser stark von dem Entwicklungsstadium des Baumes abhängt. Vorläufig wurden folgende Grenzen für festgelegt, wobei nur Bäume des Hauptbestandes betrachtet wurden. </w:t>
      </w:r>
    </w:p>
    <w:p w14:paraId="3A5A7B89" w14:textId="77777777" w:rsidR="00B53B85" w:rsidRDefault="00B53B85" w:rsidP="00B53B85">
      <w:pPr>
        <w:pStyle w:val="Liste-2"/>
      </w:pPr>
      <w:proofErr w:type="spellStart"/>
      <w:r>
        <w:t>HD_Warnung</w:t>
      </w:r>
      <w:proofErr w:type="spellEnd"/>
      <w:r>
        <w:t xml:space="preserve"> 5,0-65 und 85-139,9</w:t>
      </w:r>
    </w:p>
    <w:p w14:paraId="3C4213E8" w14:textId="77777777" w:rsidR="00B53B85" w:rsidRDefault="00B53B85" w:rsidP="00B53B85">
      <w:pPr>
        <w:pStyle w:val="Liste-2"/>
      </w:pPr>
      <w:proofErr w:type="spellStart"/>
      <w:r>
        <w:lastRenderedPageBreak/>
        <w:t>HD_Fehler</w:t>
      </w:r>
      <w:proofErr w:type="spellEnd"/>
      <w:r>
        <w:t>: 0-4,9 und &gt;140,0</w:t>
      </w:r>
    </w:p>
    <w:p w14:paraId="4E027CA7" w14:textId="77777777" w:rsidR="00B53B85" w:rsidRDefault="00B53B85" w:rsidP="00B53B85">
      <w:pPr>
        <w:suppressAutoHyphens w:val="0"/>
        <w:spacing w:before="0" w:line="240" w:lineRule="auto"/>
        <w:jc w:val="left"/>
        <w:rPr>
          <w:rFonts w:asciiTheme="minorHAnsi" w:hAnsiTheme="minorHAnsi" w:cstheme="minorHAnsi"/>
          <w:color w:val="000000"/>
          <w:sz w:val="22"/>
          <w:szCs w:val="22"/>
        </w:rPr>
      </w:pPr>
      <w:r>
        <w:rPr>
          <w:rFonts w:asciiTheme="minorHAnsi" w:hAnsiTheme="minorHAnsi" w:cstheme="minorHAnsi"/>
          <w:color w:val="000000"/>
          <w:sz w:val="22"/>
          <w:szCs w:val="22"/>
          <w:highlight w:val="yellow"/>
        </w:rPr>
        <w:t xml:space="preserve">Die Entscheidung für die zuvor genannten HD Warn- bzw. Fehler-Grenzen sind Schätzungen deren Eignung noch überprüft werden muss. </w:t>
      </w:r>
    </w:p>
    <w:p w14:paraId="5074F68C" w14:textId="77777777" w:rsidR="00B53B85" w:rsidRDefault="00B53B85" w:rsidP="00B53B85">
      <w:pPr>
        <w:suppressAutoHyphens w:val="0"/>
        <w:spacing w:before="0" w:line="240" w:lineRule="auto"/>
        <w:jc w:val="left"/>
        <w:rPr>
          <w:rFonts w:asciiTheme="minorHAnsi" w:hAnsiTheme="minorHAnsi" w:cstheme="minorHAnsi"/>
          <w:color w:val="000000"/>
          <w:sz w:val="22"/>
          <w:szCs w:val="22"/>
        </w:rPr>
      </w:pPr>
    </w:p>
    <w:p w14:paraId="32233792" w14:textId="77777777" w:rsidR="00B53B85" w:rsidRDefault="00B53B85" w:rsidP="00B53B85">
      <w:r>
        <w:t>Vergleicht man die HD Warnungen und Fehler unter den beiden Methoden der Höhenschätzung zeigt sich, dass:</w:t>
      </w:r>
    </w:p>
    <w:tbl>
      <w:tblPr>
        <w:tblStyle w:val="Tabellenraster"/>
        <w:tblW w:w="9489" w:type="dxa"/>
        <w:tblLook w:val="04A0" w:firstRow="1" w:lastRow="0" w:firstColumn="1" w:lastColumn="0" w:noHBand="0" w:noVBand="1"/>
      </w:tblPr>
      <w:tblGrid>
        <w:gridCol w:w="2547"/>
        <w:gridCol w:w="1352"/>
        <w:gridCol w:w="2053"/>
        <w:gridCol w:w="1686"/>
        <w:gridCol w:w="1851"/>
      </w:tblGrid>
      <w:tr w:rsidR="00B53B85" w14:paraId="692AAE0F" w14:textId="77777777" w:rsidTr="00891CB5">
        <w:trPr>
          <w:trHeight w:val="205"/>
        </w:trPr>
        <w:tc>
          <w:tcPr>
            <w:tcW w:w="2547" w:type="dxa"/>
          </w:tcPr>
          <w:p w14:paraId="0C17A64C" w14:textId="77777777" w:rsidR="00B53B85" w:rsidRDefault="00B53B85" w:rsidP="00891CB5">
            <w:pPr>
              <w:pStyle w:val="Tabellentext"/>
            </w:pPr>
            <w:r>
              <w:t>Methode</w:t>
            </w:r>
          </w:p>
        </w:tc>
        <w:tc>
          <w:tcPr>
            <w:tcW w:w="1352" w:type="dxa"/>
          </w:tcPr>
          <w:p w14:paraId="02536550" w14:textId="77777777" w:rsidR="00B53B85" w:rsidRDefault="00B53B85" w:rsidP="00891CB5">
            <w:pPr>
              <w:pStyle w:val="Tabellentext"/>
            </w:pPr>
            <w:proofErr w:type="spellStart"/>
            <w:r>
              <w:t>Gesammtzahl</w:t>
            </w:r>
            <w:proofErr w:type="spellEnd"/>
          </w:p>
        </w:tc>
        <w:tc>
          <w:tcPr>
            <w:tcW w:w="2053" w:type="dxa"/>
          </w:tcPr>
          <w:p w14:paraId="54626E46" w14:textId="77777777" w:rsidR="00B53B85" w:rsidRDefault="00B53B85" w:rsidP="00891CB5">
            <w:pPr>
              <w:pStyle w:val="Tabellentext"/>
            </w:pPr>
            <w:r>
              <w:t>Warnungen</w:t>
            </w:r>
          </w:p>
        </w:tc>
        <w:tc>
          <w:tcPr>
            <w:tcW w:w="1686" w:type="dxa"/>
          </w:tcPr>
          <w:p w14:paraId="5F2D66D2" w14:textId="77777777" w:rsidR="00B53B85" w:rsidRDefault="00B53B85" w:rsidP="00891CB5">
            <w:pPr>
              <w:pStyle w:val="Tabellentext"/>
            </w:pPr>
            <w:r>
              <w:t>Fehler</w:t>
            </w:r>
          </w:p>
        </w:tc>
        <w:tc>
          <w:tcPr>
            <w:tcW w:w="1851" w:type="dxa"/>
          </w:tcPr>
          <w:p w14:paraId="6BCE6CA4" w14:textId="77777777" w:rsidR="00B53B85" w:rsidRDefault="00B53B85" w:rsidP="00891CB5">
            <w:pPr>
              <w:pStyle w:val="Tabellentext"/>
            </w:pPr>
            <w:r>
              <w:t>Bemerkung</w:t>
            </w:r>
          </w:p>
        </w:tc>
      </w:tr>
      <w:tr w:rsidR="00B53B85" w14:paraId="7AA8502D" w14:textId="77777777" w:rsidTr="00891CB5">
        <w:trPr>
          <w:trHeight w:val="337"/>
        </w:trPr>
        <w:tc>
          <w:tcPr>
            <w:tcW w:w="2547" w:type="dxa"/>
          </w:tcPr>
          <w:p w14:paraId="2564779A" w14:textId="77777777" w:rsidR="00B53B85" w:rsidRDefault="00B53B85" w:rsidP="00891CB5">
            <w:pPr>
              <w:pStyle w:val="Tabellentext"/>
            </w:pPr>
            <w:r>
              <w:t xml:space="preserve">„vollständige“ </w:t>
            </w:r>
            <w:proofErr w:type="spellStart"/>
            <w:r>
              <w:t>TapeS</w:t>
            </w:r>
            <w:proofErr w:type="spellEnd"/>
            <w:r>
              <w:t xml:space="preserve"> Höhen</w:t>
            </w:r>
          </w:p>
        </w:tc>
        <w:tc>
          <w:tcPr>
            <w:tcW w:w="1352" w:type="dxa"/>
          </w:tcPr>
          <w:p w14:paraId="1A4D15FB" w14:textId="77777777" w:rsidR="00B53B85" w:rsidRDefault="00B53B85" w:rsidP="00891CB5">
            <w:pPr>
              <w:pStyle w:val="Tabellentext"/>
            </w:pPr>
            <w:r>
              <w:t>340</w:t>
            </w:r>
          </w:p>
        </w:tc>
        <w:tc>
          <w:tcPr>
            <w:tcW w:w="2053" w:type="dxa"/>
          </w:tcPr>
          <w:p w14:paraId="1A50F928" w14:textId="77777777" w:rsidR="00B53B85" w:rsidRDefault="00B53B85" w:rsidP="00891CB5">
            <w:pPr>
              <w:pStyle w:val="Tabellentext"/>
            </w:pPr>
            <w:r>
              <w:t>174</w:t>
            </w:r>
          </w:p>
        </w:tc>
        <w:tc>
          <w:tcPr>
            <w:tcW w:w="1686" w:type="dxa"/>
          </w:tcPr>
          <w:p w14:paraId="2F732523" w14:textId="77777777" w:rsidR="00B53B85" w:rsidRDefault="00B53B85" w:rsidP="00891CB5">
            <w:pPr>
              <w:pStyle w:val="Tabellentext"/>
            </w:pPr>
            <w:r>
              <w:t>0</w:t>
            </w:r>
          </w:p>
        </w:tc>
        <w:tc>
          <w:tcPr>
            <w:tcW w:w="1851" w:type="dxa"/>
          </w:tcPr>
          <w:p w14:paraId="6F646CA1" w14:textId="77777777" w:rsidR="00B53B85" w:rsidRDefault="00B53B85" w:rsidP="00891CB5">
            <w:pPr>
              <w:pStyle w:val="Tabellentext"/>
            </w:pPr>
          </w:p>
        </w:tc>
      </w:tr>
      <w:tr w:rsidR="00B53B85" w14:paraId="61A0631B" w14:textId="77777777" w:rsidTr="00891CB5">
        <w:trPr>
          <w:trHeight w:val="989"/>
        </w:trPr>
        <w:tc>
          <w:tcPr>
            <w:tcW w:w="2547" w:type="dxa"/>
          </w:tcPr>
          <w:p w14:paraId="2618B992" w14:textId="77777777" w:rsidR="00B53B85" w:rsidRDefault="00B53B85" w:rsidP="00891CB5">
            <w:pPr>
              <w:pStyle w:val="Tabellentext"/>
            </w:pPr>
            <w:r>
              <w:t xml:space="preserve">Gemessene Höhen </w:t>
            </w:r>
          </w:p>
        </w:tc>
        <w:tc>
          <w:tcPr>
            <w:tcW w:w="1352" w:type="dxa"/>
          </w:tcPr>
          <w:p w14:paraId="1D93ED2F" w14:textId="77777777" w:rsidR="00B53B85" w:rsidRDefault="00B53B85" w:rsidP="00891CB5">
            <w:pPr>
              <w:pStyle w:val="Tabellentext"/>
            </w:pPr>
            <w:r>
              <w:t>267</w:t>
            </w:r>
          </w:p>
        </w:tc>
        <w:tc>
          <w:tcPr>
            <w:tcW w:w="2053" w:type="dxa"/>
          </w:tcPr>
          <w:p w14:paraId="4EFEE111" w14:textId="77777777" w:rsidR="00B53B85" w:rsidRDefault="00B53B85" w:rsidP="00891CB5">
            <w:pPr>
              <w:pStyle w:val="Tabellentext"/>
            </w:pPr>
            <w:r>
              <w:t>175</w:t>
            </w:r>
          </w:p>
        </w:tc>
        <w:tc>
          <w:tcPr>
            <w:tcW w:w="1686" w:type="dxa"/>
          </w:tcPr>
          <w:p w14:paraId="230D1D79" w14:textId="77777777" w:rsidR="00B53B85" w:rsidRDefault="00B53B85" w:rsidP="00891CB5">
            <w:pPr>
              <w:pStyle w:val="Tabellentext"/>
            </w:pPr>
            <w:r>
              <w:t>5</w:t>
            </w:r>
          </w:p>
        </w:tc>
        <w:tc>
          <w:tcPr>
            <w:tcW w:w="1851" w:type="dxa"/>
          </w:tcPr>
          <w:p w14:paraId="49306BB2" w14:textId="77777777" w:rsidR="00B53B85" w:rsidRDefault="00B53B85" w:rsidP="00891CB5">
            <w:pPr>
              <w:pStyle w:val="Tabellentext"/>
            </w:pPr>
            <w:r>
              <w:t xml:space="preserve">Dort wo gesampelte Höhen Error haben, haben geschätzte </w:t>
            </w:r>
            <w:proofErr w:type="spellStart"/>
            <w:r>
              <w:t>TapeS</w:t>
            </w:r>
            <w:proofErr w:type="spellEnd"/>
            <w:r>
              <w:t xml:space="preserve"> Höhen </w:t>
            </w:r>
            <w:proofErr w:type="spellStart"/>
            <w:r>
              <w:t>Warning</w:t>
            </w:r>
            <w:proofErr w:type="spellEnd"/>
          </w:p>
        </w:tc>
      </w:tr>
      <w:tr w:rsidR="00B53B85" w14:paraId="2C62BCE7" w14:textId="77777777" w:rsidTr="00891CB5">
        <w:trPr>
          <w:trHeight w:val="337"/>
        </w:trPr>
        <w:tc>
          <w:tcPr>
            <w:tcW w:w="2547" w:type="dxa"/>
          </w:tcPr>
          <w:p w14:paraId="6106DBAC" w14:textId="77777777" w:rsidR="00B53B85" w:rsidRDefault="00B53B85" w:rsidP="00891CB5">
            <w:pPr>
              <w:pStyle w:val="Tabellentext"/>
            </w:pPr>
            <w:r>
              <w:t>Gemessen + selbst-geschätzt</w:t>
            </w:r>
          </w:p>
        </w:tc>
        <w:tc>
          <w:tcPr>
            <w:tcW w:w="1352" w:type="dxa"/>
          </w:tcPr>
          <w:p w14:paraId="5F263FA8" w14:textId="77777777" w:rsidR="00B53B85" w:rsidRDefault="00B53B85" w:rsidP="00891CB5">
            <w:pPr>
              <w:pStyle w:val="Tabellentext"/>
            </w:pPr>
            <w:r>
              <w:t>938</w:t>
            </w:r>
          </w:p>
        </w:tc>
        <w:tc>
          <w:tcPr>
            <w:tcW w:w="2053" w:type="dxa"/>
          </w:tcPr>
          <w:p w14:paraId="5964F8A1" w14:textId="77777777" w:rsidR="00B53B85" w:rsidRPr="004C0452" w:rsidRDefault="00B53B85" w:rsidP="00891CB5">
            <w:pPr>
              <w:pStyle w:val="Tabellentext"/>
              <w:rPr>
                <w:rFonts w:ascii="Times New Roman" w:hAnsi="Times New Roman"/>
              </w:rPr>
            </w:pPr>
            <w:r>
              <w:rPr>
                <w:rFonts w:ascii="Times New Roman" w:hAnsi="Times New Roman"/>
              </w:rPr>
              <w:t>529</w:t>
            </w:r>
          </w:p>
        </w:tc>
        <w:tc>
          <w:tcPr>
            <w:tcW w:w="1686" w:type="dxa"/>
          </w:tcPr>
          <w:p w14:paraId="11A32836" w14:textId="77777777" w:rsidR="00B53B85" w:rsidRDefault="00B53B85" w:rsidP="00891CB5">
            <w:pPr>
              <w:pStyle w:val="Tabellentext"/>
            </w:pPr>
            <w:r>
              <w:t>15</w:t>
            </w:r>
          </w:p>
        </w:tc>
        <w:tc>
          <w:tcPr>
            <w:tcW w:w="1851" w:type="dxa"/>
          </w:tcPr>
          <w:p w14:paraId="3B4A4C6D" w14:textId="77777777" w:rsidR="00B53B85" w:rsidRDefault="00B53B85" w:rsidP="00891CB5">
            <w:pPr>
              <w:pStyle w:val="Tabellentext"/>
            </w:pPr>
          </w:p>
        </w:tc>
      </w:tr>
      <w:tr w:rsidR="00B53B85" w14:paraId="723A4837" w14:textId="77777777" w:rsidTr="00891CB5">
        <w:trPr>
          <w:trHeight w:val="333"/>
        </w:trPr>
        <w:tc>
          <w:tcPr>
            <w:tcW w:w="2547" w:type="dxa"/>
          </w:tcPr>
          <w:p w14:paraId="62F5B272" w14:textId="77777777" w:rsidR="00B53B85" w:rsidRDefault="00B53B85" w:rsidP="00891CB5">
            <w:pPr>
              <w:pStyle w:val="Tabellentext"/>
            </w:pPr>
            <w:r>
              <w:t xml:space="preserve">Gemessen + </w:t>
            </w:r>
            <w:proofErr w:type="spellStart"/>
            <w:r>
              <w:t>TapeS</w:t>
            </w:r>
            <w:proofErr w:type="spellEnd"/>
            <w:r>
              <w:t xml:space="preserve"> Höhen</w:t>
            </w:r>
          </w:p>
        </w:tc>
        <w:tc>
          <w:tcPr>
            <w:tcW w:w="1352" w:type="dxa"/>
          </w:tcPr>
          <w:p w14:paraId="06CBB907" w14:textId="77777777" w:rsidR="00B53B85" w:rsidRDefault="00B53B85" w:rsidP="00891CB5">
            <w:pPr>
              <w:pStyle w:val="Tabellentext"/>
            </w:pPr>
            <w:r>
              <w:t>1032</w:t>
            </w:r>
          </w:p>
        </w:tc>
        <w:tc>
          <w:tcPr>
            <w:tcW w:w="2053" w:type="dxa"/>
          </w:tcPr>
          <w:p w14:paraId="5085ED73" w14:textId="77777777" w:rsidR="00B53B85" w:rsidRDefault="00B53B85" w:rsidP="00891CB5">
            <w:pPr>
              <w:pStyle w:val="Tabellentext"/>
            </w:pPr>
            <w:r>
              <w:t>671</w:t>
            </w:r>
          </w:p>
        </w:tc>
        <w:tc>
          <w:tcPr>
            <w:tcW w:w="1686" w:type="dxa"/>
          </w:tcPr>
          <w:p w14:paraId="3CF33F8D" w14:textId="77777777" w:rsidR="00B53B85" w:rsidRDefault="00B53B85" w:rsidP="00891CB5">
            <w:pPr>
              <w:pStyle w:val="Tabellentext"/>
            </w:pPr>
            <w:r>
              <w:t>0</w:t>
            </w:r>
          </w:p>
        </w:tc>
        <w:tc>
          <w:tcPr>
            <w:tcW w:w="1851" w:type="dxa"/>
          </w:tcPr>
          <w:p w14:paraId="5AD9D7D7" w14:textId="77777777" w:rsidR="00B53B85" w:rsidRDefault="00B53B85" w:rsidP="00891CB5">
            <w:pPr>
              <w:pStyle w:val="Tabellentext"/>
            </w:pPr>
          </w:p>
        </w:tc>
      </w:tr>
    </w:tbl>
    <w:p w14:paraId="40F16283" w14:textId="77777777" w:rsidR="00B53B85" w:rsidRDefault="00B53B85" w:rsidP="00B53B85"/>
    <w:p w14:paraId="075D113D" w14:textId="77777777" w:rsidR="00B53B85" w:rsidRDefault="00B53B85" w:rsidP="00B53B85">
      <w:pPr>
        <w:rPr>
          <w:color w:val="000000"/>
          <w:sz w:val="22"/>
          <w:szCs w:val="22"/>
        </w:rPr>
      </w:pPr>
      <w:r w:rsidRPr="0077609B">
        <w:t xml:space="preserve">Vergleicht man den Biomassevorrat der aus </w:t>
      </w:r>
      <w:r>
        <w:t>(1) ausschließlich mittels</w:t>
      </w:r>
      <w:r w:rsidRPr="0077609B">
        <w:t xml:space="preserve"> </w:t>
      </w:r>
      <w:proofErr w:type="spellStart"/>
      <w:r w:rsidRPr="0077609B">
        <w:t>TapeS</w:t>
      </w:r>
      <w:proofErr w:type="spellEnd"/>
      <w:r w:rsidRPr="0077609B">
        <w:t xml:space="preserve"> geschätzten,</w:t>
      </w:r>
      <w:r>
        <w:t xml:space="preserve"> (2)</w:t>
      </w:r>
      <w:r w:rsidRPr="0077609B">
        <w:t xml:space="preserve"> gemessen und </w:t>
      </w:r>
      <w:proofErr w:type="spellStart"/>
      <w:r w:rsidRPr="0077609B">
        <w:t>TapeS</w:t>
      </w:r>
      <w:proofErr w:type="spellEnd"/>
      <w:r w:rsidRPr="0077609B">
        <w:t xml:space="preserve"> geschätzten und </w:t>
      </w:r>
      <w:r>
        <w:t xml:space="preserve">(3) </w:t>
      </w:r>
      <w:r w:rsidRPr="0077609B">
        <w:t>selb</w:t>
      </w:r>
      <w:r>
        <w:t xml:space="preserve">st </w:t>
      </w:r>
      <w:proofErr w:type="spellStart"/>
      <w:r w:rsidRPr="0077609B">
        <w:t>geschätzen</w:t>
      </w:r>
      <w:proofErr w:type="spellEnd"/>
      <w:r w:rsidRPr="0077609B">
        <w:t xml:space="preserve"> und gemessenen Höhen hervorgeht, über Vergl</w:t>
      </w:r>
      <w:r>
        <w:t>e</w:t>
      </w:r>
      <w:r w:rsidRPr="0077609B">
        <w:t xml:space="preserve">ichsreinbestände der jeweiligen Baumarten </w:t>
      </w:r>
      <w:r>
        <w:t xml:space="preserve">des Plots, </w:t>
      </w:r>
      <w:r w:rsidRPr="0077609B">
        <w:t>mit den Biomassevorräten der BWI in ideellen Reinbeständen derselben Artengruppe, so zeigt</w:t>
      </w:r>
      <w:r>
        <w:rPr>
          <w:color w:val="000000"/>
          <w:sz w:val="22"/>
          <w:szCs w:val="22"/>
        </w:rPr>
        <w:t xml:space="preserve"> sich im Schnitt ein Unterschied von: </w:t>
      </w:r>
    </w:p>
    <w:p w14:paraId="186AF5E1" w14:textId="77777777" w:rsidR="00B53B85" w:rsidRDefault="00B53B85" w:rsidP="00B53B85">
      <w:pPr>
        <w:pStyle w:val="Liste-2"/>
      </w:pPr>
      <w:r>
        <w:t>+</w:t>
      </w:r>
      <w:r w:rsidRPr="0077609B">
        <w:t>25.52</w:t>
      </w:r>
      <w:r>
        <w:t xml:space="preserve"> t/ha</w:t>
      </w:r>
      <w:r w:rsidRPr="0077609B">
        <w:t xml:space="preserve"> </w:t>
      </w:r>
      <w:r>
        <w:t>Biomasse berechnet aus ausschließlich mittels</w:t>
      </w:r>
      <w:r w:rsidRPr="0077609B">
        <w:t xml:space="preserve"> </w:t>
      </w:r>
      <w:proofErr w:type="spellStart"/>
      <w:r w:rsidRPr="0077609B">
        <w:t>TapeS</w:t>
      </w:r>
      <w:proofErr w:type="spellEnd"/>
      <w:r w:rsidRPr="0077609B">
        <w:t xml:space="preserve"> geschätzten</w:t>
      </w:r>
      <w:r>
        <w:t xml:space="preserve"> Höhen und den zugehörigen BWI Vorräten in der Artengruppe </w:t>
      </w:r>
    </w:p>
    <w:p w14:paraId="5A676C5D" w14:textId="77777777" w:rsidR="00B53B85" w:rsidRDefault="00B53B85" w:rsidP="00B53B85">
      <w:pPr>
        <w:pStyle w:val="Liste-2"/>
      </w:pPr>
      <w:r>
        <w:t>+</w:t>
      </w:r>
      <w:r w:rsidRPr="0077609B">
        <w:t xml:space="preserve"> 25.42 </w:t>
      </w:r>
      <w:r>
        <w:t>t/ha</w:t>
      </w:r>
      <w:r w:rsidRPr="0077609B">
        <w:t xml:space="preserve"> </w:t>
      </w:r>
      <w:r>
        <w:t xml:space="preserve">Biomasse berechnet </w:t>
      </w:r>
      <w:proofErr w:type="gramStart"/>
      <w:r>
        <w:t xml:space="preserve">aus </w:t>
      </w:r>
      <w:r w:rsidRPr="0077609B">
        <w:t>gemessen</w:t>
      </w:r>
      <w:proofErr w:type="gramEnd"/>
      <w:r w:rsidRPr="0077609B">
        <w:t xml:space="preserve"> und </w:t>
      </w:r>
      <w:proofErr w:type="spellStart"/>
      <w:r w:rsidRPr="0077609B">
        <w:t>TapeS</w:t>
      </w:r>
      <w:proofErr w:type="spellEnd"/>
      <w:r w:rsidRPr="0077609B">
        <w:t xml:space="preserve"> geschätzten</w:t>
      </w:r>
      <w:r>
        <w:t xml:space="preserve"> Höhen und den zugehörigen BWI Vorräten in der Artengruppe </w:t>
      </w:r>
    </w:p>
    <w:p w14:paraId="4CB50B65" w14:textId="72A7EE0E" w:rsidR="00B53B85" w:rsidRDefault="00B53B85" w:rsidP="00B53B85">
      <w:pPr>
        <w:pStyle w:val="Liste-2"/>
      </w:pPr>
      <w:r>
        <w:t xml:space="preserve">+ </w:t>
      </w:r>
      <w:r w:rsidRPr="0077609B">
        <w:t>1.825</w:t>
      </w:r>
      <w:r>
        <w:t xml:space="preserve"> t/ha Biomasse berechnet aus </w:t>
      </w:r>
      <w:r w:rsidR="007A0408">
        <w:t>BWI &amp; T</w:t>
      </w:r>
      <w:r w:rsidR="00AB4DF1">
        <w:t>GH</w:t>
      </w:r>
      <w:r w:rsidR="007A0408">
        <w:t xml:space="preserve">I und </w:t>
      </w:r>
      <w:r>
        <w:t xml:space="preserve">gemessenen und selbst-geschätzten Höhen und den </w:t>
      </w:r>
      <w:proofErr w:type="spellStart"/>
      <w:r>
        <w:t>zugehörgigen</w:t>
      </w:r>
      <w:proofErr w:type="spellEnd"/>
      <w:r>
        <w:t xml:space="preserve"> BWI </w:t>
      </w:r>
      <w:proofErr w:type="spellStart"/>
      <w:r>
        <w:t>Vorrräten</w:t>
      </w:r>
      <w:proofErr w:type="spellEnd"/>
      <w:r>
        <w:t xml:space="preserve"> in der Artengruppe </w:t>
      </w:r>
    </w:p>
    <w:p w14:paraId="5882F2D6" w14:textId="77777777" w:rsidR="00B53B85" w:rsidRDefault="00B53B85" w:rsidP="00B53B85">
      <w:r>
        <w:t xml:space="preserve">Zusammenfassend zeigen die Ergebnisse, dass ungeachtet der Höhenberechnungsmethode ähnliche Abweichungen zwischen der Biomasse an </w:t>
      </w:r>
      <w:proofErr w:type="spellStart"/>
      <w:r>
        <w:t>MoMoK</w:t>
      </w:r>
      <w:proofErr w:type="spellEnd"/>
      <w:r>
        <w:t xml:space="preserve"> Standorten und den Vergleichsdaten aus der BWI entstehen. Demnach kann die Methode der Höhenschätzung als Ursache für Abweichungen im Biomassevorrat ausgeschlossen werden. </w:t>
      </w:r>
    </w:p>
    <w:p w14:paraId="32AAF115" w14:textId="77777777" w:rsidR="00B53B85" w:rsidRDefault="00B53B85" w:rsidP="00B53B85">
      <w:r>
        <w:t xml:space="preserve">Tatsächlich zeigt sich beim Vergleich der Biomassen, die aus den Verschiedenen Höhen- und Biomasseschätzung resultieren, dass die größten Unterschiede nicht in der Methode der Höhenschätzung bestehen, sondern in Unterschieden zwischen den Biomassefunktionen. </w:t>
      </w:r>
    </w:p>
    <w:p w14:paraId="62EF7756" w14:textId="77777777" w:rsidR="00B53B85" w:rsidRDefault="00B53B85" w:rsidP="00B53B85">
      <w:r>
        <w:t xml:space="preserve">Gleichzeitig zeigt sich im Rahmen des Vergleiches zwischen geschätzten und gemessenen Daten, dass der HD-Wert kein adäquater Indikator für die Güte der Höhenmessung und Schätzung ist. </w:t>
      </w:r>
    </w:p>
    <w:p w14:paraId="1E41307A" w14:textId="053D069D" w:rsidR="00B53B85" w:rsidRPr="00B53B85" w:rsidRDefault="00B53B85" w:rsidP="00B53B85">
      <w:r>
        <w:rPr>
          <w:noProof/>
        </w:rPr>
        <w:lastRenderedPageBreak/>
        <w:drawing>
          <wp:inline distT="0" distB="0" distL="0" distR="0" wp14:anchorId="0A95C9EE" wp14:editId="2F7060C4">
            <wp:extent cx="6052185" cy="3521075"/>
            <wp:effectExtent l="0" t="0" r="5715"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052185" cy="3521075"/>
                    </a:xfrm>
                    <a:prstGeom prst="rect">
                      <a:avLst/>
                    </a:prstGeom>
                  </pic:spPr>
                </pic:pic>
              </a:graphicData>
            </a:graphic>
          </wp:inline>
        </w:drawing>
      </w:r>
    </w:p>
    <w:p w14:paraId="310B8282" w14:textId="3264C7A1" w:rsidR="00B53B85" w:rsidRDefault="00B53B85" w:rsidP="00B53B85">
      <w:pPr>
        <w:pStyle w:val="berschrift4"/>
        <w:numPr>
          <w:ilvl w:val="3"/>
          <w:numId w:val="1"/>
        </w:numPr>
      </w:pPr>
      <w:r>
        <w:t>Fehler durch Baumartengruppen: Vergleichsreinbestände</w:t>
      </w:r>
    </w:p>
    <w:p w14:paraId="219A70DF" w14:textId="0FCFE2EE" w:rsidR="00B53B85" w:rsidRDefault="00B53B85" w:rsidP="00B53B85">
      <w:r>
        <w:t xml:space="preserve">Vergleicht man die Biomassenvorräte pro Plot mit dem durchschnittlichen Biomassenvorrat der BWI (über alle Baumarten und Altersgruppen hinweg) ungeachtet der Hauptbaumart, verliert man an Genauigkeit in Bezug auf die Baumartenspezifische Akkumulation von Biomasse. </w:t>
      </w:r>
    </w:p>
    <w:p w14:paraId="3CE8E4F7" w14:textId="235815FC" w:rsidR="00B53B85" w:rsidRDefault="00B53B85" w:rsidP="00B53B85">
      <w:r>
        <w:t xml:space="preserve">Selbiges gilt für den Vergleich der Biomassenvorräte pro Plot mit dem Biomassenvorrat der BWI in der Baumartengruppe die der Hauptbaumart der Plots entspricht, da hier alle Bäume des Plots, ungeachtet ihres Anteils an der Grundfläche der Hauptbaumart zugeordnet werden. </w:t>
      </w:r>
    </w:p>
    <w:p w14:paraId="4DA4BC49" w14:textId="1862990B" w:rsidR="00B53B85" w:rsidRDefault="00B53B85" w:rsidP="00B53B85">
      <w:r>
        <w:t xml:space="preserve">Vergleicht man den Biomassenvorrat jeder Baumart pro Plot mit dem BWI Biomassenvorrat in der jeweiligen Artengruppe, ohne dem Mischprozent gerecht zu werden, so vergleicht man den Biomassevorrat eines ideellen Reinbestands der BWI (also den Biomassevorrat eines Hektars der vollständig mit der jeweiligen Baumartengruppe bestockt ist). Dies führt zu größeren Abweichungen des Biomassevorrat, da im Falle von Mischbeständen </w:t>
      </w:r>
      <w:proofErr w:type="spellStart"/>
      <w:r>
        <w:t>ideele</w:t>
      </w:r>
      <w:proofErr w:type="spellEnd"/>
      <w:r>
        <w:t xml:space="preserve"> Reinbestände mit dem partiellen Biomassevorrat der Mischbaumart pro Hektar verglichen werden.  </w:t>
      </w:r>
    </w:p>
    <w:p w14:paraId="43D80D38" w14:textId="72210C93" w:rsidR="00B53B85" w:rsidRDefault="00B53B85" w:rsidP="00B53B85">
      <w:r>
        <w:t>Sofern man auch die Biomassevorräte der Mischbaumarten/ Nebenbaumarten arten</w:t>
      </w:r>
      <w:r w:rsidR="00F6661B">
        <w:t>- bzw. artengruppen</w:t>
      </w:r>
      <w:r>
        <w:t xml:space="preserve">spezifisch vergleichen möchte, muss man daher den Flächenbezug zur Berechnung des Kohlenstoffvorrates pro Hektar dahingehen ändern, dass er der Fläche entspricht die tatsächlich von der jeweiligen Baumart bestockt ist. Dies kann über das Mischprozent erfolgen, wobei hierfür das Grundflächenmischprozent und das Biomassenmischprozent zur Verfügung stehen. </w:t>
      </w:r>
    </w:p>
    <w:p w14:paraId="527FE8DF" w14:textId="1ECBBFE8" w:rsidR="00B53B85" w:rsidRDefault="00B53B85" w:rsidP="00F6661B">
      <w:pPr>
        <w:jc w:val="left"/>
      </w:pPr>
      <w:r>
        <w:t xml:space="preserve">Die Berechnung der Bestockungsbezogenen </w:t>
      </w:r>
      <w:r w:rsidR="00F6661B">
        <w:t xml:space="preserve">Biomassenvorräte </w:t>
      </w:r>
      <w:r>
        <w:t xml:space="preserve">pro Baumarten erfolge folgendermaßen: </w:t>
      </w:r>
    </w:p>
    <w:p w14:paraId="10159073" w14:textId="2C0B6754" w:rsidR="00B53B85" w:rsidRDefault="00F6661B" w:rsidP="00B53B85">
      <w:pPr>
        <w:ind w:left="574"/>
      </w:pPr>
      <w:r>
        <w:t>B</w:t>
      </w:r>
      <w:r w:rsidR="00B53B85">
        <w:t xml:space="preserve"> Bestockungsbezogen = tatsächlicher </w:t>
      </w:r>
      <w:r>
        <w:t>B</w:t>
      </w:r>
      <w:r w:rsidR="00B53B85">
        <w:t xml:space="preserve"> Vorrat der Baumart pro Hektar/ (1 Hektar </w:t>
      </w:r>
      <w:proofErr w:type="gramStart"/>
      <w:r w:rsidR="00B53B85">
        <w:t>*  Mischprozent</w:t>
      </w:r>
      <w:proofErr w:type="gramEnd"/>
      <w:r w:rsidR="00B53B85">
        <w:t>)</w:t>
      </w:r>
    </w:p>
    <w:p w14:paraId="098BF5EA" w14:textId="5965CC73" w:rsidR="006D3EBD" w:rsidRDefault="006D3EBD" w:rsidP="002C7DC5"/>
    <w:p w14:paraId="31614BB1" w14:textId="77777777" w:rsidR="006D3EBD" w:rsidRDefault="006D3EBD" w:rsidP="002C7DC5"/>
    <w:p w14:paraId="1AE8E136" w14:textId="24FAE334" w:rsidR="00801E4F" w:rsidRDefault="00801E4F" w:rsidP="00801E4F">
      <w:r>
        <w:lastRenderedPageBreak/>
        <w:t xml:space="preserve">Diese Datenstruktur erlaubt einen möglichst akkuraten Vergleich zwischen </w:t>
      </w:r>
      <w:proofErr w:type="spellStart"/>
      <w:r>
        <w:t>MoMoK</w:t>
      </w:r>
      <w:proofErr w:type="spellEnd"/>
      <w:r>
        <w:t xml:space="preserve"> und BWI Daten, wobei zu beachten bleibt, dass die Baumartengruppen der BWI in denen die Biomassenvorräte verglichen werden, nicht zwischen einzelnen Arten oder </w:t>
      </w:r>
      <w:r w:rsidR="004A289B">
        <w:t xml:space="preserve">Gattungen unterscheidet. Die für </w:t>
      </w:r>
      <w:proofErr w:type="spellStart"/>
      <w:r w:rsidR="004A289B">
        <w:t>MoMoK</w:t>
      </w:r>
      <w:proofErr w:type="spellEnd"/>
      <w:r w:rsidR="004A289B">
        <w:t xml:space="preserve"> häufigsten Baumartengattungen Erle und Birke z.B. werden nicht separat, sondern mit dem durchschnittlichen Biomassenvorrat alle</w:t>
      </w:r>
      <w:r w:rsidR="00A657FE">
        <w:t>r</w:t>
      </w:r>
      <w:r w:rsidR="004A289B">
        <w:t xml:space="preserve"> Baumarten</w:t>
      </w:r>
      <w:r w:rsidR="00A657FE">
        <w:t xml:space="preserve">, </w:t>
      </w:r>
      <w:r w:rsidR="004A289B">
        <w:t>die in die Gruppe „andere Laubhölzer niedriger Lebenserwartung“ fallen</w:t>
      </w:r>
      <w:r w:rsidR="00A657FE">
        <w:t xml:space="preserve">, </w:t>
      </w:r>
      <w:r w:rsidR="004A289B">
        <w:t xml:space="preserve">verglichen. </w:t>
      </w:r>
    </w:p>
    <w:p w14:paraId="47EAF67D" w14:textId="77777777" w:rsidR="00E8150F" w:rsidRDefault="00E8150F" w:rsidP="00801E4F"/>
    <w:p w14:paraId="10AE29ED" w14:textId="3BD5BCCA" w:rsidR="00C52220" w:rsidRDefault="00A657FE" w:rsidP="00C52220">
      <w:pPr>
        <w:pStyle w:val="Listenabsatz"/>
        <w:numPr>
          <w:ilvl w:val="0"/>
          <w:numId w:val="32"/>
        </w:numPr>
      </w:pPr>
      <w:r>
        <w:t>Vergleicht man die Biomasse in t/ha zusammengefasst unter der jeweiligen Hauptbaumart des Plots</w:t>
      </w:r>
      <w:r w:rsidR="00C52220">
        <w:t xml:space="preserve">, zeigt sich eine mittlere Abweichung von + </w:t>
      </w:r>
      <w:r w:rsidR="00C52220" w:rsidRPr="00C52220">
        <w:t>25.22</w:t>
      </w:r>
      <w:r w:rsidR="00C52220">
        <w:t xml:space="preserve"> t/ha. </w:t>
      </w:r>
    </w:p>
    <w:p w14:paraId="11B86DCF" w14:textId="08B8744E" w:rsidR="007F2D1C" w:rsidRDefault="00C403AB" w:rsidP="007F2D1C">
      <w:r>
        <w:rPr>
          <w:noProof/>
        </w:rPr>
        <w:drawing>
          <wp:inline distT="0" distB="0" distL="0" distR="0" wp14:anchorId="27528D49" wp14:editId="35374986">
            <wp:extent cx="6052185" cy="3521075"/>
            <wp:effectExtent l="0" t="0" r="5715" b="31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052185" cy="3521075"/>
                    </a:xfrm>
                    <a:prstGeom prst="rect">
                      <a:avLst/>
                    </a:prstGeom>
                  </pic:spPr>
                </pic:pic>
              </a:graphicData>
            </a:graphic>
          </wp:inline>
        </w:drawing>
      </w:r>
    </w:p>
    <w:p w14:paraId="388294B0" w14:textId="0953CC78" w:rsidR="00C52220" w:rsidRDefault="00C52220" w:rsidP="00C52220">
      <w:pPr>
        <w:pStyle w:val="Listenabsatz"/>
        <w:numPr>
          <w:ilvl w:val="0"/>
          <w:numId w:val="32"/>
        </w:numPr>
      </w:pPr>
      <w:r>
        <w:t xml:space="preserve">Vergleicht man die Biomasse in t/ha zusammengefasst in Vergleichsreinbeständen der Baumarten des Plots, zeigt sich eine mittlere Abweichung von + </w:t>
      </w:r>
      <w:r w:rsidRPr="00C52220">
        <w:t>25.42</w:t>
      </w:r>
      <w:r>
        <w:t xml:space="preserve"> t/ha. </w:t>
      </w:r>
    </w:p>
    <w:p w14:paraId="21B7CE0A" w14:textId="11763502" w:rsidR="00E8150F" w:rsidRDefault="00592EB4" w:rsidP="002C7DC5">
      <w:r>
        <w:rPr>
          <w:noProof/>
        </w:rPr>
        <w:lastRenderedPageBreak/>
        <w:drawing>
          <wp:inline distT="0" distB="0" distL="0" distR="0" wp14:anchorId="53ABE8D7" wp14:editId="6A00CFD5">
            <wp:extent cx="6052185" cy="3521075"/>
            <wp:effectExtent l="0" t="0" r="5715" b="317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052185" cy="3521075"/>
                    </a:xfrm>
                    <a:prstGeom prst="rect">
                      <a:avLst/>
                    </a:prstGeom>
                  </pic:spPr>
                </pic:pic>
              </a:graphicData>
            </a:graphic>
          </wp:inline>
        </w:drawing>
      </w:r>
    </w:p>
    <w:p w14:paraId="041F7006" w14:textId="63020F47" w:rsidR="00E8150F" w:rsidRDefault="00AA337A" w:rsidP="00E8150F">
      <w:pPr>
        <w:pStyle w:val="berschrift4"/>
        <w:numPr>
          <w:ilvl w:val="3"/>
          <w:numId w:val="1"/>
        </w:numPr>
      </w:pPr>
      <w:r>
        <w:t xml:space="preserve">Abweichungen durch </w:t>
      </w:r>
      <w:r w:rsidR="00E8150F">
        <w:t>Unterschiede in der Stammzahl &amp; Grundfläche</w:t>
      </w:r>
      <w:r>
        <w:t xml:space="preserve">: Lineare Modelle </w:t>
      </w:r>
    </w:p>
    <w:p w14:paraId="45193666" w14:textId="42CD6890" w:rsidR="00E8150F" w:rsidRDefault="00E8150F" w:rsidP="00E8150F">
      <w:r>
        <w:t>So</w:t>
      </w:r>
      <w:r w:rsidR="00CC18C7">
        <w:t>l</w:t>
      </w:r>
      <w:r>
        <w:t xml:space="preserve">lten sich trotz des Vergleichs des Biomassevorrats der BWI mit Baumartengruppenspezifischen, Bestockungsbezogenen Biomassevorräten der </w:t>
      </w:r>
      <w:proofErr w:type="spellStart"/>
      <w:r>
        <w:t>MoMoK</w:t>
      </w:r>
      <w:proofErr w:type="spellEnd"/>
      <w:r>
        <w:t xml:space="preserve"> Probeflächen </w:t>
      </w:r>
      <w:r w:rsidRPr="00E8150F">
        <w:rPr>
          <w:highlight w:val="red"/>
        </w:rPr>
        <w:t>signifikante</w:t>
      </w:r>
      <w:r w:rsidRPr="00E8150F">
        <w:t xml:space="preserve"> </w:t>
      </w:r>
      <w:r>
        <w:t xml:space="preserve">Unterschiede zeigen , werden diese Plots ausgewählt und auf Plausibilität der Abweichungen untersucht. </w:t>
      </w:r>
    </w:p>
    <w:p w14:paraId="7348C4F0" w14:textId="19C47D44" w:rsidR="00E8150F" w:rsidRDefault="00E8150F" w:rsidP="00E8150F">
      <w:r>
        <w:t xml:space="preserve">Hierfür wird eine lineare Regression pro Baumart gefittet, welche die Abweichungen des </w:t>
      </w:r>
      <w:r w:rsidR="00145AFE">
        <w:t>Biomassen</w:t>
      </w:r>
      <w:r>
        <w:t>vorrates mit de</w:t>
      </w:r>
      <w:r w:rsidR="0082065D">
        <w:t>r Abweichung der</w:t>
      </w:r>
      <w:r>
        <w:t xml:space="preserve"> Baumartenspezifischen Bestockungsbezogenen Grundfläche und Stammzahl pro Hektar</w:t>
      </w:r>
      <w:r w:rsidR="0082065D">
        <w:t xml:space="preserve"> im Vergleich zur BWI</w:t>
      </w:r>
      <w:r>
        <w:t xml:space="preserve"> erklärt</w:t>
      </w:r>
      <w:r w:rsidR="00145AFE">
        <w:t xml:space="preserve"> (Unterschied Biomasse t/ha = b0 + b1*Unterschied Stammzahl N/ha + b2*Unterschied Grundfläche m2/ha).</w:t>
      </w:r>
    </w:p>
    <w:p w14:paraId="6AD5EA05" w14:textId="71EC3776" w:rsidR="00CC18C7" w:rsidRDefault="00E8150F" w:rsidP="00E8150F">
      <w:r>
        <w:t xml:space="preserve">Die Koeffizienten </w:t>
      </w:r>
      <w:r w:rsidR="00CC18C7">
        <w:t xml:space="preserve">ermöglichen, </w:t>
      </w:r>
      <w:r>
        <w:t xml:space="preserve">die </w:t>
      </w:r>
      <w:r w:rsidR="00CC18C7">
        <w:t xml:space="preserve">erwartbare </w:t>
      </w:r>
      <w:r>
        <w:t xml:space="preserve">Abweichung des Biomassenvorrates zu </w:t>
      </w:r>
      <w:r w:rsidR="00CC18C7">
        <w:t>bei gegebener Abweichung der Stammzahl und Grundfläche zu berechnen</w:t>
      </w:r>
      <w:r>
        <w:t xml:space="preserve">. Sollte </w:t>
      </w:r>
      <w:r w:rsidR="00CC18C7">
        <w:t>signifikante</w:t>
      </w:r>
      <w:r>
        <w:t xml:space="preserve"> Unterschiede zwischen der Berechneten Abweichung des </w:t>
      </w:r>
      <w:r w:rsidR="0082065D">
        <w:t>Biomassen</w:t>
      </w:r>
      <w:r>
        <w:t xml:space="preserve">vorrates und den geschätzten Abweichungen des </w:t>
      </w:r>
      <w:r w:rsidR="0082065D">
        <w:t>Biomassen</w:t>
      </w:r>
      <w:r>
        <w:t>vo</w:t>
      </w:r>
      <w:r w:rsidR="0082065D">
        <w:t>r</w:t>
      </w:r>
      <w:r>
        <w:t>rates bestehen, kann darau</w:t>
      </w:r>
      <w:r w:rsidR="0082065D">
        <w:t>f</w:t>
      </w:r>
      <w:r>
        <w:t xml:space="preserve"> geschlossen werden, dass die Abweichung des </w:t>
      </w:r>
      <w:r w:rsidR="00762F2C">
        <w:t>V</w:t>
      </w:r>
      <w:r>
        <w:t xml:space="preserve">orrates nicht durch </w:t>
      </w:r>
      <w:r w:rsidR="00C45144">
        <w:t>U</w:t>
      </w:r>
      <w:r>
        <w:t xml:space="preserve">nterschiede in der Grundfläche oder Stammzahl erklärbar </w:t>
      </w:r>
      <w:r w:rsidR="00762F2C">
        <w:t>ist</w:t>
      </w:r>
      <w:r>
        <w:t>, und somit als unplau</w:t>
      </w:r>
      <w:r w:rsidR="0082065D">
        <w:t>s</w:t>
      </w:r>
      <w:r>
        <w:t>i</w:t>
      </w:r>
      <w:r w:rsidR="0082065D">
        <w:t>b</w:t>
      </w:r>
      <w:r>
        <w:t>el bewertet werden</w:t>
      </w:r>
      <w:r w:rsidR="00762F2C">
        <w:t xml:space="preserve"> muss</w:t>
      </w:r>
      <w:r>
        <w:t xml:space="preserve">. </w:t>
      </w:r>
    </w:p>
    <w:p w14:paraId="622792F5" w14:textId="1C54F8AE" w:rsidR="00762F2C" w:rsidRDefault="00762F2C" w:rsidP="00E8150F">
      <w:r>
        <w:t xml:space="preserve">Als signifikant Unterschiedlich zählen in diesem Zusammenhang Vergleichsreinbestände, deren Unterschiede zwischen erwarteter und beobachteter Abweichung der Biomasse die zweifache Standartabweichung der Unterschiede zwischen erwarteter und beobachteter Abweichung der Biomasse überschreitet. </w:t>
      </w:r>
    </w:p>
    <w:p w14:paraId="3F388C07" w14:textId="407BE9B7" w:rsidR="00762F2C" w:rsidRDefault="00762F2C" w:rsidP="00762F2C">
      <w:r>
        <w:t xml:space="preserve">Sofern sich der tatsächliche Unterschied innerhalb des Intervalls der zweifachen Standartabweichung </w:t>
      </w:r>
      <w:r w:rsidR="00F10BA3">
        <w:t>des Unterschiedes zwischen</w:t>
      </w:r>
      <w:r>
        <w:t xml:space="preserve"> erwartete</w:t>
      </w:r>
      <w:r w:rsidR="00F10BA3">
        <w:t xml:space="preserve">m und tatsächlichen Biomasseunterschieden </w:t>
      </w:r>
      <w:r>
        <w:t xml:space="preserve">befindet, gelten die Biomassevorräte als Plausibel, bzw. die Unterschiede zwischen BWI und </w:t>
      </w:r>
      <w:proofErr w:type="spellStart"/>
      <w:r>
        <w:t>MoMoK</w:t>
      </w:r>
      <w:proofErr w:type="spellEnd"/>
      <w:r>
        <w:t xml:space="preserve"> als erklärt und dadurch akzeptabel. </w:t>
      </w:r>
    </w:p>
    <w:p w14:paraId="4FA90EE5" w14:textId="5BE2BD81" w:rsidR="001C160C" w:rsidRDefault="001C160C" w:rsidP="002C7766">
      <w:r>
        <w:t xml:space="preserve">Die nachfolgende Grafik zeigt die Unterschiede im Biomassenvorrat in Tonnen pro Hektar pro </w:t>
      </w:r>
      <w:r w:rsidR="00BE56F0">
        <w:t xml:space="preserve">Plot </w:t>
      </w:r>
      <w:r>
        <w:t>verglichen mit den BWI Biomassevorräten in der</w:t>
      </w:r>
      <w:r w:rsidR="00BE56F0">
        <w:t xml:space="preserve"> </w:t>
      </w:r>
      <w:r>
        <w:t>Artengruppe</w:t>
      </w:r>
      <w:r w:rsidR="00BE56F0">
        <w:t xml:space="preserve"> der Hauptbaumart des Plots</w:t>
      </w:r>
      <w:r>
        <w:t>, aufgetragen gegen die jeweiligen Unterschiede in der Grundfläche</w:t>
      </w:r>
      <w:r w:rsidR="00535A2E">
        <w:t>.</w:t>
      </w:r>
    </w:p>
    <w:p w14:paraId="41221FDE" w14:textId="5CF8CBA3" w:rsidR="00EF2914" w:rsidRDefault="00EF2914" w:rsidP="002C7766">
      <w:r>
        <w:rPr>
          <w:noProof/>
        </w:rPr>
        <w:lastRenderedPageBreak/>
        <w:drawing>
          <wp:inline distT="0" distB="0" distL="0" distR="0" wp14:anchorId="00B1143A" wp14:editId="0EFD565C">
            <wp:extent cx="6052185" cy="3521075"/>
            <wp:effectExtent l="0" t="0" r="5715" b="317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052185" cy="3521075"/>
                    </a:xfrm>
                    <a:prstGeom prst="rect">
                      <a:avLst/>
                    </a:prstGeom>
                  </pic:spPr>
                </pic:pic>
              </a:graphicData>
            </a:graphic>
          </wp:inline>
        </w:drawing>
      </w:r>
    </w:p>
    <w:p w14:paraId="34D42A96" w14:textId="504DEABB" w:rsidR="00E468A5" w:rsidRDefault="00E468A5" w:rsidP="002C7766">
      <w:r>
        <w:t xml:space="preserve">Modelliert man die Abweichungen des Kohlenstoffvorrates pro Hektar pro Vergleichs-Reibestand der jeweiligen am Plot vertreten BWI Baumartengruppen als lineare Funktion aus dem jeweiligen Unterschied in der Stammzahl und der Grundfläche und bestimmt anschließend die Abweichung den beobachteten Unterscheide mit den durch das Model vorhergesagten, zeigt sich, dass die meisten Abweichungen im Bereich der zweifachen Standartabweichung von der Vorhergesagten Abweichung des Biomassevorrates befinden. </w:t>
      </w:r>
    </w:p>
    <w:p w14:paraId="3A45F489" w14:textId="70277584" w:rsidR="001C160C" w:rsidRDefault="001C160C" w:rsidP="002C7766">
      <w:r>
        <w:t>Die nachfolgende Grafik zeigt die Unterschiede im Biomassenvorrat in Tonnen pro Hektar pro Vergleichsreinbestand verglichen mit den BWI Biomassevorräten in derselben Artengruppe, aufgetragen gegen die jeweiligen Unterschiede in der Grundfläche.</w:t>
      </w:r>
    </w:p>
    <w:p w14:paraId="6B4985F2" w14:textId="7A8D2122" w:rsidR="004E200E" w:rsidRDefault="002C0CFC" w:rsidP="004E200E">
      <w:r>
        <w:rPr>
          <w:noProof/>
        </w:rPr>
        <w:drawing>
          <wp:inline distT="0" distB="0" distL="0" distR="0" wp14:anchorId="04DF19DE" wp14:editId="77A1C3B7">
            <wp:extent cx="6230210" cy="3624648"/>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250197" cy="3636276"/>
                    </a:xfrm>
                    <a:prstGeom prst="rect">
                      <a:avLst/>
                    </a:prstGeom>
                  </pic:spPr>
                </pic:pic>
              </a:graphicData>
            </a:graphic>
          </wp:inline>
        </w:drawing>
      </w:r>
      <w:bookmarkEnd w:id="38"/>
    </w:p>
    <w:p w14:paraId="353FB0D4" w14:textId="0E82F163" w:rsidR="004E200E" w:rsidRDefault="00084BB9" w:rsidP="004E200E">
      <w:r>
        <w:lastRenderedPageBreak/>
        <w:t xml:space="preserve">Obwohl über die Vergleichsreinbestände einen möglichst ähnlicher Datensatz erzeugt wird, der eine gute Grundlage für den Vergleich mit der BWI darstellt, bestehen weiterhin </w:t>
      </w:r>
      <w:proofErr w:type="spellStart"/>
      <w:r>
        <w:t>limitierungen</w:t>
      </w:r>
      <w:proofErr w:type="spellEnd"/>
      <w:r>
        <w:t xml:space="preserve"> für die Aussagekraft des Vergleiches: </w:t>
      </w:r>
      <w:r w:rsidR="004E200E">
        <w:t xml:space="preserve"> </w:t>
      </w:r>
    </w:p>
    <w:p w14:paraId="676F8723" w14:textId="77777777" w:rsidR="004E200E" w:rsidRDefault="004E200E" w:rsidP="00F27763">
      <w:pPr>
        <w:pStyle w:val="Liste-2"/>
      </w:pPr>
      <w:r>
        <w:t xml:space="preserve">Systematische Fehler können so nicht erkannt werden. Wenn z.B. der Flächenbezug falsch wäre oder es einen Einheitsfehler gäbe wären die Abweichungen immer gleich stark oder niedrig, und würden sich somit weiterhin modeliieren lassen. </w:t>
      </w:r>
    </w:p>
    <w:p w14:paraId="3CA0268D" w14:textId="77777777" w:rsidR="004E200E" w:rsidRDefault="004E200E" w:rsidP="00F27763">
      <w:pPr>
        <w:pStyle w:val="Liste-2"/>
      </w:pPr>
      <w:r>
        <w:t xml:space="preserve">Es muss festgelegt werden was eine </w:t>
      </w:r>
      <w:proofErr w:type="spellStart"/>
      <w:r>
        <w:t>Sigifikanten</w:t>
      </w:r>
      <w:proofErr w:type="spellEnd"/>
      <w:r>
        <w:t xml:space="preserve"> Unterschied zwischen berechneter und </w:t>
      </w:r>
      <w:proofErr w:type="spellStart"/>
      <w:r>
        <w:t>geschätzer</w:t>
      </w:r>
      <w:proofErr w:type="spellEnd"/>
      <w:r>
        <w:t xml:space="preserve"> </w:t>
      </w:r>
      <w:proofErr w:type="spellStart"/>
      <w:r>
        <w:t>abweichun</w:t>
      </w:r>
      <w:proofErr w:type="spellEnd"/>
      <w:r>
        <w:t xml:space="preserve"> des Kohlenstoffvorrates darstellt</w:t>
      </w:r>
    </w:p>
    <w:p w14:paraId="66F3CB15" w14:textId="77777777" w:rsidR="004E200E" w:rsidRDefault="004E200E" w:rsidP="00F27763">
      <w:pPr>
        <w:pStyle w:val="Liste-2"/>
      </w:pPr>
      <w:r>
        <w:t xml:space="preserve">Möglicherweise ist die Datenlage (22 </w:t>
      </w:r>
      <w:proofErr w:type="spellStart"/>
      <w:r>
        <w:t>plots</w:t>
      </w:r>
      <w:proofErr w:type="spellEnd"/>
      <w:r>
        <w:t xml:space="preserve">, mit 1-2 Baumarten pro </w:t>
      </w:r>
      <w:proofErr w:type="spellStart"/>
      <w:r>
        <w:t>plot</w:t>
      </w:r>
      <w:proofErr w:type="spellEnd"/>
      <w:r>
        <w:t xml:space="preserve"> </w:t>
      </w:r>
      <w:r>
        <w:sym w:font="Wingdings" w:char="F0E0"/>
      </w:r>
      <w:r>
        <w:t xml:space="preserve"> 30 Kohlenstoff-, Grundflächen und Stammzahlwerte die in die Modelle einfließen können </w:t>
      </w:r>
      <w:r>
        <w:sym w:font="Wingdings" w:char="F0E0"/>
      </w:r>
      <w:r>
        <w:t xml:space="preserve"> ca. 5 pro Baumart) zu gering um ein </w:t>
      </w:r>
      <w:proofErr w:type="spellStart"/>
      <w:r>
        <w:t>overfitting</w:t>
      </w:r>
      <w:proofErr w:type="spellEnd"/>
      <w:r>
        <w:t xml:space="preserve"> der Modelle zu verhindern. </w:t>
      </w:r>
    </w:p>
    <w:p w14:paraId="31C2D8FE" w14:textId="77777777" w:rsidR="004E200E" w:rsidRPr="000A206D" w:rsidRDefault="004E200E" w:rsidP="00F27763">
      <w:pPr>
        <w:pStyle w:val="Liste-2"/>
        <w:numPr>
          <w:ilvl w:val="1"/>
          <w:numId w:val="6"/>
        </w:numPr>
      </w:pPr>
      <w:r>
        <w:t xml:space="preserve">Dies wurde durch die Einteilung in BWI Artengruppen und das Erzeugen der BWI Artengruppen Vergleichs-Reinbestände etwas umgangen, da sich </w:t>
      </w:r>
      <w:proofErr w:type="spellStart"/>
      <w:r>
        <w:t>hierraus</w:t>
      </w:r>
      <w:proofErr w:type="spellEnd"/>
      <w:r>
        <w:t xml:space="preserve"> mehr „Vergleichsreinbestände“ oder „Pseudoplots“ ergeben. </w:t>
      </w:r>
    </w:p>
    <w:p w14:paraId="1B0B657D" w14:textId="77777777" w:rsidR="004E200E" w:rsidRDefault="004E200E" w:rsidP="001D0D18">
      <w:pPr>
        <w:pStyle w:val="berschrift2"/>
        <w:numPr>
          <w:ilvl w:val="1"/>
          <w:numId w:val="9"/>
        </w:numPr>
        <w:rPr>
          <w:rFonts w:asciiTheme="minorHAnsi" w:hAnsiTheme="minorHAnsi" w:cstheme="minorHAnsi"/>
        </w:rPr>
      </w:pPr>
      <w:bookmarkStart w:id="39" w:name="_Toc137711785"/>
      <w:r>
        <w:rPr>
          <w:rFonts w:asciiTheme="minorHAnsi" w:hAnsiTheme="minorHAnsi" w:cstheme="minorHAnsi"/>
        </w:rPr>
        <w:t>Totholz</w:t>
      </w:r>
      <w:bookmarkEnd w:id="39"/>
    </w:p>
    <w:p w14:paraId="1F411E64" w14:textId="31531962" w:rsidR="004E200E" w:rsidRDefault="004605AA" w:rsidP="001D0D18">
      <w:pPr>
        <w:pStyle w:val="berschrift3"/>
        <w:numPr>
          <w:ilvl w:val="2"/>
          <w:numId w:val="9"/>
        </w:numPr>
        <w:rPr>
          <w:rFonts w:asciiTheme="minorHAnsi" w:hAnsiTheme="minorHAnsi" w:cstheme="minorHAnsi"/>
        </w:rPr>
      </w:pPr>
      <w:r>
        <w:rPr>
          <w:rFonts w:asciiTheme="minorHAnsi" w:hAnsiTheme="minorHAnsi" w:cstheme="minorHAnsi"/>
        </w:rPr>
        <w:t xml:space="preserve">Volumenvergleich </w:t>
      </w:r>
    </w:p>
    <w:p w14:paraId="7EC19D40" w14:textId="6B0487BE" w:rsidR="00DA0E62" w:rsidRDefault="004605AA" w:rsidP="00DA0E62">
      <w:r>
        <w:t xml:space="preserve">Da das Volumen die Grundlage für den Biomassen- und damit auch Kohlenstoff- und Stickstoffvorrat darstellt, zielt der Plausibilitätscheck für Totholz vor allem darauf ab, Fehler, Unsicherheiten und </w:t>
      </w:r>
      <w:proofErr w:type="spellStart"/>
      <w:r w:rsidR="00683C2A">
        <w:t>Unplausibilität</w:t>
      </w:r>
      <w:proofErr w:type="spellEnd"/>
      <w:r>
        <w:t xml:space="preserve"> in der Berechnung des Totholzvolumens zu identifizieren. </w:t>
      </w:r>
    </w:p>
    <w:p w14:paraId="27D878D7" w14:textId="1C84F56E" w:rsidR="00623002" w:rsidRDefault="00B301CC" w:rsidP="00DA0E62">
      <w:r>
        <w:t xml:space="preserve">Totholzvorräte werden entweder pro Totholztyp mit den Typspezifischen Totholzvorräten pro Hektar für das jeweilige Bundesland verglichen, in dem der Plot liegt (Daten aus BWI 2012) oder mit den </w:t>
      </w:r>
      <w:proofErr w:type="spellStart"/>
      <w:r>
        <w:t>Totholzvolumnia</w:t>
      </w:r>
      <w:proofErr w:type="spellEnd"/>
      <w:r>
        <w:t xml:space="preserve"> die im </w:t>
      </w:r>
      <w:proofErr w:type="spellStart"/>
      <w:r>
        <w:t>rahmen</w:t>
      </w:r>
      <w:proofErr w:type="spellEnd"/>
      <w:r>
        <w:t xml:space="preserve"> der Totholzinventur 2017 veröffentlicht wurden. Hierfür stehen keine Daten pro Bundesland zur Verfügung. </w:t>
      </w:r>
    </w:p>
    <w:p w14:paraId="37F11C01" w14:textId="02073EE5" w:rsidR="00623002" w:rsidRPr="00DA0E62" w:rsidRDefault="00623002" w:rsidP="00DA0E62">
      <w:r w:rsidRPr="00623002">
        <w:rPr>
          <w:highlight w:val="red"/>
        </w:rPr>
        <w:t>Mögliche Fehlerquellen in der Volumenberechnung des Totholzes sind:</w:t>
      </w:r>
      <w:r>
        <w:t xml:space="preserve"> </w:t>
      </w:r>
    </w:p>
    <w:p w14:paraId="20379BBA" w14:textId="3E04193E" w:rsidR="004E200E" w:rsidRDefault="00AB1364" w:rsidP="001D0D18">
      <w:pPr>
        <w:pStyle w:val="berschrift4"/>
        <w:numPr>
          <w:ilvl w:val="3"/>
          <w:numId w:val="9"/>
        </w:numPr>
      </w:pPr>
      <w:r>
        <w:t>Fehler durch einfachen Vergleich in Totholztypgruppen</w:t>
      </w:r>
    </w:p>
    <w:p w14:paraId="220B2975" w14:textId="3E79439F" w:rsidR="00B301CC" w:rsidRDefault="007833DD" w:rsidP="00B301CC">
      <w:pPr>
        <w:rPr>
          <w:rStyle w:val="Hyperlink"/>
          <w:rFonts w:asciiTheme="minorHAnsi" w:hAnsiTheme="minorHAnsi" w:cstheme="minorHAnsi"/>
          <w:color w:val="auto"/>
          <w:szCs w:val="21"/>
          <w:u w:val="none"/>
        </w:rPr>
      </w:pPr>
      <w:hyperlink r:id="rId45" w:history="1">
        <w:r w:rsidR="004E200E" w:rsidRPr="00B301CC">
          <w:rPr>
            <w:rStyle w:val="Hyperlink"/>
            <w:rFonts w:asciiTheme="minorHAnsi" w:hAnsiTheme="minorHAnsi" w:cstheme="minorHAnsi"/>
            <w:szCs w:val="21"/>
          </w:rPr>
          <w:t>https://bwi.info/inhalt1.3.aspx?Text=8.02%20Vorr%C3%A4te/Massen%20nach%20Totholztyp%20(ZIELMERKMALSTABELLE)&amp;prRolle=public&amp;prInv=THG2017&amp;prKapitel=8.02</w:t>
        </w:r>
      </w:hyperlink>
    </w:p>
    <w:p w14:paraId="4D23F1B8" w14:textId="0022A02C" w:rsidR="00B301CC" w:rsidRDefault="00AB1364" w:rsidP="00B301CC">
      <w:pPr>
        <w:rPr>
          <w:rStyle w:val="authors"/>
          <w:rFonts w:asciiTheme="minorHAnsi" w:hAnsiTheme="minorHAnsi" w:cstheme="minorHAnsi"/>
          <w:szCs w:val="21"/>
        </w:rPr>
      </w:pPr>
      <w:r>
        <w:rPr>
          <w:rStyle w:val="authors"/>
          <w:rFonts w:asciiTheme="minorHAnsi" w:hAnsiTheme="minorHAnsi" w:cstheme="minorHAnsi"/>
          <w:szCs w:val="21"/>
        </w:rPr>
        <w:t>Vergleicht man die</w:t>
      </w:r>
      <w:r w:rsidR="00B301CC">
        <w:rPr>
          <w:rStyle w:val="authors"/>
          <w:rFonts w:asciiTheme="minorHAnsi" w:hAnsiTheme="minorHAnsi" w:cstheme="minorHAnsi"/>
          <w:szCs w:val="21"/>
        </w:rPr>
        <w:t xml:space="preserve"> Totholzvorräte</w:t>
      </w:r>
      <w:r>
        <w:rPr>
          <w:rStyle w:val="authors"/>
          <w:rFonts w:asciiTheme="minorHAnsi" w:hAnsiTheme="minorHAnsi" w:cstheme="minorHAnsi"/>
          <w:szCs w:val="21"/>
        </w:rPr>
        <w:t xml:space="preserve"> über alle Zersetzungsstufen, Totholztypen, Artengruppen und Bundesländer hinweg, so verliert der Vergleich an Genauigkeit und Aussagekraft. </w:t>
      </w:r>
    </w:p>
    <w:p w14:paraId="22E5253D" w14:textId="3CDC4AB0" w:rsidR="00B301CC" w:rsidRDefault="00B301CC" w:rsidP="00B301CC">
      <w:pPr>
        <w:rPr>
          <w:rStyle w:val="authors"/>
          <w:rFonts w:asciiTheme="minorHAnsi" w:hAnsiTheme="minorHAnsi" w:cstheme="minorHAnsi"/>
          <w:szCs w:val="21"/>
        </w:rPr>
      </w:pPr>
      <w:r w:rsidRPr="00B301CC">
        <w:rPr>
          <w:rStyle w:val="authors"/>
          <w:rFonts w:asciiTheme="minorHAnsi" w:hAnsiTheme="minorHAnsi" w:cstheme="minorHAnsi"/>
          <w:szCs w:val="21"/>
        </w:rPr>
        <w:t xml:space="preserve">Vergleicht </w:t>
      </w:r>
      <w:r w:rsidR="00AB1364">
        <w:rPr>
          <w:rStyle w:val="authors"/>
          <w:rFonts w:asciiTheme="minorHAnsi" w:hAnsiTheme="minorHAnsi" w:cstheme="minorHAnsi"/>
          <w:szCs w:val="21"/>
        </w:rPr>
        <w:t xml:space="preserve">gruppiert nach Totholztyp an </w:t>
      </w:r>
      <w:proofErr w:type="spellStart"/>
      <w:r w:rsidR="00AB1364">
        <w:rPr>
          <w:rStyle w:val="authors"/>
          <w:rFonts w:asciiTheme="minorHAnsi" w:hAnsiTheme="minorHAnsi" w:cstheme="minorHAnsi"/>
          <w:szCs w:val="21"/>
        </w:rPr>
        <w:t>MoMok</w:t>
      </w:r>
      <w:proofErr w:type="spellEnd"/>
      <w:r w:rsidR="00AB1364">
        <w:rPr>
          <w:rStyle w:val="authors"/>
          <w:rFonts w:asciiTheme="minorHAnsi" w:hAnsiTheme="minorHAnsi" w:cstheme="minorHAnsi"/>
          <w:szCs w:val="21"/>
        </w:rPr>
        <w:t xml:space="preserve"> Standorten mit den BWI Totholzvorräten des Bundeslandes in dem der Plot liegt, </w:t>
      </w:r>
      <w:r w:rsidR="00280AE9">
        <w:rPr>
          <w:rStyle w:val="authors"/>
          <w:rFonts w:asciiTheme="minorHAnsi" w:hAnsiTheme="minorHAnsi" w:cstheme="minorHAnsi"/>
          <w:szCs w:val="21"/>
        </w:rPr>
        <w:t xml:space="preserve">kann ein mehr an die regionalen </w:t>
      </w:r>
      <w:r w:rsidR="00891CB5">
        <w:rPr>
          <w:rStyle w:val="authors"/>
          <w:rFonts w:asciiTheme="minorHAnsi" w:hAnsiTheme="minorHAnsi" w:cstheme="minorHAnsi"/>
          <w:szCs w:val="21"/>
        </w:rPr>
        <w:t>B</w:t>
      </w:r>
      <w:r w:rsidR="00280AE9">
        <w:rPr>
          <w:rStyle w:val="authors"/>
          <w:rFonts w:asciiTheme="minorHAnsi" w:hAnsiTheme="minorHAnsi" w:cstheme="minorHAnsi"/>
          <w:szCs w:val="21"/>
        </w:rPr>
        <w:t>edingungen angepasster Vergleich stattfinden</w:t>
      </w:r>
      <w:r w:rsidR="00AB1364">
        <w:rPr>
          <w:rStyle w:val="authors"/>
          <w:rFonts w:asciiTheme="minorHAnsi" w:hAnsiTheme="minorHAnsi" w:cstheme="minorHAnsi"/>
          <w:szCs w:val="21"/>
        </w:rPr>
        <w:t xml:space="preserve">. </w:t>
      </w:r>
    </w:p>
    <w:p w14:paraId="5145D754" w14:textId="709E6B6D" w:rsidR="00F13CBC" w:rsidRPr="00B301CC" w:rsidRDefault="00457D4A" w:rsidP="00B301CC">
      <w:pPr>
        <w:rPr>
          <w:rStyle w:val="authors"/>
          <w:rFonts w:asciiTheme="minorHAnsi" w:hAnsiTheme="minorHAnsi" w:cstheme="minorHAnsi"/>
          <w:szCs w:val="21"/>
        </w:rPr>
      </w:pPr>
      <w:r>
        <w:rPr>
          <w:rStyle w:val="authors"/>
          <w:rFonts w:asciiTheme="minorHAnsi" w:hAnsiTheme="minorHAnsi" w:cstheme="minorHAnsi"/>
          <w:szCs w:val="21"/>
        </w:rPr>
        <w:t>Da die</w:t>
      </w:r>
      <w:commentRangeStart w:id="40"/>
      <w:r w:rsidR="00493CF8">
        <w:rPr>
          <w:rStyle w:val="authors"/>
          <w:rFonts w:asciiTheme="minorHAnsi" w:hAnsiTheme="minorHAnsi" w:cstheme="minorHAnsi"/>
          <w:szCs w:val="21"/>
        </w:rPr>
        <w:t xml:space="preserve"> Daten der BWI beziehen sich auf den </w:t>
      </w:r>
      <w:r>
        <w:rPr>
          <w:rStyle w:val="authors"/>
          <w:rFonts w:asciiTheme="minorHAnsi" w:hAnsiTheme="minorHAnsi" w:cstheme="minorHAnsi"/>
          <w:szCs w:val="21"/>
        </w:rPr>
        <w:t>„</w:t>
      </w:r>
      <w:proofErr w:type="spellStart"/>
      <w:r w:rsidR="00493CF8">
        <w:rPr>
          <w:rStyle w:val="authors"/>
          <w:rFonts w:asciiTheme="minorHAnsi" w:hAnsiTheme="minorHAnsi" w:cstheme="minorHAnsi"/>
          <w:szCs w:val="21"/>
        </w:rPr>
        <w:t>reelen</w:t>
      </w:r>
      <w:proofErr w:type="spellEnd"/>
      <w:r w:rsidR="00493CF8">
        <w:rPr>
          <w:rStyle w:val="authors"/>
          <w:rFonts w:asciiTheme="minorHAnsi" w:hAnsiTheme="minorHAnsi" w:cstheme="minorHAnsi"/>
          <w:szCs w:val="21"/>
        </w:rPr>
        <w:t xml:space="preserve"> Flächenbezug gemäß des </w:t>
      </w:r>
      <w:proofErr w:type="spellStart"/>
      <w:r w:rsidR="00493CF8">
        <w:rPr>
          <w:rStyle w:val="authors"/>
          <w:rFonts w:asciiTheme="minorHAnsi" w:hAnsiTheme="minorHAnsi" w:cstheme="minorHAnsi"/>
          <w:szCs w:val="21"/>
        </w:rPr>
        <w:t>Trakteckenanteils</w:t>
      </w:r>
      <w:proofErr w:type="spellEnd"/>
      <w:r>
        <w:rPr>
          <w:rStyle w:val="authors"/>
          <w:rFonts w:asciiTheme="minorHAnsi" w:hAnsiTheme="minorHAnsi" w:cstheme="minorHAnsi"/>
          <w:szCs w:val="21"/>
        </w:rPr>
        <w:t xml:space="preserve">“ beziehen, sollte dies bei dem </w:t>
      </w:r>
      <w:proofErr w:type="spellStart"/>
      <w:r>
        <w:rPr>
          <w:rStyle w:val="authors"/>
          <w:rFonts w:asciiTheme="minorHAnsi" w:hAnsiTheme="minorHAnsi" w:cstheme="minorHAnsi"/>
          <w:szCs w:val="21"/>
        </w:rPr>
        <w:t>Verlgeich</w:t>
      </w:r>
      <w:proofErr w:type="spellEnd"/>
      <w:r>
        <w:rPr>
          <w:rStyle w:val="authors"/>
          <w:rFonts w:asciiTheme="minorHAnsi" w:hAnsiTheme="minorHAnsi" w:cstheme="minorHAnsi"/>
          <w:szCs w:val="21"/>
        </w:rPr>
        <w:t xml:space="preserve"> mit </w:t>
      </w:r>
      <w:proofErr w:type="spellStart"/>
      <w:r>
        <w:rPr>
          <w:rStyle w:val="authors"/>
          <w:rFonts w:asciiTheme="minorHAnsi" w:hAnsiTheme="minorHAnsi" w:cstheme="minorHAnsi"/>
          <w:szCs w:val="21"/>
        </w:rPr>
        <w:t>MoMoK</w:t>
      </w:r>
      <w:proofErr w:type="spellEnd"/>
      <w:r>
        <w:rPr>
          <w:rStyle w:val="authors"/>
          <w:rFonts w:asciiTheme="minorHAnsi" w:hAnsiTheme="minorHAnsi" w:cstheme="minorHAnsi"/>
          <w:szCs w:val="21"/>
        </w:rPr>
        <w:t xml:space="preserve"> Daten </w:t>
      </w:r>
      <w:r w:rsidR="00557ECE">
        <w:rPr>
          <w:rStyle w:val="authors"/>
          <w:rFonts w:asciiTheme="minorHAnsi" w:hAnsiTheme="minorHAnsi" w:cstheme="minorHAnsi"/>
          <w:szCs w:val="21"/>
        </w:rPr>
        <w:t>berücksichtig werden</w:t>
      </w:r>
      <w:r w:rsidR="00493CF8">
        <w:rPr>
          <w:rStyle w:val="authors"/>
          <w:rFonts w:asciiTheme="minorHAnsi" w:hAnsiTheme="minorHAnsi" w:cstheme="minorHAnsi"/>
          <w:szCs w:val="21"/>
        </w:rPr>
        <w:t xml:space="preserve">. Demnach </w:t>
      </w:r>
      <w:r w:rsidR="00E86D91">
        <w:rPr>
          <w:rStyle w:val="authors"/>
          <w:rFonts w:asciiTheme="minorHAnsi" w:hAnsiTheme="minorHAnsi" w:cstheme="minorHAnsi"/>
          <w:szCs w:val="21"/>
        </w:rPr>
        <w:t>kann ein</w:t>
      </w:r>
      <w:r w:rsidR="00B62C73">
        <w:rPr>
          <w:rStyle w:val="authors"/>
          <w:rFonts w:asciiTheme="minorHAnsi" w:hAnsiTheme="minorHAnsi" w:cstheme="minorHAnsi"/>
          <w:szCs w:val="21"/>
        </w:rPr>
        <w:t xml:space="preserve"> akkuraterer Vergleich</w:t>
      </w:r>
      <w:r w:rsidR="00D95491">
        <w:rPr>
          <w:rStyle w:val="authors"/>
          <w:rFonts w:asciiTheme="minorHAnsi" w:hAnsiTheme="minorHAnsi" w:cstheme="minorHAnsi"/>
          <w:szCs w:val="21"/>
        </w:rPr>
        <w:t xml:space="preserve"> mit </w:t>
      </w:r>
      <w:proofErr w:type="spellStart"/>
      <w:r w:rsidR="00D95491">
        <w:rPr>
          <w:rStyle w:val="authors"/>
          <w:rFonts w:asciiTheme="minorHAnsi" w:hAnsiTheme="minorHAnsi" w:cstheme="minorHAnsi"/>
          <w:szCs w:val="21"/>
        </w:rPr>
        <w:t>MoMoK</w:t>
      </w:r>
      <w:proofErr w:type="spellEnd"/>
      <w:r w:rsidR="00D95491">
        <w:rPr>
          <w:rStyle w:val="authors"/>
          <w:rFonts w:asciiTheme="minorHAnsi" w:hAnsiTheme="minorHAnsi" w:cstheme="minorHAnsi"/>
          <w:szCs w:val="21"/>
        </w:rPr>
        <w:t xml:space="preserve"> Daten</w:t>
      </w:r>
      <w:r w:rsidR="00B62C73">
        <w:rPr>
          <w:rStyle w:val="authors"/>
          <w:rFonts w:asciiTheme="minorHAnsi" w:hAnsiTheme="minorHAnsi" w:cstheme="minorHAnsi"/>
          <w:szCs w:val="21"/>
        </w:rPr>
        <w:t xml:space="preserve"> hergestellt werden, indem man</w:t>
      </w:r>
      <w:r w:rsidR="00F13CBC">
        <w:rPr>
          <w:rStyle w:val="authors"/>
          <w:rFonts w:asciiTheme="minorHAnsi" w:hAnsiTheme="minorHAnsi" w:cstheme="minorHAnsi"/>
          <w:szCs w:val="21"/>
        </w:rPr>
        <w:t xml:space="preserve"> </w:t>
      </w:r>
      <w:r w:rsidR="00557ECE">
        <w:rPr>
          <w:rStyle w:val="authors"/>
          <w:rFonts w:asciiTheme="minorHAnsi" w:hAnsiTheme="minorHAnsi" w:cstheme="minorHAnsi"/>
          <w:szCs w:val="21"/>
        </w:rPr>
        <w:t>„</w:t>
      </w:r>
      <w:r w:rsidR="00F13CBC">
        <w:rPr>
          <w:rStyle w:val="authors"/>
          <w:rFonts w:asciiTheme="minorHAnsi" w:hAnsiTheme="minorHAnsi" w:cstheme="minorHAnsi"/>
          <w:szCs w:val="21"/>
        </w:rPr>
        <w:t>Vergleichsplots</w:t>
      </w:r>
      <w:r w:rsidR="00557ECE">
        <w:rPr>
          <w:rStyle w:val="authors"/>
          <w:rFonts w:asciiTheme="minorHAnsi" w:hAnsiTheme="minorHAnsi" w:cstheme="minorHAnsi"/>
          <w:szCs w:val="21"/>
        </w:rPr>
        <w:t xml:space="preserve">“ </w:t>
      </w:r>
      <w:r w:rsidR="00B62C73">
        <w:rPr>
          <w:rStyle w:val="authors"/>
          <w:rFonts w:asciiTheme="minorHAnsi" w:hAnsiTheme="minorHAnsi" w:cstheme="minorHAnsi"/>
          <w:szCs w:val="21"/>
        </w:rPr>
        <w:t>bildet</w:t>
      </w:r>
      <w:r w:rsidR="00F13CBC">
        <w:rPr>
          <w:rStyle w:val="authors"/>
          <w:rFonts w:asciiTheme="minorHAnsi" w:hAnsiTheme="minorHAnsi" w:cstheme="minorHAnsi"/>
          <w:szCs w:val="21"/>
        </w:rPr>
        <w:t>, bei denen der Flächenbezug an das Volumenmischprozent der Totholztypgruppe angepasst ist</w:t>
      </w:r>
      <w:r w:rsidR="00B62C73">
        <w:rPr>
          <w:rStyle w:val="authors"/>
          <w:rFonts w:asciiTheme="minorHAnsi" w:hAnsiTheme="minorHAnsi" w:cstheme="minorHAnsi"/>
          <w:szCs w:val="21"/>
        </w:rPr>
        <w:t xml:space="preserve">. </w:t>
      </w:r>
      <w:commentRangeEnd w:id="40"/>
      <w:r w:rsidR="00D95491">
        <w:rPr>
          <w:rStyle w:val="Kommentarzeichen"/>
        </w:rPr>
        <w:commentReference w:id="40"/>
      </w:r>
    </w:p>
    <w:p w14:paraId="7A6A7231" w14:textId="47D04A6A" w:rsidR="004E200E" w:rsidRDefault="00AB1364" w:rsidP="00B301CC">
      <w:pPr>
        <w:rPr>
          <w:rStyle w:val="authors"/>
          <w:rFonts w:asciiTheme="minorHAnsi" w:hAnsiTheme="minorHAnsi" w:cstheme="minorHAnsi"/>
          <w:szCs w:val="21"/>
        </w:rPr>
      </w:pPr>
      <w:r>
        <w:rPr>
          <w:rStyle w:val="authors"/>
          <w:rFonts w:asciiTheme="minorHAnsi" w:hAnsiTheme="minorHAnsi" w:cstheme="minorHAnsi"/>
          <w:szCs w:val="21"/>
        </w:rPr>
        <w:t xml:space="preserve">Es gestaltet sich als schwierig </w:t>
      </w:r>
      <w:r w:rsidR="00457D4A">
        <w:rPr>
          <w:rStyle w:val="authors"/>
          <w:rFonts w:asciiTheme="minorHAnsi" w:hAnsiTheme="minorHAnsi" w:cstheme="minorHAnsi"/>
          <w:szCs w:val="21"/>
        </w:rPr>
        <w:t>erklärende</w:t>
      </w:r>
      <w:r>
        <w:rPr>
          <w:rStyle w:val="authors"/>
          <w:rFonts w:asciiTheme="minorHAnsi" w:hAnsiTheme="minorHAnsi" w:cstheme="minorHAnsi"/>
          <w:szCs w:val="21"/>
        </w:rPr>
        <w:t xml:space="preserve"> Variablen für die Abweichung der Totholzvorräte zu finden</w:t>
      </w:r>
      <w:r w:rsidR="00280AE9">
        <w:rPr>
          <w:rStyle w:val="authors"/>
          <w:rFonts w:asciiTheme="minorHAnsi" w:hAnsiTheme="minorHAnsi" w:cstheme="minorHAnsi"/>
          <w:szCs w:val="21"/>
        </w:rPr>
        <w:t xml:space="preserve">. Geeignete Informationen wären: </w:t>
      </w:r>
    </w:p>
    <w:p w14:paraId="5D651DC5" w14:textId="4574C776" w:rsidR="00280AE9" w:rsidRDefault="00280AE9" w:rsidP="00280AE9">
      <w:pPr>
        <w:pStyle w:val="Listenabsatz"/>
        <w:numPr>
          <w:ilvl w:val="0"/>
          <w:numId w:val="13"/>
        </w:numPr>
        <w:rPr>
          <w:rStyle w:val="authors"/>
          <w:rFonts w:asciiTheme="minorHAnsi" w:hAnsiTheme="minorHAnsi" w:cstheme="minorHAnsi"/>
          <w:szCs w:val="21"/>
        </w:rPr>
      </w:pPr>
      <w:r>
        <w:rPr>
          <w:rStyle w:val="authors"/>
          <w:rFonts w:asciiTheme="minorHAnsi" w:hAnsiTheme="minorHAnsi" w:cstheme="minorHAnsi"/>
          <w:szCs w:val="21"/>
        </w:rPr>
        <w:t xml:space="preserve">Die </w:t>
      </w:r>
      <w:proofErr w:type="spellStart"/>
      <w:r>
        <w:rPr>
          <w:rStyle w:val="authors"/>
          <w:rFonts w:asciiTheme="minorHAnsi" w:hAnsiTheme="minorHAnsi" w:cstheme="minorHAnsi"/>
          <w:szCs w:val="21"/>
        </w:rPr>
        <w:t>Durschnittliche</w:t>
      </w:r>
      <w:proofErr w:type="spellEnd"/>
      <w:r>
        <w:rPr>
          <w:rStyle w:val="authors"/>
          <w:rFonts w:asciiTheme="minorHAnsi" w:hAnsiTheme="minorHAnsi" w:cstheme="minorHAnsi"/>
          <w:szCs w:val="21"/>
        </w:rPr>
        <w:t xml:space="preserve"> Masse pro Stück</w:t>
      </w:r>
    </w:p>
    <w:p w14:paraId="2C14C3BF" w14:textId="088C26F1" w:rsidR="00280AE9" w:rsidRDefault="00280AE9" w:rsidP="00280AE9">
      <w:pPr>
        <w:pStyle w:val="Listenabsatz"/>
        <w:numPr>
          <w:ilvl w:val="0"/>
          <w:numId w:val="13"/>
        </w:numPr>
        <w:rPr>
          <w:rStyle w:val="authors"/>
          <w:rFonts w:asciiTheme="minorHAnsi" w:hAnsiTheme="minorHAnsi" w:cstheme="minorHAnsi"/>
          <w:szCs w:val="21"/>
        </w:rPr>
      </w:pPr>
      <w:r>
        <w:rPr>
          <w:rStyle w:val="authors"/>
          <w:rFonts w:asciiTheme="minorHAnsi" w:hAnsiTheme="minorHAnsi" w:cstheme="minorHAnsi"/>
          <w:szCs w:val="21"/>
        </w:rPr>
        <w:t xml:space="preserve">Die Durchschnittliche Stückzahl pro Hektar. </w:t>
      </w:r>
    </w:p>
    <w:p w14:paraId="03BEA639" w14:textId="7D15A66C" w:rsidR="00557ECE" w:rsidRPr="00557ECE" w:rsidRDefault="00557ECE" w:rsidP="00557ECE">
      <w:pPr>
        <w:rPr>
          <w:rStyle w:val="authors"/>
          <w:rFonts w:asciiTheme="minorHAnsi" w:hAnsiTheme="minorHAnsi" w:cstheme="minorHAnsi"/>
          <w:szCs w:val="21"/>
        </w:rPr>
      </w:pPr>
      <w:r>
        <w:rPr>
          <w:rStyle w:val="authors"/>
          <w:rFonts w:asciiTheme="minorHAnsi" w:hAnsiTheme="minorHAnsi" w:cstheme="minorHAnsi"/>
          <w:szCs w:val="21"/>
        </w:rPr>
        <w:lastRenderedPageBreak/>
        <w:t xml:space="preserve">Die Verfügbaren Daten </w:t>
      </w:r>
    </w:p>
    <w:p w14:paraId="36C80474" w14:textId="77777777" w:rsidR="00F13CBC" w:rsidRPr="00F13CBC" w:rsidRDefault="00F13CBC" w:rsidP="00F13CBC">
      <w:pPr>
        <w:rPr>
          <w:rStyle w:val="authors"/>
          <w:rFonts w:asciiTheme="minorHAnsi" w:hAnsiTheme="minorHAnsi" w:cstheme="minorHAnsi"/>
          <w:szCs w:val="21"/>
        </w:rPr>
      </w:pPr>
      <w:r w:rsidRPr="00F13CBC">
        <w:rPr>
          <w:rStyle w:val="authors"/>
          <w:rFonts w:asciiTheme="minorHAnsi" w:hAnsiTheme="minorHAnsi" w:cstheme="minorHAnsi"/>
          <w:szCs w:val="21"/>
        </w:rPr>
        <w:t xml:space="preserve">Im Vergleich mit den BWI Daten, zeigt sich, dass die </w:t>
      </w:r>
      <w:proofErr w:type="spellStart"/>
      <w:r w:rsidRPr="00F13CBC">
        <w:rPr>
          <w:rStyle w:val="authors"/>
          <w:rFonts w:asciiTheme="minorHAnsi" w:hAnsiTheme="minorHAnsi" w:cstheme="minorHAnsi"/>
          <w:szCs w:val="21"/>
        </w:rPr>
        <w:t>MoMoK</w:t>
      </w:r>
      <w:proofErr w:type="spellEnd"/>
      <w:r w:rsidRPr="00F13CBC">
        <w:rPr>
          <w:rStyle w:val="authors"/>
          <w:rFonts w:asciiTheme="minorHAnsi" w:hAnsiTheme="minorHAnsi" w:cstheme="minorHAnsi"/>
          <w:szCs w:val="21"/>
        </w:rPr>
        <w:t xml:space="preserve"> Totholzvorräte pro Hektar um ca. +19 m3 pro ha von denen der BWI abweichen</w:t>
      </w:r>
    </w:p>
    <w:p w14:paraId="72E98954" w14:textId="77777777" w:rsidR="00F13CBC" w:rsidRPr="00F13CBC" w:rsidRDefault="00F13CBC" w:rsidP="00F13CBC">
      <w:pPr>
        <w:rPr>
          <w:rStyle w:val="authors"/>
          <w:rFonts w:asciiTheme="minorHAnsi" w:hAnsiTheme="minorHAnsi" w:cstheme="minorHAnsi"/>
          <w:szCs w:val="21"/>
        </w:rPr>
      </w:pPr>
    </w:p>
    <w:p w14:paraId="60ABBF74" w14:textId="77777777" w:rsidR="004E200E" w:rsidRDefault="004E200E" w:rsidP="001D0D18">
      <w:pPr>
        <w:pStyle w:val="berschrift4"/>
        <w:numPr>
          <w:ilvl w:val="3"/>
          <w:numId w:val="9"/>
        </w:numPr>
        <w:rPr>
          <w:rStyle w:val="authors"/>
          <w:rFonts w:asciiTheme="minorHAnsi" w:hAnsiTheme="minorHAnsi" w:cstheme="minorHAnsi"/>
          <w:sz w:val="24"/>
        </w:rPr>
      </w:pPr>
      <w:r>
        <w:rPr>
          <w:rStyle w:val="authors"/>
          <w:rFonts w:asciiTheme="minorHAnsi" w:hAnsiTheme="minorHAnsi" w:cstheme="minorHAnsi"/>
          <w:sz w:val="24"/>
        </w:rPr>
        <w:t>STICKSTOFF</w:t>
      </w:r>
    </w:p>
    <w:p w14:paraId="37DCB682" w14:textId="77777777" w:rsidR="004E200E" w:rsidRDefault="004E200E" w:rsidP="001D0D18">
      <w:pPr>
        <w:pStyle w:val="Listenabsatz"/>
        <w:numPr>
          <w:ilvl w:val="0"/>
          <w:numId w:val="13"/>
        </w:numPr>
        <w:suppressAutoHyphens w:val="0"/>
        <w:spacing w:before="0" w:line="240" w:lineRule="auto"/>
        <w:jc w:val="left"/>
        <w:rPr>
          <w:lang w:val="en-GB"/>
        </w:rPr>
      </w:pPr>
      <w:proofErr w:type="spellStart"/>
      <w:r>
        <w:rPr>
          <w:rStyle w:val="authors"/>
          <w:rFonts w:asciiTheme="minorHAnsi" w:hAnsiTheme="minorHAnsi" w:cstheme="minorHAnsi"/>
          <w:lang w:val="en-GB"/>
        </w:rPr>
        <w:t>Ewa</w:t>
      </w:r>
      <w:proofErr w:type="spellEnd"/>
      <w:r>
        <w:rPr>
          <w:rStyle w:val="authors"/>
          <w:rFonts w:asciiTheme="minorHAnsi" w:hAnsiTheme="minorHAnsi" w:cstheme="minorHAnsi"/>
          <w:lang w:val="en-GB"/>
        </w:rPr>
        <w:t xml:space="preserve"> </w:t>
      </w:r>
      <w:proofErr w:type="spellStart"/>
      <w:r>
        <w:rPr>
          <w:rStyle w:val="authors"/>
          <w:rFonts w:asciiTheme="minorHAnsi" w:hAnsiTheme="minorHAnsi" w:cstheme="minorHAnsi"/>
          <w:lang w:val="en-GB"/>
        </w:rPr>
        <w:t>Błońska</w:t>
      </w:r>
      <w:proofErr w:type="spellEnd"/>
      <w:r>
        <w:rPr>
          <w:rStyle w:val="authors"/>
          <w:rFonts w:asciiTheme="minorHAnsi" w:hAnsiTheme="minorHAnsi" w:cstheme="minorHAnsi"/>
          <w:lang w:val="en-GB"/>
        </w:rPr>
        <w:t xml:space="preserve">, </w:t>
      </w:r>
      <w:proofErr w:type="spellStart"/>
      <w:r>
        <w:rPr>
          <w:rStyle w:val="authors"/>
          <w:rFonts w:asciiTheme="minorHAnsi" w:hAnsiTheme="minorHAnsi" w:cstheme="minorHAnsi"/>
          <w:lang w:val="en-GB"/>
        </w:rPr>
        <w:t>Jarosław</w:t>
      </w:r>
      <w:proofErr w:type="spellEnd"/>
      <w:r>
        <w:rPr>
          <w:rStyle w:val="authors"/>
          <w:rFonts w:asciiTheme="minorHAnsi" w:hAnsiTheme="minorHAnsi" w:cstheme="minorHAnsi"/>
          <w:lang w:val="en-GB"/>
        </w:rPr>
        <w:t xml:space="preserve"> </w:t>
      </w:r>
      <w:proofErr w:type="spellStart"/>
      <w:r>
        <w:rPr>
          <w:rStyle w:val="authors"/>
          <w:rFonts w:asciiTheme="minorHAnsi" w:hAnsiTheme="minorHAnsi" w:cstheme="minorHAnsi"/>
          <w:lang w:val="en-GB"/>
        </w:rPr>
        <w:t>Lasota</w:t>
      </w:r>
      <w:proofErr w:type="spellEnd"/>
      <w:r>
        <w:rPr>
          <w:rStyle w:val="authors"/>
          <w:rFonts w:asciiTheme="minorHAnsi" w:hAnsiTheme="minorHAnsi" w:cstheme="minorHAnsi"/>
          <w:lang w:val="en-GB"/>
        </w:rPr>
        <w:t xml:space="preserve"> &amp; Wojciech </w:t>
      </w:r>
      <w:proofErr w:type="spellStart"/>
      <w:r>
        <w:rPr>
          <w:rStyle w:val="authors"/>
          <w:rFonts w:asciiTheme="minorHAnsi" w:hAnsiTheme="minorHAnsi" w:cstheme="minorHAnsi"/>
          <w:lang w:val="en-GB"/>
        </w:rPr>
        <w:t>Piaszczyk</w:t>
      </w:r>
      <w:proofErr w:type="spellEnd"/>
      <w:r>
        <w:rPr>
          <w:rFonts w:asciiTheme="minorHAnsi" w:hAnsiTheme="minorHAnsi" w:cstheme="minorHAnsi"/>
          <w:lang w:val="en-GB"/>
        </w:rPr>
        <w:t xml:space="preserve"> </w:t>
      </w:r>
      <w:r>
        <w:rPr>
          <w:rStyle w:val="Datum1"/>
          <w:rFonts w:asciiTheme="minorHAnsi" w:hAnsiTheme="minorHAnsi" w:cstheme="minorHAnsi"/>
          <w:lang w:val="en-GB"/>
        </w:rPr>
        <w:t>(2020)</w:t>
      </w:r>
      <w:r>
        <w:rPr>
          <w:rFonts w:asciiTheme="minorHAnsi" w:hAnsiTheme="minorHAnsi" w:cstheme="minorHAnsi"/>
          <w:lang w:val="en-GB"/>
        </w:rPr>
        <w:t xml:space="preserve"> </w:t>
      </w:r>
      <w:r>
        <w:rPr>
          <w:rStyle w:val="arttitle"/>
          <w:rFonts w:asciiTheme="minorHAnsi" w:hAnsiTheme="minorHAnsi" w:cstheme="minorHAnsi"/>
          <w:lang w:val="en-GB"/>
        </w:rPr>
        <w:t>Carbon and nitrogen stock in deadwood biomass in natural temperate forest along a soil moisture gradient,</w:t>
      </w:r>
      <w:r>
        <w:rPr>
          <w:rFonts w:asciiTheme="minorHAnsi" w:hAnsiTheme="minorHAnsi" w:cstheme="minorHAnsi"/>
          <w:lang w:val="en-GB"/>
        </w:rPr>
        <w:t xml:space="preserve"> </w:t>
      </w:r>
      <w:r>
        <w:rPr>
          <w:rStyle w:val="serialtitle"/>
          <w:rFonts w:asciiTheme="minorHAnsi" w:hAnsiTheme="minorHAnsi" w:cstheme="minorHAnsi"/>
          <w:lang w:val="en-GB"/>
        </w:rPr>
        <w:t>Plant Biosystems - An International Journal Dealing with all Aspects of Plant Biology,</w:t>
      </w:r>
      <w:r>
        <w:rPr>
          <w:rFonts w:asciiTheme="minorHAnsi" w:hAnsiTheme="minorHAnsi" w:cstheme="minorHAnsi"/>
          <w:lang w:val="en-GB"/>
        </w:rPr>
        <w:t xml:space="preserve"> </w:t>
      </w:r>
      <w:r>
        <w:rPr>
          <w:rStyle w:val="volumeissue"/>
          <w:rFonts w:asciiTheme="minorHAnsi" w:hAnsiTheme="minorHAnsi" w:cstheme="minorHAnsi"/>
          <w:lang w:val="en-GB"/>
        </w:rPr>
        <w:t>154:2,</w:t>
      </w:r>
      <w:r>
        <w:rPr>
          <w:rFonts w:asciiTheme="minorHAnsi" w:hAnsiTheme="minorHAnsi" w:cstheme="minorHAnsi"/>
          <w:lang w:val="en-GB"/>
        </w:rPr>
        <w:t xml:space="preserve"> </w:t>
      </w:r>
      <w:r>
        <w:rPr>
          <w:rStyle w:val="pagerange"/>
          <w:rFonts w:asciiTheme="minorHAnsi" w:hAnsiTheme="minorHAnsi" w:cstheme="minorHAnsi"/>
          <w:lang w:val="en-GB"/>
        </w:rPr>
        <w:t>213-221,</w:t>
      </w:r>
      <w:r>
        <w:rPr>
          <w:rFonts w:asciiTheme="minorHAnsi" w:hAnsiTheme="minorHAnsi" w:cstheme="minorHAnsi"/>
          <w:lang w:val="en-GB"/>
        </w:rPr>
        <w:t xml:space="preserve"> </w:t>
      </w:r>
      <w:r>
        <w:rPr>
          <w:rStyle w:val="doilink"/>
          <w:rFonts w:asciiTheme="minorHAnsi" w:hAnsiTheme="minorHAnsi" w:cstheme="minorHAnsi"/>
          <w:lang w:val="en-GB"/>
        </w:rPr>
        <w:t xml:space="preserve">DOI: </w:t>
      </w:r>
      <w:hyperlink r:id="rId46" w:history="1">
        <w:r>
          <w:rPr>
            <w:rStyle w:val="Hyperlink"/>
            <w:rFonts w:asciiTheme="minorHAnsi" w:hAnsiTheme="minorHAnsi" w:cstheme="minorHAnsi"/>
            <w:lang w:val="en-GB"/>
          </w:rPr>
          <w:t>10.1080/11263504.2019.1587538</w:t>
        </w:r>
      </w:hyperlink>
      <w:r>
        <w:rPr>
          <w:rFonts w:asciiTheme="minorHAnsi" w:hAnsiTheme="minorHAnsi" w:cstheme="minorHAnsi"/>
          <w:lang w:val="en-GB"/>
        </w:rPr>
        <w:t xml:space="preserve">; </w:t>
      </w:r>
      <w:hyperlink r:id="rId47" w:history="1">
        <w:r>
          <w:rPr>
            <w:rStyle w:val="Hyperlink"/>
            <w:rFonts w:asciiTheme="minorHAnsi" w:hAnsiTheme="minorHAnsi" w:cstheme="minorHAnsi"/>
            <w:lang w:val="en-GB"/>
          </w:rPr>
          <w:t>https://www.tandfonline.com/doi/full/10.1080/11263504.2019.1587538</w:t>
        </w:r>
      </w:hyperlink>
    </w:p>
    <w:p w14:paraId="29526C40" w14:textId="77777777" w:rsidR="004E200E" w:rsidRDefault="004E200E" w:rsidP="001D0D18">
      <w:pPr>
        <w:pStyle w:val="Listenabsatz"/>
        <w:numPr>
          <w:ilvl w:val="1"/>
          <w:numId w:val="13"/>
        </w:numPr>
        <w:rPr>
          <w:rFonts w:asciiTheme="minorHAnsi" w:hAnsiTheme="minorHAnsi" w:cstheme="minorHAnsi"/>
        </w:rPr>
      </w:pPr>
      <w:r>
        <w:rPr>
          <w:rFonts w:asciiTheme="minorHAnsi" w:hAnsiTheme="minorHAnsi" w:cstheme="minorHAnsi"/>
        </w:rPr>
        <w:t xml:space="preserve">Veröffentlichung über Stickstoff und Kohlenstoffvorrat in liegendem Totholz </w:t>
      </w:r>
    </w:p>
    <w:p w14:paraId="5A0F909D" w14:textId="77777777" w:rsidR="004E200E" w:rsidRDefault="004E200E" w:rsidP="001D0D18">
      <w:pPr>
        <w:pStyle w:val="Listenabsatz"/>
        <w:numPr>
          <w:ilvl w:val="1"/>
          <w:numId w:val="13"/>
        </w:numPr>
        <w:rPr>
          <w:rFonts w:asciiTheme="minorHAnsi" w:hAnsiTheme="minorHAnsi" w:cstheme="minorHAnsi"/>
        </w:rPr>
      </w:pPr>
      <w:r>
        <w:rPr>
          <w:rFonts w:asciiTheme="minorHAnsi" w:hAnsiTheme="minorHAnsi" w:cstheme="minorHAnsi"/>
        </w:rPr>
        <w:t xml:space="preserve">Untersuchungsgebiet sind verschiedene temperate </w:t>
      </w:r>
      <w:proofErr w:type="spellStart"/>
      <w:r>
        <w:rPr>
          <w:rFonts w:asciiTheme="minorHAnsi" w:hAnsiTheme="minorHAnsi" w:cstheme="minorHAnsi"/>
        </w:rPr>
        <w:t>mixed</w:t>
      </w:r>
      <w:proofErr w:type="spellEnd"/>
      <w:r>
        <w:rPr>
          <w:rFonts w:asciiTheme="minorHAnsi" w:hAnsiTheme="minorHAnsi" w:cstheme="minorHAnsi"/>
        </w:rPr>
        <w:t xml:space="preserve"> </w:t>
      </w:r>
      <w:proofErr w:type="spellStart"/>
      <w:r>
        <w:rPr>
          <w:rFonts w:asciiTheme="minorHAnsi" w:hAnsiTheme="minorHAnsi" w:cstheme="minorHAnsi"/>
        </w:rPr>
        <w:t>forests</w:t>
      </w:r>
      <w:proofErr w:type="spellEnd"/>
      <w:r>
        <w:rPr>
          <w:rFonts w:asciiTheme="minorHAnsi" w:hAnsiTheme="minorHAnsi" w:cstheme="minorHAnsi"/>
        </w:rPr>
        <w:t xml:space="preserve"> in Polen</w:t>
      </w:r>
    </w:p>
    <w:p w14:paraId="222BCE2C" w14:textId="77777777" w:rsidR="004E200E" w:rsidRDefault="004E200E" w:rsidP="001D0D18">
      <w:pPr>
        <w:pStyle w:val="Listenabsatz"/>
        <w:numPr>
          <w:ilvl w:val="0"/>
          <w:numId w:val="13"/>
        </w:numPr>
        <w:rPr>
          <w:rFonts w:asciiTheme="minorHAnsi" w:hAnsiTheme="minorHAnsi" w:cstheme="minorHAnsi"/>
        </w:rPr>
      </w:pPr>
    </w:p>
    <w:p w14:paraId="0591407C" w14:textId="77777777" w:rsidR="004E200E" w:rsidRPr="00E33A6F" w:rsidRDefault="004E200E" w:rsidP="004E200E">
      <w:pPr>
        <w:pStyle w:val="berschrift2"/>
        <w:numPr>
          <w:ilvl w:val="0"/>
          <w:numId w:val="0"/>
        </w:numPr>
        <w:ind w:left="574" w:hanging="574"/>
        <w:rPr>
          <w:rFonts w:asciiTheme="minorHAnsi" w:hAnsiTheme="minorHAnsi" w:cstheme="minorHAnsi"/>
        </w:rPr>
      </w:pPr>
    </w:p>
    <w:p w14:paraId="1878F85C" w14:textId="7CEB16D0" w:rsidR="00542EF4" w:rsidRPr="004E200E" w:rsidRDefault="00542EF4" w:rsidP="004E200E"/>
    <w:sectPr w:rsidR="00542EF4" w:rsidRPr="004E200E" w:rsidSect="00B23F48">
      <w:type w:val="continuous"/>
      <w:pgSz w:w="11913" w:h="16834" w:code="9"/>
      <w:pgMar w:top="1701" w:right="1191" w:bottom="1134" w:left="1191" w:header="567"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JB" w:date="2023-04-04T13:58:00Z" w:initials="JB">
    <w:p w14:paraId="5219749F" w14:textId="77777777" w:rsidR="001806CD" w:rsidRDefault="001806CD" w:rsidP="004E200E">
      <w:pPr>
        <w:pStyle w:val="Kommentartext"/>
      </w:pPr>
      <w:r>
        <w:rPr>
          <w:rStyle w:val="Kommentarzeichen"/>
        </w:rPr>
        <w:annotationRef/>
      </w:r>
      <w:r>
        <w:t>Lockow (2022) S. 440 schreibt: nicht unter 30 Messwert über alle Durchmesserklassen verteilt.</w:t>
      </w:r>
    </w:p>
  </w:comment>
  <w:comment w:id="6" w:author="Henriette Gercken" w:date="2023-04-12T09:22:00Z" w:initials="JB">
    <w:p w14:paraId="359BD127" w14:textId="77777777" w:rsidR="001806CD" w:rsidRDefault="001806CD" w:rsidP="004E200E">
      <w:pPr>
        <w:pStyle w:val="Kommentartext"/>
      </w:pPr>
      <w:r>
        <w:rPr>
          <w:rStyle w:val="Kommentarzeichen"/>
        </w:rPr>
        <w:annotationRef/>
      </w:r>
      <w:r>
        <w:t>Allerdings schreibt er das, damit man damit die Höhe und den Durchmesser des Grundflächenmittelstammes berechnen und dann die Richtige stelle der Einheitshöhentafeln nutzen kann. Die 30 Messwerte sind somit nötig um eine Input Größe für die Modelle zu erhalten. Die Modelle selber beruhen dann ja auf Messdaten aus der Vergangenheit, oder?</w:t>
      </w:r>
    </w:p>
    <w:p w14:paraId="35B39365" w14:textId="77777777" w:rsidR="001806CD" w:rsidRDefault="001806CD" w:rsidP="004E200E">
      <w:pPr>
        <w:pStyle w:val="Kommentartext"/>
      </w:pPr>
    </w:p>
  </w:comment>
  <w:comment w:id="7" w:author="JB" w:date="2023-04-04T13:20:00Z" w:initials="JB">
    <w:p w14:paraId="452A5572" w14:textId="77777777" w:rsidR="001806CD" w:rsidRDefault="001806CD" w:rsidP="004E200E">
      <w:pPr>
        <w:pStyle w:val="Kommentartext"/>
      </w:pPr>
      <w:r>
        <w:rPr>
          <w:rStyle w:val="Kommentarzeichen"/>
        </w:rPr>
        <w:annotationRef/>
      </w:r>
      <w:r>
        <w:t>Es muss geprüft werden, ob das R² ausreicht, um die Güte der Bestandeshöhenkurve dazustellen. Vlt dazu nochmal in Lockow</w:t>
      </w:r>
    </w:p>
  </w:comment>
  <w:comment w:id="10" w:author="JB" w:date="2023-04-04T13:29:00Z" w:initials="JB">
    <w:p w14:paraId="041CC265" w14:textId="77777777" w:rsidR="001806CD" w:rsidRDefault="001806CD" w:rsidP="004E200E">
      <w:pPr>
        <w:pStyle w:val="Kommentartext"/>
      </w:pPr>
      <w:r>
        <w:rPr>
          <w:rStyle w:val="Kommentarzeichen"/>
        </w:rPr>
        <w:annotationRef/>
      </w:r>
      <w:r>
        <w:t>Memo Definition: Oberhöhe h100 = Die Höhe des Grundflächenmittelstammes der 100 stärksten Stämme des Bestandes pro Hektar (Assmann 1961)</w:t>
      </w:r>
    </w:p>
  </w:comment>
  <w:comment w:id="14" w:author="Henriette Gercken" w:date="2023-04-12T09:37:00Z" w:initials="HG">
    <w:p w14:paraId="3CDD1F5C" w14:textId="77777777" w:rsidR="001806CD" w:rsidRDefault="001806CD" w:rsidP="004E200E">
      <w:pPr>
        <w:pStyle w:val="Kommentartext"/>
      </w:pPr>
      <w:r>
        <w:rPr>
          <w:rStyle w:val="Kommentarzeichen"/>
        </w:rPr>
        <w:annotationRef/>
      </w:r>
      <w:r>
        <w:t>Am vielversprechendsten</w:t>
      </w:r>
    </w:p>
  </w:comment>
  <w:comment w:id="24" w:author="Henriette Gercken" w:date="2023-06-26T10:43:00Z" w:initials="HG">
    <w:p w14:paraId="2F3546B6" w14:textId="22B46751" w:rsidR="001806CD" w:rsidRDefault="001806CD">
      <w:pPr>
        <w:pStyle w:val="Kommentartext"/>
      </w:pPr>
      <w:r>
        <w:rPr>
          <w:rStyle w:val="Kommentarzeichen"/>
        </w:rPr>
        <w:annotationRef/>
      </w:r>
      <w:r>
        <w:t xml:space="preserve">Das habe ich nicht berechnet, weil ich die Stockmasse ja irgendwie nicht rausbekommen kann? Können wir darüber nochmal reden? </w:t>
      </w:r>
    </w:p>
  </w:comment>
  <w:comment w:id="40" w:author="Henriette Gercken" w:date="2023-06-28T09:28:00Z" w:initials="HG">
    <w:p w14:paraId="160CE907" w14:textId="540F6F7A" w:rsidR="001806CD" w:rsidRDefault="001806CD">
      <w:pPr>
        <w:pStyle w:val="Kommentartext"/>
      </w:pPr>
      <w:r>
        <w:rPr>
          <w:rStyle w:val="Kommentarzeichen"/>
        </w:rPr>
        <w:annotationRef/>
      </w:r>
      <w:r>
        <w:t>Stimmt das überhaupt? Also verstehe ich es richtig, dass das Totholzvolumen in der jeweiligen Gruppe nur auf den Anteil der „</w:t>
      </w:r>
      <w:proofErr w:type="spellStart"/>
      <w:r>
        <w:t>Traktfläche</w:t>
      </w:r>
      <w:proofErr w:type="spellEnd"/>
      <w:r>
        <w:t xml:space="preserve">“ bezogen wurde, der von dem jeweiligen Totholztyp bedeckt wurde?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19749F" w15:done="0"/>
  <w15:commentEx w15:paraId="35B39365" w15:paraIdParent="5219749F" w15:done="0"/>
  <w15:commentEx w15:paraId="452A5572" w15:done="0"/>
  <w15:commentEx w15:paraId="041CC265" w15:done="1"/>
  <w15:commentEx w15:paraId="3CDD1F5C" w15:done="1"/>
  <w15:commentEx w15:paraId="2F3546B6" w15:done="0"/>
  <w15:commentEx w15:paraId="160CE90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19749F" w16cid:durableId="27F10D0F"/>
  <w16cid:commentId w16cid:paraId="35B39365" w16cid:durableId="27F10D10"/>
  <w16cid:commentId w16cid:paraId="452A5572" w16cid:durableId="27F10D11"/>
  <w16cid:commentId w16cid:paraId="041CC265" w16cid:durableId="27F10D12"/>
  <w16cid:commentId w16cid:paraId="3CDD1F5C" w16cid:durableId="27F10D16"/>
  <w16cid:commentId w16cid:paraId="2F3546B6" w16cid:durableId="2843EA63"/>
  <w16cid:commentId w16cid:paraId="160CE907" w16cid:durableId="28467B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66071" w14:textId="77777777" w:rsidR="007833DD" w:rsidRDefault="007833DD">
      <w:pPr>
        <w:spacing w:before="0" w:line="240" w:lineRule="auto"/>
      </w:pPr>
      <w:r>
        <w:separator/>
      </w:r>
    </w:p>
  </w:endnote>
  <w:endnote w:type="continuationSeparator" w:id="0">
    <w:p w14:paraId="725F5A8A" w14:textId="77777777" w:rsidR="007833DD" w:rsidRDefault="007833D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D540B" w14:textId="77777777" w:rsidR="007833DD" w:rsidRDefault="007833DD">
      <w:pPr>
        <w:spacing w:before="0" w:line="240" w:lineRule="auto"/>
      </w:pPr>
      <w:r>
        <w:separator/>
      </w:r>
    </w:p>
  </w:footnote>
  <w:footnote w:type="continuationSeparator" w:id="0">
    <w:p w14:paraId="2278DEB0" w14:textId="77777777" w:rsidR="007833DD" w:rsidRDefault="007833DD">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41A3"/>
    <w:multiLevelType w:val="multilevel"/>
    <w:tmpl w:val="7A9E7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646A1"/>
    <w:multiLevelType w:val="hybridMultilevel"/>
    <w:tmpl w:val="97AC1BA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7281B17"/>
    <w:multiLevelType w:val="multilevel"/>
    <w:tmpl w:val="C96CAB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D2728"/>
    <w:multiLevelType w:val="multilevel"/>
    <w:tmpl w:val="15801AD4"/>
    <w:styleLink w:val="Formatvorlage1"/>
    <w:lvl w:ilvl="0">
      <w:start w:val="1"/>
      <w:numFmt w:val="bullet"/>
      <w:pStyle w:val="Liste-1"/>
      <w:lvlText w:val=""/>
      <w:lvlJc w:val="left"/>
      <w:pPr>
        <w:ind w:left="281" w:hanging="284"/>
      </w:pPr>
      <w:rPr>
        <w:rFonts w:ascii="Symbol" w:hAnsi="Symbol" w:hint="default"/>
        <w:b w:val="0"/>
        <w:color w:val="008CD2"/>
        <w:u w:val="none" w:color="ED7D31" w:themeColor="accent2"/>
      </w:rPr>
    </w:lvl>
    <w:lvl w:ilvl="1">
      <w:start w:val="1"/>
      <w:numFmt w:val="bullet"/>
      <w:lvlText w:val="‒"/>
      <w:lvlJc w:val="left"/>
      <w:pPr>
        <w:ind w:left="564" w:hanging="283"/>
      </w:pPr>
      <w:rPr>
        <w:rFonts w:ascii="Calibri" w:hAnsi="Calibri" w:hint="default"/>
        <w:b/>
        <w:i w:val="0"/>
        <w:color w:val="008CD2"/>
        <w:sz w:val="21"/>
      </w:rPr>
    </w:lvl>
    <w:lvl w:ilvl="2">
      <w:start w:val="1"/>
      <w:numFmt w:val="bullet"/>
      <w:lvlText w:val=""/>
      <w:lvlJc w:val="left"/>
      <w:pPr>
        <w:ind w:left="848" w:hanging="284"/>
      </w:pPr>
      <w:rPr>
        <w:rFonts w:ascii="Wingdings" w:hAnsi="Wingdings" w:hint="default"/>
        <w:color w:val="008CD2"/>
      </w:rPr>
    </w:lvl>
    <w:lvl w:ilvl="3">
      <w:start w:val="1"/>
      <w:numFmt w:val="bullet"/>
      <w:lvlText w:val=""/>
      <w:lvlJc w:val="left"/>
      <w:pPr>
        <w:ind w:left="1131" w:hanging="283"/>
      </w:pPr>
      <w:rPr>
        <w:rFonts w:ascii="Symbol" w:hAnsi="Symbol" w:hint="default"/>
        <w:color w:val="000000" w:themeColor="text1"/>
      </w:rPr>
    </w:lvl>
    <w:lvl w:ilvl="4">
      <w:start w:val="1"/>
      <w:numFmt w:val="bullet"/>
      <w:lvlText w:val="o"/>
      <w:lvlJc w:val="left"/>
      <w:pPr>
        <w:ind w:left="1415" w:hanging="284"/>
      </w:pPr>
      <w:rPr>
        <w:rFonts w:ascii="Courier New" w:hAnsi="Courier New" w:hint="default"/>
      </w:rPr>
    </w:lvl>
    <w:lvl w:ilvl="5">
      <w:start w:val="1"/>
      <w:numFmt w:val="bullet"/>
      <w:lvlText w:val=""/>
      <w:lvlJc w:val="left"/>
      <w:pPr>
        <w:ind w:left="1698" w:hanging="283"/>
      </w:pPr>
      <w:rPr>
        <w:rFonts w:ascii="Wingdings" w:hAnsi="Wingdings" w:hint="default"/>
      </w:rPr>
    </w:lvl>
    <w:lvl w:ilvl="6">
      <w:start w:val="1"/>
      <w:numFmt w:val="bullet"/>
      <w:lvlText w:val=""/>
      <w:lvlJc w:val="left"/>
      <w:pPr>
        <w:ind w:left="1982" w:hanging="284"/>
      </w:pPr>
      <w:rPr>
        <w:rFonts w:ascii="Symbol" w:hAnsi="Symbol" w:hint="default"/>
      </w:rPr>
    </w:lvl>
    <w:lvl w:ilvl="7">
      <w:start w:val="1"/>
      <w:numFmt w:val="bullet"/>
      <w:lvlText w:val="o"/>
      <w:lvlJc w:val="left"/>
      <w:pPr>
        <w:ind w:left="2265" w:hanging="283"/>
      </w:pPr>
      <w:rPr>
        <w:rFonts w:ascii="Courier New" w:hAnsi="Courier New" w:hint="default"/>
      </w:rPr>
    </w:lvl>
    <w:lvl w:ilvl="8">
      <w:start w:val="1"/>
      <w:numFmt w:val="bullet"/>
      <w:lvlText w:val=""/>
      <w:lvlJc w:val="left"/>
      <w:pPr>
        <w:ind w:left="2549" w:hanging="284"/>
      </w:pPr>
      <w:rPr>
        <w:rFonts w:ascii="Wingdings" w:hAnsi="Wingdings" w:hint="default"/>
      </w:rPr>
    </w:lvl>
  </w:abstractNum>
  <w:abstractNum w:abstractNumId="4" w15:restartNumberingAfterBreak="0">
    <w:nsid w:val="186C1445"/>
    <w:multiLevelType w:val="multilevel"/>
    <w:tmpl w:val="994A2B2A"/>
    <w:numStyleLink w:val="Formatvorlage3"/>
  </w:abstractNum>
  <w:abstractNum w:abstractNumId="5" w15:restartNumberingAfterBreak="0">
    <w:nsid w:val="1E5010C5"/>
    <w:multiLevelType w:val="multilevel"/>
    <w:tmpl w:val="185A7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D532EF"/>
    <w:multiLevelType w:val="hybridMultilevel"/>
    <w:tmpl w:val="ABD46A82"/>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29CA68E1"/>
    <w:multiLevelType w:val="hybridMultilevel"/>
    <w:tmpl w:val="8A2A189E"/>
    <w:lvl w:ilvl="0" w:tplc="26FA96B0">
      <w:start w:val="5"/>
      <w:numFmt w:val="bullet"/>
      <w:lvlText w:val="-"/>
      <w:lvlJc w:val="left"/>
      <w:pPr>
        <w:ind w:left="1440" w:hanging="360"/>
      </w:pPr>
      <w:rPr>
        <w:rFonts w:ascii="Calibri" w:eastAsia="Times New Roman" w:hAnsi="Calibri" w:cs="Calibri" w:hint="default"/>
        <w:color w:val="auto"/>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8" w15:restartNumberingAfterBreak="0">
    <w:nsid w:val="2E7E41FC"/>
    <w:multiLevelType w:val="hybridMultilevel"/>
    <w:tmpl w:val="3920E96C"/>
    <w:lvl w:ilvl="0" w:tplc="BAF831FE">
      <w:start w:val="2"/>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F174855"/>
    <w:multiLevelType w:val="multilevel"/>
    <w:tmpl w:val="FD02EA68"/>
    <w:numStyleLink w:val="Formatvorlage2"/>
  </w:abstractNum>
  <w:abstractNum w:abstractNumId="10" w15:restartNumberingAfterBreak="0">
    <w:nsid w:val="315F34EA"/>
    <w:multiLevelType w:val="hybridMultilevel"/>
    <w:tmpl w:val="71205D4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5360EBC"/>
    <w:multiLevelType w:val="multilevel"/>
    <w:tmpl w:val="FD02EA68"/>
    <w:styleLink w:val="Formatvorlage2"/>
    <w:lvl w:ilvl="0">
      <w:start w:val="1"/>
      <w:numFmt w:val="bullet"/>
      <w:pStyle w:val="Liste-2"/>
      <w:lvlText w:val="‒"/>
      <w:lvlJc w:val="left"/>
      <w:pPr>
        <w:ind w:left="284" w:hanging="284"/>
      </w:pPr>
      <w:rPr>
        <w:rFonts w:ascii="Calibri" w:hAnsi="Calibri" w:hint="default"/>
        <w:b/>
        <w:i w:val="0"/>
        <w:color w:val="008CD2"/>
        <w:sz w:val="21"/>
        <w:szCs w:val="32"/>
        <w:u w:val="none" w:color="ED7D31" w:themeColor="accent2"/>
      </w:rPr>
    </w:lvl>
    <w:lvl w:ilvl="1">
      <w:start w:val="1"/>
      <w:numFmt w:val="bullet"/>
      <w:lvlText w:val=""/>
      <w:lvlJc w:val="left"/>
      <w:pPr>
        <w:ind w:left="567" w:hanging="283"/>
      </w:pPr>
      <w:rPr>
        <w:rFonts w:ascii="Symbol" w:hAnsi="Symbol" w:hint="default"/>
        <w:color w:val="008CD2"/>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12" w15:restartNumberingAfterBreak="0">
    <w:nsid w:val="388C20B8"/>
    <w:multiLevelType w:val="multilevel"/>
    <w:tmpl w:val="BD0AA90C"/>
    <w:lvl w:ilvl="0">
      <w:start w:val="1"/>
      <w:numFmt w:val="bullet"/>
      <w:lvlText w:val=""/>
      <w:lvlJc w:val="left"/>
      <w:pPr>
        <w:tabs>
          <w:tab w:val="num" w:pos="718"/>
        </w:tabs>
        <w:ind w:left="718" w:hanging="360"/>
      </w:pPr>
      <w:rPr>
        <w:rFonts w:ascii="Symbol" w:hAnsi="Symbol" w:hint="default"/>
        <w:sz w:val="20"/>
      </w:rPr>
    </w:lvl>
    <w:lvl w:ilvl="1">
      <w:start w:val="1"/>
      <w:numFmt w:val="bullet"/>
      <w:lvlText w:val="o"/>
      <w:lvlJc w:val="left"/>
      <w:pPr>
        <w:tabs>
          <w:tab w:val="num" w:pos="1438"/>
        </w:tabs>
        <w:ind w:left="1438" w:hanging="360"/>
      </w:pPr>
      <w:rPr>
        <w:rFonts w:ascii="Courier New" w:hAnsi="Courier New" w:hint="default"/>
        <w:sz w:val="20"/>
      </w:rPr>
    </w:lvl>
    <w:lvl w:ilvl="2">
      <w:start w:val="1"/>
      <w:numFmt w:val="bullet"/>
      <w:lvlText w:val=""/>
      <w:lvlJc w:val="left"/>
      <w:pPr>
        <w:tabs>
          <w:tab w:val="num" w:pos="2158"/>
        </w:tabs>
        <w:ind w:left="2158" w:hanging="360"/>
      </w:pPr>
      <w:rPr>
        <w:rFonts w:ascii="Wingdings" w:hAnsi="Wingdings" w:hint="default"/>
        <w:sz w:val="20"/>
      </w:rPr>
    </w:lvl>
    <w:lvl w:ilvl="3">
      <w:start w:val="1"/>
      <w:numFmt w:val="bullet"/>
      <w:lvlText w:val=""/>
      <w:lvlJc w:val="left"/>
      <w:pPr>
        <w:tabs>
          <w:tab w:val="num" w:pos="2878"/>
        </w:tabs>
        <w:ind w:left="2878" w:hanging="360"/>
      </w:pPr>
      <w:rPr>
        <w:rFonts w:ascii="Wingdings" w:hAnsi="Wingdings" w:hint="default"/>
        <w:sz w:val="20"/>
      </w:rPr>
    </w:lvl>
    <w:lvl w:ilvl="4" w:tentative="1">
      <w:start w:val="1"/>
      <w:numFmt w:val="bullet"/>
      <w:lvlText w:val=""/>
      <w:lvlJc w:val="left"/>
      <w:pPr>
        <w:tabs>
          <w:tab w:val="num" w:pos="3598"/>
        </w:tabs>
        <w:ind w:left="3598" w:hanging="360"/>
      </w:pPr>
      <w:rPr>
        <w:rFonts w:ascii="Wingdings" w:hAnsi="Wingdings" w:hint="default"/>
        <w:sz w:val="20"/>
      </w:rPr>
    </w:lvl>
    <w:lvl w:ilvl="5" w:tentative="1">
      <w:start w:val="1"/>
      <w:numFmt w:val="bullet"/>
      <w:lvlText w:val=""/>
      <w:lvlJc w:val="left"/>
      <w:pPr>
        <w:tabs>
          <w:tab w:val="num" w:pos="4318"/>
        </w:tabs>
        <w:ind w:left="4318" w:hanging="360"/>
      </w:pPr>
      <w:rPr>
        <w:rFonts w:ascii="Wingdings" w:hAnsi="Wingdings" w:hint="default"/>
        <w:sz w:val="20"/>
      </w:rPr>
    </w:lvl>
    <w:lvl w:ilvl="6" w:tentative="1">
      <w:start w:val="1"/>
      <w:numFmt w:val="bullet"/>
      <w:lvlText w:val=""/>
      <w:lvlJc w:val="left"/>
      <w:pPr>
        <w:tabs>
          <w:tab w:val="num" w:pos="5038"/>
        </w:tabs>
        <w:ind w:left="5038" w:hanging="360"/>
      </w:pPr>
      <w:rPr>
        <w:rFonts w:ascii="Wingdings" w:hAnsi="Wingdings" w:hint="default"/>
        <w:sz w:val="20"/>
      </w:rPr>
    </w:lvl>
    <w:lvl w:ilvl="7" w:tentative="1">
      <w:start w:val="1"/>
      <w:numFmt w:val="bullet"/>
      <w:lvlText w:val=""/>
      <w:lvlJc w:val="left"/>
      <w:pPr>
        <w:tabs>
          <w:tab w:val="num" w:pos="5758"/>
        </w:tabs>
        <w:ind w:left="5758" w:hanging="360"/>
      </w:pPr>
      <w:rPr>
        <w:rFonts w:ascii="Wingdings" w:hAnsi="Wingdings" w:hint="default"/>
        <w:sz w:val="20"/>
      </w:rPr>
    </w:lvl>
    <w:lvl w:ilvl="8" w:tentative="1">
      <w:start w:val="1"/>
      <w:numFmt w:val="bullet"/>
      <w:lvlText w:val=""/>
      <w:lvlJc w:val="left"/>
      <w:pPr>
        <w:tabs>
          <w:tab w:val="num" w:pos="6478"/>
        </w:tabs>
        <w:ind w:left="6478" w:hanging="360"/>
      </w:pPr>
      <w:rPr>
        <w:rFonts w:ascii="Wingdings" w:hAnsi="Wingdings" w:hint="default"/>
        <w:sz w:val="20"/>
      </w:rPr>
    </w:lvl>
  </w:abstractNum>
  <w:abstractNum w:abstractNumId="13" w15:restartNumberingAfterBreak="0">
    <w:nsid w:val="3BF7339B"/>
    <w:multiLevelType w:val="hybridMultilevel"/>
    <w:tmpl w:val="DB12BE12"/>
    <w:lvl w:ilvl="0" w:tplc="208041A6">
      <w:numFmt w:val="bullet"/>
      <w:lvlText w:val=""/>
      <w:lvlJc w:val="left"/>
      <w:pPr>
        <w:ind w:left="357" w:hanging="360"/>
      </w:pPr>
      <w:rPr>
        <w:rFonts w:ascii="Wingdings" w:eastAsia="Times New Roman" w:hAnsi="Wingdings" w:cs="Times New Roman" w:hint="default"/>
      </w:rPr>
    </w:lvl>
    <w:lvl w:ilvl="1" w:tplc="04070003" w:tentative="1">
      <w:start w:val="1"/>
      <w:numFmt w:val="bullet"/>
      <w:lvlText w:val="o"/>
      <w:lvlJc w:val="left"/>
      <w:pPr>
        <w:ind w:left="1077" w:hanging="360"/>
      </w:pPr>
      <w:rPr>
        <w:rFonts w:ascii="Courier New" w:hAnsi="Courier New" w:cs="Courier New" w:hint="default"/>
      </w:rPr>
    </w:lvl>
    <w:lvl w:ilvl="2" w:tplc="04070005" w:tentative="1">
      <w:start w:val="1"/>
      <w:numFmt w:val="bullet"/>
      <w:lvlText w:val=""/>
      <w:lvlJc w:val="left"/>
      <w:pPr>
        <w:ind w:left="1797" w:hanging="360"/>
      </w:pPr>
      <w:rPr>
        <w:rFonts w:ascii="Wingdings" w:hAnsi="Wingdings" w:hint="default"/>
      </w:rPr>
    </w:lvl>
    <w:lvl w:ilvl="3" w:tplc="04070001" w:tentative="1">
      <w:start w:val="1"/>
      <w:numFmt w:val="bullet"/>
      <w:lvlText w:val=""/>
      <w:lvlJc w:val="left"/>
      <w:pPr>
        <w:ind w:left="2517" w:hanging="360"/>
      </w:pPr>
      <w:rPr>
        <w:rFonts w:ascii="Symbol" w:hAnsi="Symbol" w:hint="default"/>
      </w:rPr>
    </w:lvl>
    <w:lvl w:ilvl="4" w:tplc="04070003" w:tentative="1">
      <w:start w:val="1"/>
      <w:numFmt w:val="bullet"/>
      <w:lvlText w:val="o"/>
      <w:lvlJc w:val="left"/>
      <w:pPr>
        <w:ind w:left="3237" w:hanging="360"/>
      </w:pPr>
      <w:rPr>
        <w:rFonts w:ascii="Courier New" w:hAnsi="Courier New" w:cs="Courier New" w:hint="default"/>
      </w:rPr>
    </w:lvl>
    <w:lvl w:ilvl="5" w:tplc="04070005" w:tentative="1">
      <w:start w:val="1"/>
      <w:numFmt w:val="bullet"/>
      <w:lvlText w:val=""/>
      <w:lvlJc w:val="left"/>
      <w:pPr>
        <w:ind w:left="3957" w:hanging="360"/>
      </w:pPr>
      <w:rPr>
        <w:rFonts w:ascii="Wingdings" w:hAnsi="Wingdings" w:hint="default"/>
      </w:rPr>
    </w:lvl>
    <w:lvl w:ilvl="6" w:tplc="04070001" w:tentative="1">
      <w:start w:val="1"/>
      <w:numFmt w:val="bullet"/>
      <w:lvlText w:val=""/>
      <w:lvlJc w:val="left"/>
      <w:pPr>
        <w:ind w:left="4677" w:hanging="360"/>
      </w:pPr>
      <w:rPr>
        <w:rFonts w:ascii="Symbol" w:hAnsi="Symbol" w:hint="default"/>
      </w:rPr>
    </w:lvl>
    <w:lvl w:ilvl="7" w:tplc="04070003" w:tentative="1">
      <w:start w:val="1"/>
      <w:numFmt w:val="bullet"/>
      <w:lvlText w:val="o"/>
      <w:lvlJc w:val="left"/>
      <w:pPr>
        <w:ind w:left="5397" w:hanging="360"/>
      </w:pPr>
      <w:rPr>
        <w:rFonts w:ascii="Courier New" w:hAnsi="Courier New" w:cs="Courier New" w:hint="default"/>
      </w:rPr>
    </w:lvl>
    <w:lvl w:ilvl="8" w:tplc="04070005" w:tentative="1">
      <w:start w:val="1"/>
      <w:numFmt w:val="bullet"/>
      <w:lvlText w:val=""/>
      <w:lvlJc w:val="left"/>
      <w:pPr>
        <w:ind w:left="6117" w:hanging="360"/>
      </w:pPr>
      <w:rPr>
        <w:rFonts w:ascii="Wingdings" w:hAnsi="Wingdings" w:hint="default"/>
      </w:rPr>
    </w:lvl>
  </w:abstractNum>
  <w:abstractNum w:abstractNumId="14" w15:restartNumberingAfterBreak="0">
    <w:nsid w:val="3D4B196F"/>
    <w:multiLevelType w:val="hybridMultilevel"/>
    <w:tmpl w:val="DFF0A1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15A4263"/>
    <w:multiLevelType w:val="hybridMultilevel"/>
    <w:tmpl w:val="118C63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4030F018">
      <w:numFmt w:val="bullet"/>
      <w:lvlText w:val=""/>
      <w:lvlJc w:val="left"/>
      <w:pPr>
        <w:ind w:left="3600" w:hanging="360"/>
      </w:pPr>
      <w:rPr>
        <w:rFonts w:ascii="Wingdings" w:eastAsia="Times New Roman" w:hAnsi="Wingdings" w:cs="Times New Roman"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1E459F2"/>
    <w:multiLevelType w:val="hybridMultilevel"/>
    <w:tmpl w:val="4170E226"/>
    <w:lvl w:ilvl="0" w:tplc="26FA96B0">
      <w:start w:val="5"/>
      <w:numFmt w:val="bullet"/>
      <w:lvlText w:val="-"/>
      <w:lvlJc w:val="left"/>
      <w:pPr>
        <w:ind w:left="721" w:hanging="360"/>
      </w:pPr>
      <w:rPr>
        <w:rFonts w:ascii="Calibri" w:eastAsia="Times New Roman" w:hAnsi="Calibri" w:cs="Calibri" w:hint="default"/>
        <w:color w:val="auto"/>
      </w:rPr>
    </w:lvl>
    <w:lvl w:ilvl="1" w:tplc="04070003">
      <w:start w:val="1"/>
      <w:numFmt w:val="bullet"/>
      <w:lvlText w:val="o"/>
      <w:lvlJc w:val="left"/>
      <w:pPr>
        <w:ind w:left="1441" w:hanging="360"/>
      </w:pPr>
      <w:rPr>
        <w:rFonts w:ascii="Courier New" w:hAnsi="Courier New" w:cs="Courier New" w:hint="default"/>
      </w:rPr>
    </w:lvl>
    <w:lvl w:ilvl="2" w:tplc="948E9CE4">
      <w:numFmt w:val="bullet"/>
      <w:lvlText w:val=""/>
      <w:lvlJc w:val="left"/>
      <w:pPr>
        <w:ind w:left="2161" w:hanging="360"/>
      </w:pPr>
      <w:rPr>
        <w:rFonts w:ascii="Wingdings" w:eastAsia="Times New Roman" w:hAnsi="Wingdings" w:cstheme="minorHAnsi" w:hint="default"/>
      </w:rPr>
    </w:lvl>
    <w:lvl w:ilvl="3" w:tplc="04070001">
      <w:start w:val="1"/>
      <w:numFmt w:val="bullet"/>
      <w:lvlText w:val=""/>
      <w:lvlJc w:val="left"/>
      <w:pPr>
        <w:ind w:left="2881" w:hanging="360"/>
      </w:pPr>
      <w:rPr>
        <w:rFonts w:ascii="Symbol" w:hAnsi="Symbol" w:hint="default"/>
      </w:rPr>
    </w:lvl>
    <w:lvl w:ilvl="4" w:tplc="04070003" w:tentative="1">
      <w:start w:val="1"/>
      <w:numFmt w:val="bullet"/>
      <w:lvlText w:val="o"/>
      <w:lvlJc w:val="left"/>
      <w:pPr>
        <w:ind w:left="3601" w:hanging="360"/>
      </w:pPr>
      <w:rPr>
        <w:rFonts w:ascii="Courier New" w:hAnsi="Courier New" w:cs="Courier New" w:hint="default"/>
      </w:rPr>
    </w:lvl>
    <w:lvl w:ilvl="5" w:tplc="04070005" w:tentative="1">
      <w:start w:val="1"/>
      <w:numFmt w:val="bullet"/>
      <w:lvlText w:val=""/>
      <w:lvlJc w:val="left"/>
      <w:pPr>
        <w:ind w:left="4321" w:hanging="360"/>
      </w:pPr>
      <w:rPr>
        <w:rFonts w:ascii="Wingdings" w:hAnsi="Wingdings" w:hint="default"/>
      </w:rPr>
    </w:lvl>
    <w:lvl w:ilvl="6" w:tplc="04070001" w:tentative="1">
      <w:start w:val="1"/>
      <w:numFmt w:val="bullet"/>
      <w:lvlText w:val=""/>
      <w:lvlJc w:val="left"/>
      <w:pPr>
        <w:ind w:left="5041" w:hanging="360"/>
      </w:pPr>
      <w:rPr>
        <w:rFonts w:ascii="Symbol" w:hAnsi="Symbol" w:hint="default"/>
      </w:rPr>
    </w:lvl>
    <w:lvl w:ilvl="7" w:tplc="04070003" w:tentative="1">
      <w:start w:val="1"/>
      <w:numFmt w:val="bullet"/>
      <w:lvlText w:val="o"/>
      <w:lvlJc w:val="left"/>
      <w:pPr>
        <w:ind w:left="5761" w:hanging="360"/>
      </w:pPr>
      <w:rPr>
        <w:rFonts w:ascii="Courier New" w:hAnsi="Courier New" w:cs="Courier New" w:hint="default"/>
      </w:rPr>
    </w:lvl>
    <w:lvl w:ilvl="8" w:tplc="04070005" w:tentative="1">
      <w:start w:val="1"/>
      <w:numFmt w:val="bullet"/>
      <w:lvlText w:val=""/>
      <w:lvlJc w:val="left"/>
      <w:pPr>
        <w:ind w:left="6481" w:hanging="360"/>
      </w:pPr>
      <w:rPr>
        <w:rFonts w:ascii="Wingdings" w:hAnsi="Wingdings" w:hint="default"/>
      </w:rPr>
    </w:lvl>
  </w:abstractNum>
  <w:abstractNum w:abstractNumId="17" w15:restartNumberingAfterBreak="0">
    <w:nsid w:val="546C72FC"/>
    <w:multiLevelType w:val="hybridMultilevel"/>
    <w:tmpl w:val="0D64F28E"/>
    <w:lvl w:ilvl="0" w:tplc="0407000F">
      <w:start w:val="1"/>
      <w:numFmt w:val="decimal"/>
      <w:lvlText w:val="%1."/>
      <w:lvlJc w:val="left"/>
      <w:pPr>
        <w:ind w:left="1081" w:hanging="360"/>
      </w:pPr>
    </w:lvl>
    <w:lvl w:ilvl="1" w:tplc="04070019" w:tentative="1">
      <w:start w:val="1"/>
      <w:numFmt w:val="lowerLetter"/>
      <w:lvlText w:val="%2."/>
      <w:lvlJc w:val="left"/>
      <w:pPr>
        <w:ind w:left="1801" w:hanging="360"/>
      </w:pPr>
    </w:lvl>
    <w:lvl w:ilvl="2" w:tplc="0407001B" w:tentative="1">
      <w:start w:val="1"/>
      <w:numFmt w:val="lowerRoman"/>
      <w:lvlText w:val="%3."/>
      <w:lvlJc w:val="right"/>
      <w:pPr>
        <w:ind w:left="2521" w:hanging="180"/>
      </w:pPr>
    </w:lvl>
    <w:lvl w:ilvl="3" w:tplc="0407000F" w:tentative="1">
      <w:start w:val="1"/>
      <w:numFmt w:val="decimal"/>
      <w:lvlText w:val="%4."/>
      <w:lvlJc w:val="left"/>
      <w:pPr>
        <w:ind w:left="3241" w:hanging="360"/>
      </w:pPr>
    </w:lvl>
    <w:lvl w:ilvl="4" w:tplc="04070019" w:tentative="1">
      <w:start w:val="1"/>
      <w:numFmt w:val="lowerLetter"/>
      <w:lvlText w:val="%5."/>
      <w:lvlJc w:val="left"/>
      <w:pPr>
        <w:ind w:left="3961" w:hanging="360"/>
      </w:pPr>
    </w:lvl>
    <w:lvl w:ilvl="5" w:tplc="0407001B" w:tentative="1">
      <w:start w:val="1"/>
      <w:numFmt w:val="lowerRoman"/>
      <w:lvlText w:val="%6."/>
      <w:lvlJc w:val="right"/>
      <w:pPr>
        <w:ind w:left="4681" w:hanging="180"/>
      </w:pPr>
    </w:lvl>
    <w:lvl w:ilvl="6" w:tplc="0407000F" w:tentative="1">
      <w:start w:val="1"/>
      <w:numFmt w:val="decimal"/>
      <w:lvlText w:val="%7."/>
      <w:lvlJc w:val="left"/>
      <w:pPr>
        <w:ind w:left="5401" w:hanging="360"/>
      </w:pPr>
    </w:lvl>
    <w:lvl w:ilvl="7" w:tplc="04070019" w:tentative="1">
      <w:start w:val="1"/>
      <w:numFmt w:val="lowerLetter"/>
      <w:lvlText w:val="%8."/>
      <w:lvlJc w:val="left"/>
      <w:pPr>
        <w:ind w:left="6121" w:hanging="360"/>
      </w:pPr>
    </w:lvl>
    <w:lvl w:ilvl="8" w:tplc="0407001B" w:tentative="1">
      <w:start w:val="1"/>
      <w:numFmt w:val="lowerRoman"/>
      <w:lvlText w:val="%9."/>
      <w:lvlJc w:val="right"/>
      <w:pPr>
        <w:ind w:left="6841" w:hanging="180"/>
      </w:pPr>
    </w:lvl>
  </w:abstractNum>
  <w:abstractNum w:abstractNumId="18" w15:restartNumberingAfterBreak="0">
    <w:nsid w:val="5575265A"/>
    <w:multiLevelType w:val="hybridMultilevel"/>
    <w:tmpl w:val="F8D4A55E"/>
    <w:lvl w:ilvl="0" w:tplc="B008D52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66C3A9B"/>
    <w:multiLevelType w:val="multilevel"/>
    <w:tmpl w:val="2A3EE03A"/>
    <w:lvl w:ilvl="0">
      <w:start w:val="1"/>
      <w:numFmt w:val="decimal"/>
      <w:pStyle w:val="berschrift1"/>
      <w:lvlText w:val="%1"/>
      <w:lvlJc w:val="left"/>
      <w:pPr>
        <w:ind w:left="430" w:hanging="432"/>
      </w:pPr>
      <w:rPr>
        <w:rFonts w:hint="default"/>
      </w:rPr>
    </w:lvl>
    <w:lvl w:ilvl="1">
      <w:start w:val="1"/>
      <w:numFmt w:val="decimal"/>
      <w:pStyle w:val="berschrift2"/>
      <w:lvlText w:val="%1.%2"/>
      <w:lvlJc w:val="left"/>
      <w:pPr>
        <w:ind w:left="574" w:hanging="576"/>
      </w:pPr>
      <w:rPr>
        <w:rFonts w:hint="default"/>
      </w:rPr>
    </w:lvl>
    <w:lvl w:ilvl="2">
      <w:start w:val="1"/>
      <w:numFmt w:val="decimal"/>
      <w:pStyle w:val="berschrift3"/>
      <w:lvlText w:val="%1.%2.%3"/>
      <w:lvlJc w:val="left"/>
      <w:pPr>
        <w:ind w:left="794" w:hanging="79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1019" w:hanging="1021"/>
      </w:pPr>
      <w:rPr>
        <w:rFonts w:hint="default"/>
      </w:rPr>
    </w:lvl>
    <w:lvl w:ilvl="4">
      <w:start w:val="1"/>
      <w:numFmt w:val="decimal"/>
      <w:pStyle w:val="berschrift5"/>
      <w:lvlText w:val="%1.%2.%3.%4.%5"/>
      <w:lvlJc w:val="left"/>
      <w:pPr>
        <w:ind w:left="1006" w:hanging="1008"/>
      </w:pPr>
      <w:rPr>
        <w:rFonts w:hint="default"/>
      </w:rPr>
    </w:lvl>
    <w:lvl w:ilvl="5">
      <w:start w:val="1"/>
      <w:numFmt w:val="decimal"/>
      <w:pStyle w:val="berschrift6"/>
      <w:lvlText w:val="%1.%2.%3.%4.%5.%6"/>
      <w:lvlJc w:val="left"/>
      <w:pPr>
        <w:ind w:left="1150" w:hanging="1152"/>
      </w:pPr>
      <w:rPr>
        <w:rFonts w:hint="default"/>
      </w:rPr>
    </w:lvl>
    <w:lvl w:ilvl="6">
      <w:start w:val="1"/>
      <w:numFmt w:val="decimal"/>
      <w:pStyle w:val="berschrift7"/>
      <w:lvlText w:val="%1.%2.%3.%4.%5.%6.%7"/>
      <w:lvlJc w:val="left"/>
      <w:pPr>
        <w:ind w:left="1294" w:hanging="1296"/>
      </w:pPr>
      <w:rPr>
        <w:rFonts w:hint="default"/>
      </w:rPr>
    </w:lvl>
    <w:lvl w:ilvl="7">
      <w:start w:val="1"/>
      <w:numFmt w:val="decimal"/>
      <w:pStyle w:val="berschrift8"/>
      <w:lvlText w:val="%1.%2.%3.%4.%5.%6.%7.%8"/>
      <w:lvlJc w:val="left"/>
      <w:pPr>
        <w:ind w:left="1983" w:hanging="1985"/>
      </w:pPr>
      <w:rPr>
        <w:rFonts w:hint="default"/>
      </w:rPr>
    </w:lvl>
    <w:lvl w:ilvl="8">
      <w:start w:val="1"/>
      <w:numFmt w:val="decimal"/>
      <w:pStyle w:val="berschrift9"/>
      <w:lvlText w:val="%1.%2.%3.%4.%5.%6.%7.%8.%9"/>
      <w:lvlJc w:val="left"/>
      <w:pPr>
        <w:ind w:left="2266" w:hanging="2268"/>
      </w:pPr>
      <w:rPr>
        <w:rFonts w:hint="default"/>
      </w:rPr>
    </w:lvl>
  </w:abstractNum>
  <w:abstractNum w:abstractNumId="20" w15:restartNumberingAfterBreak="0">
    <w:nsid w:val="567B63BD"/>
    <w:multiLevelType w:val="hybridMultilevel"/>
    <w:tmpl w:val="13AE45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9653D74"/>
    <w:multiLevelType w:val="multilevel"/>
    <w:tmpl w:val="994A2B2A"/>
    <w:styleLink w:val="Formatvorlage3"/>
    <w:lvl w:ilvl="0">
      <w:start w:val="1"/>
      <w:numFmt w:val="decimal"/>
      <w:pStyle w:val="Liste-3"/>
      <w:lvlText w:val="(%1)"/>
      <w:lvlJc w:val="left"/>
      <w:pPr>
        <w:tabs>
          <w:tab w:val="num" w:pos="567"/>
        </w:tabs>
        <w:ind w:left="425" w:hanging="425"/>
      </w:pPr>
      <w:rPr>
        <w:rFonts w:hint="default"/>
        <w:b w:val="0"/>
        <w:i w:val="0"/>
      </w:rPr>
    </w:lvl>
    <w:lvl w:ilvl="1">
      <w:start w:val="1"/>
      <w:numFmt w:val="lowerLetter"/>
      <w:lvlText w:val="%2."/>
      <w:lvlJc w:val="left"/>
      <w:pPr>
        <w:tabs>
          <w:tab w:val="num" w:pos="1134"/>
        </w:tabs>
        <w:ind w:left="851" w:hanging="397"/>
      </w:pPr>
      <w:rPr>
        <w:rFonts w:hint="default"/>
      </w:rPr>
    </w:lvl>
    <w:lvl w:ilvl="2">
      <w:start w:val="1"/>
      <w:numFmt w:val="lowerRoman"/>
      <w:lvlText w:val="%3."/>
      <w:lvlJc w:val="right"/>
      <w:pPr>
        <w:tabs>
          <w:tab w:val="num" w:pos="1701"/>
        </w:tabs>
        <w:ind w:left="1247" w:hanging="255"/>
      </w:pPr>
      <w:rPr>
        <w:rFonts w:hint="default"/>
      </w:rPr>
    </w:lvl>
    <w:lvl w:ilvl="3">
      <w:start w:val="1"/>
      <w:numFmt w:val="decimal"/>
      <w:lvlText w:val="%4."/>
      <w:lvlJc w:val="left"/>
      <w:pPr>
        <w:tabs>
          <w:tab w:val="num" w:pos="2268"/>
        </w:tabs>
        <w:ind w:left="1814" w:hanging="680"/>
      </w:pPr>
      <w:rPr>
        <w:rFonts w:hint="default"/>
      </w:rPr>
    </w:lvl>
    <w:lvl w:ilvl="4">
      <w:start w:val="1"/>
      <w:numFmt w:val="lowerLetter"/>
      <w:lvlText w:val="%5."/>
      <w:lvlJc w:val="left"/>
      <w:pPr>
        <w:tabs>
          <w:tab w:val="num" w:pos="2835"/>
        </w:tabs>
        <w:ind w:left="2268" w:hanging="454"/>
      </w:pPr>
      <w:rPr>
        <w:rFonts w:hint="default"/>
      </w:rPr>
    </w:lvl>
    <w:lvl w:ilvl="5">
      <w:start w:val="1"/>
      <w:numFmt w:val="lowerRoman"/>
      <w:lvlText w:val="%6."/>
      <w:lvlJc w:val="right"/>
      <w:pPr>
        <w:tabs>
          <w:tab w:val="num" w:pos="3402"/>
        </w:tabs>
        <w:ind w:left="2722" w:hanging="454"/>
      </w:pPr>
      <w:rPr>
        <w:rFonts w:hint="default"/>
      </w:rPr>
    </w:lvl>
    <w:lvl w:ilvl="6">
      <w:start w:val="1"/>
      <w:numFmt w:val="decimal"/>
      <w:lvlText w:val="%7."/>
      <w:lvlJc w:val="left"/>
      <w:pPr>
        <w:tabs>
          <w:tab w:val="num" w:pos="3969"/>
        </w:tabs>
        <w:ind w:left="3175" w:hanging="453"/>
      </w:pPr>
      <w:rPr>
        <w:rFonts w:hint="default"/>
      </w:rPr>
    </w:lvl>
    <w:lvl w:ilvl="7">
      <w:start w:val="1"/>
      <w:numFmt w:val="lowerLetter"/>
      <w:lvlText w:val="%8."/>
      <w:lvlJc w:val="left"/>
      <w:pPr>
        <w:tabs>
          <w:tab w:val="num" w:pos="4536"/>
        </w:tabs>
        <w:ind w:left="3629" w:hanging="454"/>
      </w:pPr>
      <w:rPr>
        <w:rFonts w:hint="default"/>
      </w:rPr>
    </w:lvl>
    <w:lvl w:ilvl="8">
      <w:start w:val="1"/>
      <w:numFmt w:val="lowerRoman"/>
      <w:lvlText w:val="%9."/>
      <w:lvlJc w:val="right"/>
      <w:pPr>
        <w:tabs>
          <w:tab w:val="num" w:pos="5103"/>
        </w:tabs>
        <w:ind w:left="4082" w:hanging="453"/>
      </w:pPr>
      <w:rPr>
        <w:rFonts w:hint="default"/>
      </w:rPr>
    </w:lvl>
  </w:abstractNum>
  <w:abstractNum w:abstractNumId="22" w15:restartNumberingAfterBreak="0">
    <w:nsid w:val="5B157473"/>
    <w:multiLevelType w:val="hybridMultilevel"/>
    <w:tmpl w:val="7DE2E704"/>
    <w:lvl w:ilvl="0" w:tplc="04070001">
      <w:start w:val="1"/>
      <w:numFmt w:val="bullet"/>
      <w:lvlText w:val=""/>
      <w:lvlJc w:val="left"/>
      <w:pPr>
        <w:ind w:left="719" w:hanging="360"/>
      </w:pPr>
      <w:rPr>
        <w:rFonts w:ascii="Symbol" w:hAnsi="Symbol" w:hint="default"/>
      </w:rPr>
    </w:lvl>
    <w:lvl w:ilvl="1" w:tplc="04070003">
      <w:start w:val="1"/>
      <w:numFmt w:val="bullet"/>
      <w:lvlText w:val="o"/>
      <w:lvlJc w:val="left"/>
      <w:pPr>
        <w:ind w:left="1439" w:hanging="360"/>
      </w:pPr>
      <w:rPr>
        <w:rFonts w:ascii="Courier New" w:hAnsi="Courier New" w:cs="Courier New" w:hint="default"/>
      </w:rPr>
    </w:lvl>
    <w:lvl w:ilvl="2" w:tplc="04070005">
      <w:start w:val="1"/>
      <w:numFmt w:val="bullet"/>
      <w:lvlText w:val=""/>
      <w:lvlJc w:val="left"/>
      <w:pPr>
        <w:ind w:left="2159" w:hanging="360"/>
      </w:pPr>
      <w:rPr>
        <w:rFonts w:ascii="Wingdings" w:hAnsi="Wingdings" w:hint="default"/>
      </w:rPr>
    </w:lvl>
    <w:lvl w:ilvl="3" w:tplc="04070001">
      <w:start w:val="1"/>
      <w:numFmt w:val="bullet"/>
      <w:lvlText w:val=""/>
      <w:lvlJc w:val="left"/>
      <w:pPr>
        <w:ind w:left="2879" w:hanging="360"/>
      </w:pPr>
      <w:rPr>
        <w:rFonts w:ascii="Symbol" w:hAnsi="Symbol" w:hint="default"/>
      </w:rPr>
    </w:lvl>
    <w:lvl w:ilvl="4" w:tplc="04070003">
      <w:start w:val="1"/>
      <w:numFmt w:val="bullet"/>
      <w:lvlText w:val="o"/>
      <w:lvlJc w:val="left"/>
      <w:pPr>
        <w:ind w:left="3599" w:hanging="360"/>
      </w:pPr>
      <w:rPr>
        <w:rFonts w:ascii="Courier New" w:hAnsi="Courier New" w:cs="Courier New" w:hint="default"/>
      </w:rPr>
    </w:lvl>
    <w:lvl w:ilvl="5" w:tplc="04070005" w:tentative="1">
      <w:start w:val="1"/>
      <w:numFmt w:val="bullet"/>
      <w:lvlText w:val=""/>
      <w:lvlJc w:val="left"/>
      <w:pPr>
        <w:ind w:left="4319" w:hanging="360"/>
      </w:pPr>
      <w:rPr>
        <w:rFonts w:ascii="Wingdings" w:hAnsi="Wingdings" w:hint="default"/>
      </w:rPr>
    </w:lvl>
    <w:lvl w:ilvl="6" w:tplc="04070001" w:tentative="1">
      <w:start w:val="1"/>
      <w:numFmt w:val="bullet"/>
      <w:lvlText w:val=""/>
      <w:lvlJc w:val="left"/>
      <w:pPr>
        <w:ind w:left="5039" w:hanging="360"/>
      </w:pPr>
      <w:rPr>
        <w:rFonts w:ascii="Symbol" w:hAnsi="Symbol" w:hint="default"/>
      </w:rPr>
    </w:lvl>
    <w:lvl w:ilvl="7" w:tplc="04070003" w:tentative="1">
      <w:start w:val="1"/>
      <w:numFmt w:val="bullet"/>
      <w:lvlText w:val="o"/>
      <w:lvlJc w:val="left"/>
      <w:pPr>
        <w:ind w:left="5759" w:hanging="360"/>
      </w:pPr>
      <w:rPr>
        <w:rFonts w:ascii="Courier New" w:hAnsi="Courier New" w:cs="Courier New" w:hint="default"/>
      </w:rPr>
    </w:lvl>
    <w:lvl w:ilvl="8" w:tplc="04070005" w:tentative="1">
      <w:start w:val="1"/>
      <w:numFmt w:val="bullet"/>
      <w:lvlText w:val=""/>
      <w:lvlJc w:val="left"/>
      <w:pPr>
        <w:ind w:left="6479" w:hanging="360"/>
      </w:pPr>
      <w:rPr>
        <w:rFonts w:ascii="Wingdings" w:hAnsi="Wingdings" w:hint="default"/>
      </w:rPr>
    </w:lvl>
  </w:abstractNum>
  <w:abstractNum w:abstractNumId="23" w15:restartNumberingAfterBreak="0">
    <w:nsid w:val="5C224CA8"/>
    <w:multiLevelType w:val="hybridMultilevel"/>
    <w:tmpl w:val="1778C054"/>
    <w:lvl w:ilvl="0" w:tplc="0407000F">
      <w:start w:val="1"/>
      <w:numFmt w:val="decimal"/>
      <w:lvlText w:val="%1."/>
      <w:lvlJc w:val="left"/>
      <w:pPr>
        <w:ind w:left="721" w:hanging="360"/>
      </w:pPr>
      <w:rPr>
        <w:rFonts w:hint="default"/>
        <w:color w:val="auto"/>
      </w:rPr>
    </w:lvl>
    <w:lvl w:ilvl="1" w:tplc="04070003">
      <w:start w:val="1"/>
      <w:numFmt w:val="bullet"/>
      <w:lvlText w:val="o"/>
      <w:lvlJc w:val="left"/>
      <w:pPr>
        <w:ind w:left="1441" w:hanging="360"/>
      </w:pPr>
      <w:rPr>
        <w:rFonts w:ascii="Courier New" w:hAnsi="Courier New" w:cs="Courier New" w:hint="default"/>
      </w:rPr>
    </w:lvl>
    <w:lvl w:ilvl="2" w:tplc="948E9CE4">
      <w:numFmt w:val="bullet"/>
      <w:lvlText w:val=""/>
      <w:lvlJc w:val="left"/>
      <w:pPr>
        <w:ind w:left="1494" w:hanging="360"/>
      </w:pPr>
      <w:rPr>
        <w:rFonts w:ascii="Wingdings" w:eastAsia="Times New Roman" w:hAnsi="Wingdings" w:cstheme="minorHAnsi" w:hint="default"/>
      </w:rPr>
    </w:lvl>
    <w:lvl w:ilvl="3" w:tplc="04070001">
      <w:start w:val="1"/>
      <w:numFmt w:val="bullet"/>
      <w:lvlText w:val=""/>
      <w:lvlJc w:val="left"/>
      <w:pPr>
        <w:ind w:left="2881" w:hanging="360"/>
      </w:pPr>
      <w:rPr>
        <w:rFonts w:ascii="Symbol" w:hAnsi="Symbol" w:hint="default"/>
      </w:rPr>
    </w:lvl>
    <w:lvl w:ilvl="4" w:tplc="04070003" w:tentative="1">
      <w:start w:val="1"/>
      <w:numFmt w:val="bullet"/>
      <w:lvlText w:val="o"/>
      <w:lvlJc w:val="left"/>
      <w:pPr>
        <w:ind w:left="3601" w:hanging="360"/>
      </w:pPr>
      <w:rPr>
        <w:rFonts w:ascii="Courier New" w:hAnsi="Courier New" w:cs="Courier New" w:hint="default"/>
      </w:rPr>
    </w:lvl>
    <w:lvl w:ilvl="5" w:tplc="04070005" w:tentative="1">
      <w:start w:val="1"/>
      <w:numFmt w:val="bullet"/>
      <w:lvlText w:val=""/>
      <w:lvlJc w:val="left"/>
      <w:pPr>
        <w:ind w:left="4321" w:hanging="360"/>
      </w:pPr>
      <w:rPr>
        <w:rFonts w:ascii="Wingdings" w:hAnsi="Wingdings" w:hint="default"/>
      </w:rPr>
    </w:lvl>
    <w:lvl w:ilvl="6" w:tplc="04070001" w:tentative="1">
      <w:start w:val="1"/>
      <w:numFmt w:val="bullet"/>
      <w:lvlText w:val=""/>
      <w:lvlJc w:val="left"/>
      <w:pPr>
        <w:ind w:left="5041" w:hanging="360"/>
      </w:pPr>
      <w:rPr>
        <w:rFonts w:ascii="Symbol" w:hAnsi="Symbol" w:hint="default"/>
      </w:rPr>
    </w:lvl>
    <w:lvl w:ilvl="7" w:tplc="04070003" w:tentative="1">
      <w:start w:val="1"/>
      <w:numFmt w:val="bullet"/>
      <w:lvlText w:val="o"/>
      <w:lvlJc w:val="left"/>
      <w:pPr>
        <w:ind w:left="5761" w:hanging="360"/>
      </w:pPr>
      <w:rPr>
        <w:rFonts w:ascii="Courier New" w:hAnsi="Courier New" w:cs="Courier New" w:hint="default"/>
      </w:rPr>
    </w:lvl>
    <w:lvl w:ilvl="8" w:tplc="04070005" w:tentative="1">
      <w:start w:val="1"/>
      <w:numFmt w:val="bullet"/>
      <w:lvlText w:val=""/>
      <w:lvlJc w:val="left"/>
      <w:pPr>
        <w:ind w:left="6481" w:hanging="360"/>
      </w:pPr>
      <w:rPr>
        <w:rFonts w:ascii="Wingdings" w:hAnsi="Wingdings" w:hint="default"/>
      </w:rPr>
    </w:lvl>
  </w:abstractNum>
  <w:abstractNum w:abstractNumId="24" w15:restartNumberingAfterBreak="0">
    <w:nsid w:val="71132C3D"/>
    <w:multiLevelType w:val="hybridMultilevel"/>
    <w:tmpl w:val="B8E48E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25159EA"/>
    <w:multiLevelType w:val="hybridMultilevel"/>
    <w:tmpl w:val="3C447E3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73A31212"/>
    <w:multiLevelType w:val="hybridMultilevel"/>
    <w:tmpl w:val="DC2282BE"/>
    <w:lvl w:ilvl="0" w:tplc="04070001">
      <w:start w:val="1"/>
      <w:numFmt w:val="bullet"/>
      <w:lvlText w:val=""/>
      <w:lvlJc w:val="left"/>
      <w:pPr>
        <w:ind w:left="719" w:hanging="360"/>
      </w:pPr>
      <w:rPr>
        <w:rFonts w:ascii="Symbol" w:hAnsi="Symbol" w:hint="default"/>
      </w:rPr>
    </w:lvl>
    <w:lvl w:ilvl="1" w:tplc="3AD66E38">
      <w:numFmt w:val="bullet"/>
      <w:lvlText w:val="-"/>
      <w:lvlJc w:val="left"/>
      <w:pPr>
        <w:ind w:left="1589" w:hanging="510"/>
      </w:pPr>
      <w:rPr>
        <w:rFonts w:ascii="Calibri" w:eastAsia="Times New Roman" w:hAnsi="Calibri" w:cs="Calibri" w:hint="default"/>
        <w:sz w:val="24"/>
      </w:rPr>
    </w:lvl>
    <w:lvl w:ilvl="2" w:tplc="04070005" w:tentative="1">
      <w:start w:val="1"/>
      <w:numFmt w:val="bullet"/>
      <w:lvlText w:val=""/>
      <w:lvlJc w:val="left"/>
      <w:pPr>
        <w:ind w:left="2159" w:hanging="360"/>
      </w:pPr>
      <w:rPr>
        <w:rFonts w:ascii="Wingdings" w:hAnsi="Wingdings" w:hint="default"/>
      </w:rPr>
    </w:lvl>
    <w:lvl w:ilvl="3" w:tplc="04070001" w:tentative="1">
      <w:start w:val="1"/>
      <w:numFmt w:val="bullet"/>
      <w:lvlText w:val=""/>
      <w:lvlJc w:val="left"/>
      <w:pPr>
        <w:ind w:left="2879" w:hanging="360"/>
      </w:pPr>
      <w:rPr>
        <w:rFonts w:ascii="Symbol" w:hAnsi="Symbol" w:hint="default"/>
      </w:rPr>
    </w:lvl>
    <w:lvl w:ilvl="4" w:tplc="04070003" w:tentative="1">
      <w:start w:val="1"/>
      <w:numFmt w:val="bullet"/>
      <w:lvlText w:val="o"/>
      <w:lvlJc w:val="left"/>
      <w:pPr>
        <w:ind w:left="3599" w:hanging="360"/>
      </w:pPr>
      <w:rPr>
        <w:rFonts w:ascii="Courier New" w:hAnsi="Courier New" w:cs="Courier New" w:hint="default"/>
      </w:rPr>
    </w:lvl>
    <w:lvl w:ilvl="5" w:tplc="04070005" w:tentative="1">
      <w:start w:val="1"/>
      <w:numFmt w:val="bullet"/>
      <w:lvlText w:val=""/>
      <w:lvlJc w:val="left"/>
      <w:pPr>
        <w:ind w:left="4319" w:hanging="360"/>
      </w:pPr>
      <w:rPr>
        <w:rFonts w:ascii="Wingdings" w:hAnsi="Wingdings" w:hint="default"/>
      </w:rPr>
    </w:lvl>
    <w:lvl w:ilvl="6" w:tplc="04070001" w:tentative="1">
      <w:start w:val="1"/>
      <w:numFmt w:val="bullet"/>
      <w:lvlText w:val=""/>
      <w:lvlJc w:val="left"/>
      <w:pPr>
        <w:ind w:left="5039" w:hanging="360"/>
      </w:pPr>
      <w:rPr>
        <w:rFonts w:ascii="Symbol" w:hAnsi="Symbol" w:hint="default"/>
      </w:rPr>
    </w:lvl>
    <w:lvl w:ilvl="7" w:tplc="04070003" w:tentative="1">
      <w:start w:val="1"/>
      <w:numFmt w:val="bullet"/>
      <w:lvlText w:val="o"/>
      <w:lvlJc w:val="left"/>
      <w:pPr>
        <w:ind w:left="5759" w:hanging="360"/>
      </w:pPr>
      <w:rPr>
        <w:rFonts w:ascii="Courier New" w:hAnsi="Courier New" w:cs="Courier New" w:hint="default"/>
      </w:rPr>
    </w:lvl>
    <w:lvl w:ilvl="8" w:tplc="04070005" w:tentative="1">
      <w:start w:val="1"/>
      <w:numFmt w:val="bullet"/>
      <w:lvlText w:val=""/>
      <w:lvlJc w:val="left"/>
      <w:pPr>
        <w:ind w:left="6479" w:hanging="360"/>
      </w:pPr>
      <w:rPr>
        <w:rFonts w:ascii="Wingdings" w:hAnsi="Wingdings" w:hint="default"/>
      </w:rPr>
    </w:lvl>
  </w:abstractNum>
  <w:abstractNum w:abstractNumId="27" w15:restartNumberingAfterBreak="0">
    <w:nsid w:val="74DE46FC"/>
    <w:multiLevelType w:val="multilevel"/>
    <w:tmpl w:val="FF22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C11416"/>
    <w:multiLevelType w:val="hybridMultilevel"/>
    <w:tmpl w:val="97D68AA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9"/>
  </w:num>
  <w:num w:numId="2">
    <w:abstractNumId w:val="3"/>
  </w:num>
  <w:num w:numId="3">
    <w:abstractNumId w:val="11"/>
  </w:num>
  <w:num w:numId="4">
    <w:abstractNumId w:val="21"/>
  </w:num>
  <w:num w:numId="5">
    <w:abstractNumId w:val="3"/>
  </w:num>
  <w:num w:numId="6">
    <w:abstractNumId w:val="9"/>
  </w:num>
  <w:num w:numId="7">
    <w:abstractNumId w:val="4"/>
  </w:num>
  <w:num w:numId="8">
    <w:abstractNumId w:val="19"/>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num>
  <w:num w:numId="11">
    <w:abstractNumId w:val="22"/>
  </w:num>
  <w:num w:numId="12">
    <w:abstractNumId w:val="18"/>
  </w:num>
  <w:num w:numId="13">
    <w:abstractNumId w:val="16"/>
  </w:num>
  <w:num w:numId="14">
    <w:abstractNumId w:val="5"/>
  </w:num>
  <w:num w:numId="15">
    <w:abstractNumId w:val="14"/>
  </w:num>
  <w:num w:numId="16">
    <w:abstractNumId w:val="12"/>
  </w:num>
  <w:num w:numId="17">
    <w:abstractNumId w:val="27"/>
  </w:num>
  <w:num w:numId="18">
    <w:abstractNumId w:val="2"/>
    <w:lvlOverride w:ilvl="0"/>
    <w:lvlOverride w:ilvl="1">
      <w:startOverride w:val="1"/>
    </w:lvlOverride>
    <w:lvlOverride w:ilvl="2"/>
    <w:lvlOverride w:ilvl="3"/>
    <w:lvlOverride w:ilvl="4"/>
    <w:lvlOverride w:ilvl="5"/>
    <w:lvlOverride w:ilvl="6"/>
    <w:lvlOverride w:ilvl="7"/>
    <w:lvlOverride w:ilvl="8"/>
  </w:num>
  <w:num w:numId="19">
    <w:abstractNumId w:val="15"/>
  </w:num>
  <w:num w:numId="20">
    <w:abstractNumId w:val="24"/>
  </w:num>
  <w:num w:numId="21">
    <w:abstractNumId w:val="8"/>
  </w:num>
  <w:num w:numId="22">
    <w:abstractNumId w:val="0"/>
  </w:num>
  <w:num w:numId="23">
    <w:abstractNumId w:val="7"/>
  </w:num>
  <w:num w:numId="24">
    <w:abstractNumId w:val="20"/>
  </w:num>
  <w:num w:numId="25">
    <w:abstractNumId w:val="13"/>
  </w:num>
  <w:num w:numId="26">
    <w:abstractNumId w:val="23"/>
  </w:num>
  <w:num w:numId="27">
    <w:abstractNumId w:val="17"/>
  </w:num>
  <w:num w:numId="28">
    <w:abstractNumId w:val="28"/>
  </w:num>
  <w:num w:numId="29">
    <w:abstractNumId w:val="1"/>
  </w:num>
  <w:num w:numId="30">
    <w:abstractNumId w:val="25"/>
  </w:num>
  <w:num w:numId="31">
    <w:abstractNumId w:val="10"/>
  </w:num>
  <w:num w:numId="32">
    <w:abstractNumId w:val="6"/>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B">
    <w15:presenceInfo w15:providerId="None" w15:userId="JB"/>
  </w15:person>
  <w15:person w15:author="Henriette Gercken">
    <w15:presenceInfo w15:providerId="AD" w15:userId="S-1-5-21-1461223816-1316628144-1432544923-289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230"/>
    <w:rsid w:val="000058B0"/>
    <w:rsid w:val="00011E15"/>
    <w:rsid w:val="000326DA"/>
    <w:rsid w:val="00033D35"/>
    <w:rsid w:val="000528F8"/>
    <w:rsid w:val="00055793"/>
    <w:rsid w:val="00055B48"/>
    <w:rsid w:val="0007601C"/>
    <w:rsid w:val="00081D12"/>
    <w:rsid w:val="00081EF0"/>
    <w:rsid w:val="00084BB9"/>
    <w:rsid w:val="00096BC7"/>
    <w:rsid w:val="000B4AD1"/>
    <w:rsid w:val="000E0C6F"/>
    <w:rsid w:val="000F29C8"/>
    <w:rsid w:val="00100D0E"/>
    <w:rsid w:val="00105C4F"/>
    <w:rsid w:val="001103E8"/>
    <w:rsid w:val="00112573"/>
    <w:rsid w:val="00122EF6"/>
    <w:rsid w:val="00126A26"/>
    <w:rsid w:val="00145AFE"/>
    <w:rsid w:val="0017691B"/>
    <w:rsid w:val="001806CD"/>
    <w:rsid w:val="001842F6"/>
    <w:rsid w:val="001A0047"/>
    <w:rsid w:val="001A172F"/>
    <w:rsid w:val="001B412B"/>
    <w:rsid w:val="001C160C"/>
    <w:rsid w:val="001D0D18"/>
    <w:rsid w:val="001E5FDE"/>
    <w:rsid w:val="001E7352"/>
    <w:rsid w:val="00206A1D"/>
    <w:rsid w:val="00213C88"/>
    <w:rsid w:val="00223362"/>
    <w:rsid w:val="00232999"/>
    <w:rsid w:val="002426B5"/>
    <w:rsid w:val="00243F8F"/>
    <w:rsid w:val="0025263D"/>
    <w:rsid w:val="00252A93"/>
    <w:rsid w:val="0025622B"/>
    <w:rsid w:val="00276A57"/>
    <w:rsid w:val="00280AE9"/>
    <w:rsid w:val="002A7DC1"/>
    <w:rsid w:val="002C0CFC"/>
    <w:rsid w:val="002C26C5"/>
    <w:rsid w:val="002C2898"/>
    <w:rsid w:val="002C7766"/>
    <w:rsid w:val="002C7DC5"/>
    <w:rsid w:val="002D2266"/>
    <w:rsid w:val="002D5543"/>
    <w:rsid w:val="002E6642"/>
    <w:rsid w:val="002F4A17"/>
    <w:rsid w:val="00307111"/>
    <w:rsid w:val="00310DDC"/>
    <w:rsid w:val="00312AAF"/>
    <w:rsid w:val="003173D0"/>
    <w:rsid w:val="00320AAF"/>
    <w:rsid w:val="00324B1F"/>
    <w:rsid w:val="003300F7"/>
    <w:rsid w:val="00333D36"/>
    <w:rsid w:val="0035015D"/>
    <w:rsid w:val="00353321"/>
    <w:rsid w:val="00362573"/>
    <w:rsid w:val="0037307E"/>
    <w:rsid w:val="00373445"/>
    <w:rsid w:val="00381ADF"/>
    <w:rsid w:val="00395265"/>
    <w:rsid w:val="003C729C"/>
    <w:rsid w:val="004112A9"/>
    <w:rsid w:val="00420359"/>
    <w:rsid w:val="004214F9"/>
    <w:rsid w:val="00422568"/>
    <w:rsid w:val="00422F4C"/>
    <w:rsid w:val="00442C14"/>
    <w:rsid w:val="004431DE"/>
    <w:rsid w:val="00457D4A"/>
    <w:rsid w:val="004605AA"/>
    <w:rsid w:val="0046678A"/>
    <w:rsid w:val="0048190B"/>
    <w:rsid w:val="0048515D"/>
    <w:rsid w:val="00493CF8"/>
    <w:rsid w:val="004A289B"/>
    <w:rsid w:val="004C0452"/>
    <w:rsid w:val="004C0E73"/>
    <w:rsid w:val="004C7DD6"/>
    <w:rsid w:val="004D22DD"/>
    <w:rsid w:val="004E200E"/>
    <w:rsid w:val="004F3301"/>
    <w:rsid w:val="0050327D"/>
    <w:rsid w:val="005107ED"/>
    <w:rsid w:val="00511DE3"/>
    <w:rsid w:val="00513E0F"/>
    <w:rsid w:val="00515864"/>
    <w:rsid w:val="00520AAF"/>
    <w:rsid w:val="00535A2E"/>
    <w:rsid w:val="00542EF4"/>
    <w:rsid w:val="0054641B"/>
    <w:rsid w:val="00556B35"/>
    <w:rsid w:val="00557ECE"/>
    <w:rsid w:val="005650FF"/>
    <w:rsid w:val="005721AA"/>
    <w:rsid w:val="005738ED"/>
    <w:rsid w:val="00586931"/>
    <w:rsid w:val="00592EB4"/>
    <w:rsid w:val="005A487E"/>
    <w:rsid w:val="005B560A"/>
    <w:rsid w:val="005B7D4E"/>
    <w:rsid w:val="005C057A"/>
    <w:rsid w:val="005F732E"/>
    <w:rsid w:val="0061031A"/>
    <w:rsid w:val="00622BF7"/>
    <w:rsid w:val="00623002"/>
    <w:rsid w:val="006245BA"/>
    <w:rsid w:val="00625A71"/>
    <w:rsid w:val="0062619D"/>
    <w:rsid w:val="006423FB"/>
    <w:rsid w:val="00665B0D"/>
    <w:rsid w:val="00672B8A"/>
    <w:rsid w:val="00683C2A"/>
    <w:rsid w:val="006847D8"/>
    <w:rsid w:val="006A748F"/>
    <w:rsid w:val="006C19F8"/>
    <w:rsid w:val="006D3EBD"/>
    <w:rsid w:val="006D6D25"/>
    <w:rsid w:val="006E0D33"/>
    <w:rsid w:val="006E6228"/>
    <w:rsid w:val="00717040"/>
    <w:rsid w:val="0072012F"/>
    <w:rsid w:val="0072437D"/>
    <w:rsid w:val="00733D24"/>
    <w:rsid w:val="00741DF1"/>
    <w:rsid w:val="0075449E"/>
    <w:rsid w:val="00762F2C"/>
    <w:rsid w:val="007647AD"/>
    <w:rsid w:val="00766D2E"/>
    <w:rsid w:val="00771882"/>
    <w:rsid w:val="0077609B"/>
    <w:rsid w:val="007833DD"/>
    <w:rsid w:val="007A0408"/>
    <w:rsid w:val="007A4201"/>
    <w:rsid w:val="007B1B06"/>
    <w:rsid w:val="007E05BD"/>
    <w:rsid w:val="007E4B40"/>
    <w:rsid w:val="007F2D1C"/>
    <w:rsid w:val="00801E4F"/>
    <w:rsid w:val="00815918"/>
    <w:rsid w:val="008177E0"/>
    <w:rsid w:val="0082065D"/>
    <w:rsid w:val="00822894"/>
    <w:rsid w:val="008355CA"/>
    <w:rsid w:val="008366AA"/>
    <w:rsid w:val="008372CA"/>
    <w:rsid w:val="0085465A"/>
    <w:rsid w:val="00863008"/>
    <w:rsid w:val="00876319"/>
    <w:rsid w:val="008858A1"/>
    <w:rsid w:val="00886781"/>
    <w:rsid w:val="00891CB5"/>
    <w:rsid w:val="008A678E"/>
    <w:rsid w:val="008D2CDA"/>
    <w:rsid w:val="008D47FE"/>
    <w:rsid w:val="008E2D7C"/>
    <w:rsid w:val="008E2E8B"/>
    <w:rsid w:val="009013E2"/>
    <w:rsid w:val="00902ABB"/>
    <w:rsid w:val="0090344B"/>
    <w:rsid w:val="00903571"/>
    <w:rsid w:val="009355AE"/>
    <w:rsid w:val="00937CE8"/>
    <w:rsid w:val="00944F2F"/>
    <w:rsid w:val="0095187A"/>
    <w:rsid w:val="0096065F"/>
    <w:rsid w:val="00986AB3"/>
    <w:rsid w:val="009A19DD"/>
    <w:rsid w:val="009A3B5C"/>
    <w:rsid w:val="009B167A"/>
    <w:rsid w:val="009B4B7A"/>
    <w:rsid w:val="009E5D82"/>
    <w:rsid w:val="00A004B8"/>
    <w:rsid w:val="00A12F8F"/>
    <w:rsid w:val="00A208DE"/>
    <w:rsid w:val="00A572BD"/>
    <w:rsid w:val="00A657FE"/>
    <w:rsid w:val="00A87E33"/>
    <w:rsid w:val="00AA268E"/>
    <w:rsid w:val="00AA337A"/>
    <w:rsid w:val="00AB0D8F"/>
    <w:rsid w:val="00AB1364"/>
    <w:rsid w:val="00AB4DF1"/>
    <w:rsid w:val="00AB76C3"/>
    <w:rsid w:val="00AC2372"/>
    <w:rsid w:val="00AF1F69"/>
    <w:rsid w:val="00B10B96"/>
    <w:rsid w:val="00B23F48"/>
    <w:rsid w:val="00B25399"/>
    <w:rsid w:val="00B269AC"/>
    <w:rsid w:val="00B301CC"/>
    <w:rsid w:val="00B30230"/>
    <w:rsid w:val="00B43718"/>
    <w:rsid w:val="00B530A1"/>
    <w:rsid w:val="00B53B85"/>
    <w:rsid w:val="00B61278"/>
    <w:rsid w:val="00B62C73"/>
    <w:rsid w:val="00B64EE5"/>
    <w:rsid w:val="00B66F09"/>
    <w:rsid w:val="00B865A6"/>
    <w:rsid w:val="00BA275A"/>
    <w:rsid w:val="00BB609A"/>
    <w:rsid w:val="00BC1083"/>
    <w:rsid w:val="00BC4AB4"/>
    <w:rsid w:val="00BE56F0"/>
    <w:rsid w:val="00BE63B8"/>
    <w:rsid w:val="00BF55C1"/>
    <w:rsid w:val="00BF6D55"/>
    <w:rsid w:val="00C039F6"/>
    <w:rsid w:val="00C07C08"/>
    <w:rsid w:val="00C11289"/>
    <w:rsid w:val="00C129A7"/>
    <w:rsid w:val="00C15154"/>
    <w:rsid w:val="00C34585"/>
    <w:rsid w:val="00C403AB"/>
    <w:rsid w:val="00C45144"/>
    <w:rsid w:val="00C52220"/>
    <w:rsid w:val="00C65715"/>
    <w:rsid w:val="00C77562"/>
    <w:rsid w:val="00CA66CF"/>
    <w:rsid w:val="00CB50AC"/>
    <w:rsid w:val="00CC18C7"/>
    <w:rsid w:val="00CC3E85"/>
    <w:rsid w:val="00CD37FC"/>
    <w:rsid w:val="00CD785F"/>
    <w:rsid w:val="00CD79E2"/>
    <w:rsid w:val="00CF361C"/>
    <w:rsid w:val="00CF6371"/>
    <w:rsid w:val="00D03870"/>
    <w:rsid w:val="00D05056"/>
    <w:rsid w:val="00D12D78"/>
    <w:rsid w:val="00D15BA3"/>
    <w:rsid w:val="00D16E43"/>
    <w:rsid w:val="00D24C68"/>
    <w:rsid w:val="00D26EAD"/>
    <w:rsid w:val="00D27EE1"/>
    <w:rsid w:val="00D55C12"/>
    <w:rsid w:val="00D94536"/>
    <w:rsid w:val="00D95491"/>
    <w:rsid w:val="00DA0E62"/>
    <w:rsid w:val="00DB7230"/>
    <w:rsid w:val="00DD1FCF"/>
    <w:rsid w:val="00DE651C"/>
    <w:rsid w:val="00E03344"/>
    <w:rsid w:val="00E1083E"/>
    <w:rsid w:val="00E31AF9"/>
    <w:rsid w:val="00E3284A"/>
    <w:rsid w:val="00E32E23"/>
    <w:rsid w:val="00E414D8"/>
    <w:rsid w:val="00E468A5"/>
    <w:rsid w:val="00E46C33"/>
    <w:rsid w:val="00E52C93"/>
    <w:rsid w:val="00E54362"/>
    <w:rsid w:val="00E56813"/>
    <w:rsid w:val="00E73BA3"/>
    <w:rsid w:val="00E76684"/>
    <w:rsid w:val="00E77120"/>
    <w:rsid w:val="00E8150F"/>
    <w:rsid w:val="00E82DC3"/>
    <w:rsid w:val="00E832ED"/>
    <w:rsid w:val="00E86D91"/>
    <w:rsid w:val="00E91865"/>
    <w:rsid w:val="00EA2002"/>
    <w:rsid w:val="00EA2F4A"/>
    <w:rsid w:val="00EB671D"/>
    <w:rsid w:val="00EC318B"/>
    <w:rsid w:val="00EC5A13"/>
    <w:rsid w:val="00ED2F1D"/>
    <w:rsid w:val="00EE262E"/>
    <w:rsid w:val="00EE67C0"/>
    <w:rsid w:val="00EF1B11"/>
    <w:rsid w:val="00EF2914"/>
    <w:rsid w:val="00EF614E"/>
    <w:rsid w:val="00F0329A"/>
    <w:rsid w:val="00F10BA3"/>
    <w:rsid w:val="00F13CBC"/>
    <w:rsid w:val="00F17B66"/>
    <w:rsid w:val="00F27763"/>
    <w:rsid w:val="00F54670"/>
    <w:rsid w:val="00F61840"/>
    <w:rsid w:val="00F6370A"/>
    <w:rsid w:val="00F6661B"/>
    <w:rsid w:val="00F66DEE"/>
    <w:rsid w:val="00F72DA0"/>
    <w:rsid w:val="00F74517"/>
    <w:rsid w:val="00F7456A"/>
    <w:rsid w:val="00F817CC"/>
    <w:rsid w:val="00F84322"/>
    <w:rsid w:val="00F95756"/>
    <w:rsid w:val="00F9738A"/>
    <w:rsid w:val="00FA78C8"/>
    <w:rsid w:val="00FB2177"/>
    <w:rsid w:val="00FF72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C5210"/>
  <w15:chartTrackingRefBased/>
  <w15:docId w15:val="{01CE6B2F-422C-43E4-99E4-A09F20554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E200E"/>
    <w:pPr>
      <w:suppressAutoHyphens/>
      <w:spacing w:before="160" w:after="0" w:line="280" w:lineRule="atLeast"/>
      <w:jc w:val="both"/>
    </w:pPr>
    <w:rPr>
      <w:rFonts w:ascii="Calibri" w:hAnsi="Calibri" w:cs="Times New Roman"/>
      <w:sz w:val="21"/>
      <w:szCs w:val="20"/>
      <w:lang w:eastAsia="de-DE"/>
    </w:rPr>
  </w:style>
  <w:style w:type="paragraph" w:styleId="berschrift1">
    <w:name w:val="heading 1"/>
    <w:basedOn w:val="Standard"/>
    <w:next w:val="Standard"/>
    <w:link w:val="berschrift1Zchn"/>
    <w:uiPriority w:val="9"/>
    <w:qFormat/>
    <w:rsid w:val="008858A1"/>
    <w:pPr>
      <w:keepNext/>
      <w:numPr>
        <w:numId w:val="8"/>
      </w:numPr>
      <w:spacing w:before="400"/>
      <w:jc w:val="left"/>
      <w:outlineLvl w:val="0"/>
    </w:pPr>
    <w:rPr>
      <w:b/>
      <w:color w:val="008CD2"/>
      <w:sz w:val="26"/>
    </w:rPr>
  </w:style>
  <w:style w:type="paragraph" w:styleId="berschrift2">
    <w:name w:val="heading 2"/>
    <w:basedOn w:val="Standard"/>
    <w:next w:val="Standard"/>
    <w:link w:val="berschrift2Zchn"/>
    <w:qFormat/>
    <w:rsid w:val="008858A1"/>
    <w:pPr>
      <w:keepNext/>
      <w:numPr>
        <w:ilvl w:val="1"/>
        <w:numId w:val="8"/>
      </w:numPr>
      <w:spacing w:before="400"/>
      <w:jc w:val="left"/>
      <w:outlineLvl w:val="1"/>
    </w:pPr>
    <w:rPr>
      <w:b/>
      <w:color w:val="008CD2"/>
      <w:sz w:val="26"/>
    </w:rPr>
  </w:style>
  <w:style w:type="paragraph" w:styleId="berschrift3">
    <w:name w:val="heading 3"/>
    <w:basedOn w:val="Standard"/>
    <w:next w:val="Standard"/>
    <w:link w:val="berschrift3Zchn"/>
    <w:qFormat/>
    <w:rsid w:val="008858A1"/>
    <w:pPr>
      <w:keepNext/>
      <w:numPr>
        <w:ilvl w:val="2"/>
        <w:numId w:val="8"/>
      </w:numPr>
      <w:spacing w:before="400"/>
      <w:jc w:val="left"/>
      <w:outlineLvl w:val="2"/>
    </w:pPr>
    <w:rPr>
      <w:b/>
      <w:color w:val="008CD2"/>
      <w:sz w:val="26"/>
    </w:rPr>
  </w:style>
  <w:style w:type="paragraph" w:styleId="berschrift4">
    <w:name w:val="heading 4"/>
    <w:basedOn w:val="Standard"/>
    <w:next w:val="Standard"/>
    <w:link w:val="berschrift4Zchn"/>
    <w:qFormat/>
    <w:rsid w:val="008858A1"/>
    <w:pPr>
      <w:keepNext/>
      <w:numPr>
        <w:ilvl w:val="3"/>
        <w:numId w:val="8"/>
      </w:numPr>
      <w:spacing w:before="400"/>
      <w:jc w:val="left"/>
      <w:outlineLvl w:val="3"/>
    </w:pPr>
    <w:rPr>
      <w:b/>
      <w:color w:val="008CD2"/>
      <w:sz w:val="26"/>
    </w:rPr>
  </w:style>
  <w:style w:type="paragraph" w:styleId="berschrift5">
    <w:name w:val="heading 5"/>
    <w:basedOn w:val="Standard"/>
    <w:next w:val="Standard"/>
    <w:link w:val="berschrift5Zchn"/>
    <w:qFormat/>
    <w:rsid w:val="008858A1"/>
    <w:pPr>
      <w:keepNext/>
      <w:numPr>
        <w:ilvl w:val="4"/>
        <w:numId w:val="8"/>
      </w:numPr>
      <w:spacing w:before="400"/>
      <w:jc w:val="left"/>
      <w:outlineLvl w:val="4"/>
    </w:pPr>
    <w:rPr>
      <w:b/>
      <w:color w:val="008CD2"/>
      <w:sz w:val="26"/>
    </w:rPr>
  </w:style>
  <w:style w:type="paragraph" w:styleId="berschrift6">
    <w:name w:val="heading 6"/>
    <w:basedOn w:val="Standard"/>
    <w:next w:val="Standard"/>
    <w:link w:val="berschrift6Zchn"/>
    <w:qFormat/>
    <w:rsid w:val="008858A1"/>
    <w:pPr>
      <w:keepNext/>
      <w:numPr>
        <w:ilvl w:val="5"/>
        <w:numId w:val="8"/>
      </w:numPr>
      <w:spacing w:before="400"/>
      <w:jc w:val="left"/>
      <w:outlineLvl w:val="5"/>
    </w:pPr>
    <w:rPr>
      <w:b/>
      <w:color w:val="008CD2"/>
      <w:sz w:val="26"/>
    </w:rPr>
  </w:style>
  <w:style w:type="paragraph" w:styleId="berschrift7">
    <w:name w:val="heading 7"/>
    <w:basedOn w:val="Standard"/>
    <w:next w:val="Standard"/>
    <w:link w:val="berschrift7Zchn"/>
    <w:qFormat/>
    <w:rsid w:val="008858A1"/>
    <w:pPr>
      <w:keepNext/>
      <w:numPr>
        <w:ilvl w:val="6"/>
        <w:numId w:val="8"/>
      </w:numPr>
      <w:spacing w:before="400"/>
      <w:jc w:val="left"/>
      <w:outlineLvl w:val="6"/>
    </w:pPr>
    <w:rPr>
      <w:b/>
      <w:color w:val="008CD2"/>
      <w:sz w:val="26"/>
    </w:rPr>
  </w:style>
  <w:style w:type="paragraph" w:styleId="berschrift8">
    <w:name w:val="heading 8"/>
    <w:basedOn w:val="Standard"/>
    <w:next w:val="Standard"/>
    <w:link w:val="berschrift8Zchn"/>
    <w:qFormat/>
    <w:rsid w:val="008858A1"/>
    <w:pPr>
      <w:keepNext/>
      <w:numPr>
        <w:ilvl w:val="7"/>
        <w:numId w:val="8"/>
      </w:numPr>
      <w:spacing w:before="400"/>
      <w:jc w:val="left"/>
      <w:outlineLvl w:val="7"/>
    </w:pPr>
    <w:rPr>
      <w:b/>
      <w:color w:val="008CD2"/>
      <w:sz w:val="26"/>
    </w:rPr>
  </w:style>
  <w:style w:type="paragraph" w:styleId="berschrift9">
    <w:name w:val="heading 9"/>
    <w:basedOn w:val="Standard"/>
    <w:next w:val="berschrift8"/>
    <w:link w:val="berschrift9Zchn"/>
    <w:qFormat/>
    <w:rsid w:val="008858A1"/>
    <w:pPr>
      <w:keepNext/>
      <w:keepLines/>
      <w:numPr>
        <w:ilvl w:val="8"/>
        <w:numId w:val="8"/>
      </w:numPr>
      <w:spacing w:before="400"/>
      <w:jc w:val="left"/>
      <w:outlineLvl w:val="8"/>
    </w:pPr>
    <w:rPr>
      <w:b/>
      <w:color w:val="008CD2"/>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58A1"/>
    <w:rPr>
      <w:rFonts w:ascii="Calibri" w:hAnsi="Calibri" w:cs="Times New Roman"/>
      <w:b/>
      <w:color w:val="008CD2"/>
      <w:sz w:val="26"/>
      <w:szCs w:val="20"/>
      <w:lang w:eastAsia="de-DE"/>
    </w:rPr>
  </w:style>
  <w:style w:type="character" w:customStyle="1" w:styleId="arttitle">
    <w:name w:val="art_title"/>
    <w:basedOn w:val="Absatz-Standardschriftart"/>
    <w:rsid w:val="008858A1"/>
  </w:style>
  <w:style w:type="character" w:customStyle="1" w:styleId="authors">
    <w:name w:val="authors"/>
    <w:basedOn w:val="Absatz-Standardschriftart"/>
    <w:rsid w:val="008858A1"/>
  </w:style>
  <w:style w:type="character" w:customStyle="1" w:styleId="Autor">
    <w:name w:val="Autor"/>
    <w:basedOn w:val="Absatz-Standardschriftart"/>
    <w:qFormat/>
    <w:rsid w:val="008858A1"/>
    <w:rPr>
      <w:rFonts w:ascii="Calibri" w:hAnsi="Calibri"/>
      <w:caps w:val="0"/>
      <w:smallCaps/>
      <w:color w:val="000000" w:themeColor="text1"/>
      <w:sz w:val="24"/>
    </w:rPr>
  </w:style>
  <w:style w:type="paragraph" w:styleId="Beschriftung">
    <w:name w:val="caption"/>
    <w:basedOn w:val="Standard"/>
    <w:next w:val="Standard"/>
    <w:uiPriority w:val="35"/>
    <w:unhideWhenUsed/>
    <w:qFormat/>
    <w:rsid w:val="008858A1"/>
    <w:pPr>
      <w:keepNext/>
      <w:tabs>
        <w:tab w:val="left" w:pos="1418"/>
        <w:tab w:val="left" w:pos="2127"/>
      </w:tabs>
      <w:spacing w:before="240" w:after="120"/>
      <w:ind w:left="1418" w:hanging="1418"/>
    </w:pPr>
    <w:rPr>
      <w:b/>
      <w:noProof/>
    </w:rPr>
  </w:style>
  <w:style w:type="character" w:styleId="BesuchterLink">
    <w:name w:val="FollowedHyperlink"/>
    <w:basedOn w:val="Absatz-Standardschriftart"/>
    <w:uiPriority w:val="99"/>
    <w:semiHidden/>
    <w:unhideWhenUsed/>
    <w:rsid w:val="008858A1"/>
    <w:rPr>
      <w:color w:val="954F72" w:themeColor="followedHyperlink"/>
      <w:u w:val="single"/>
    </w:rPr>
  </w:style>
  <w:style w:type="character" w:customStyle="1" w:styleId="Datum1">
    <w:name w:val="Datum1"/>
    <w:basedOn w:val="Absatz-Standardschriftart"/>
    <w:rsid w:val="008858A1"/>
  </w:style>
  <w:style w:type="character" w:customStyle="1" w:styleId="doilink">
    <w:name w:val="doi_link"/>
    <w:basedOn w:val="Absatz-Standardschriftart"/>
    <w:rsid w:val="008858A1"/>
  </w:style>
  <w:style w:type="numbering" w:customStyle="1" w:styleId="Formatvorlage1">
    <w:name w:val="Formatvorlage1"/>
    <w:uiPriority w:val="99"/>
    <w:rsid w:val="008858A1"/>
    <w:pPr>
      <w:numPr>
        <w:numId w:val="2"/>
      </w:numPr>
    </w:pPr>
  </w:style>
  <w:style w:type="numbering" w:customStyle="1" w:styleId="Formatvorlage2">
    <w:name w:val="Formatvorlage2"/>
    <w:uiPriority w:val="99"/>
    <w:rsid w:val="008858A1"/>
    <w:pPr>
      <w:numPr>
        <w:numId w:val="3"/>
      </w:numPr>
    </w:pPr>
  </w:style>
  <w:style w:type="numbering" w:customStyle="1" w:styleId="Formatvorlage3">
    <w:name w:val="Formatvorlage3"/>
    <w:uiPriority w:val="99"/>
    <w:rsid w:val="008858A1"/>
    <w:pPr>
      <w:numPr>
        <w:numId w:val="4"/>
      </w:numPr>
    </w:pPr>
  </w:style>
  <w:style w:type="paragraph" w:styleId="Funotentext">
    <w:name w:val="footnote text"/>
    <w:basedOn w:val="Standard"/>
    <w:link w:val="FunotentextZchn"/>
    <w:uiPriority w:val="99"/>
    <w:qFormat/>
    <w:rsid w:val="008858A1"/>
    <w:pPr>
      <w:tabs>
        <w:tab w:val="left" w:pos="284"/>
      </w:tabs>
      <w:spacing w:before="80" w:line="200" w:lineRule="atLeast"/>
      <w:ind w:left="284" w:hanging="284"/>
    </w:pPr>
    <w:rPr>
      <w:color w:val="595959"/>
      <w:position w:val="2"/>
      <w:sz w:val="18"/>
    </w:rPr>
  </w:style>
  <w:style w:type="character" w:customStyle="1" w:styleId="FunotentextZchn">
    <w:name w:val="Fußnotentext Zchn"/>
    <w:basedOn w:val="Absatz-Standardschriftart"/>
    <w:link w:val="Funotentext"/>
    <w:uiPriority w:val="99"/>
    <w:rsid w:val="008858A1"/>
    <w:rPr>
      <w:rFonts w:ascii="Calibri" w:eastAsia="Times New Roman" w:hAnsi="Calibri" w:cs="Times New Roman"/>
      <w:color w:val="595959"/>
      <w:position w:val="2"/>
      <w:sz w:val="18"/>
      <w:szCs w:val="20"/>
      <w:lang w:eastAsia="de-DE"/>
    </w:rPr>
  </w:style>
  <w:style w:type="character" w:styleId="Funotenzeichen">
    <w:name w:val="footnote reference"/>
    <w:basedOn w:val="Absatz-Standardschriftart"/>
    <w:semiHidden/>
    <w:rsid w:val="008858A1"/>
    <w:rPr>
      <w:rFonts w:ascii="Calibri" w:hAnsi="Calibri"/>
      <w:b/>
      <w:noProof w:val="0"/>
      <w:color w:val="008CD2"/>
      <w:position w:val="2"/>
      <w:sz w:val="19"/>
      <w:vertAlign w:val="superscript"/>
      <w:lang w:val="de-DE"/>
    </w:rPr>
  </w:style>
  <w:style w:type="paragraph" w:styleId="Fuzeile">
    <w:name w:val="footer"/>
    <w:basedOn w:val="Standard"/>
    <w:next w:val="Standard"/>
    <w:link w:val="FuzeileZchn"/>
    <w:uiPriority w:val="99"/>
    <w:rsid w:val="008858A1"/>
    <w:pPr>
      <w:tabs>
        <w:tab w:val="right" w:pos="9498"/>
      </w:tabs>
      <w:spacing w:before="0" w:line="240" w:lineRule="auto"/>
      <w:ind w:left="12" w:firstLine="1"/>
      <w:jc w:val="left"/>
    </w:pPr>
    <w:rPr>
      <w:sz w:val="18"/>
    </w:rPr>
  </w:style>
  <w:style w:type="character" w:customStyle="1" w:styleId="FuzeileZchn">
    <w:name w:val="Fußzeile Zchn"/>
    <w:basedOn w:val="Absatz-Standardschriftart"/>
    <w:link w:val="Fuzeile"/>
    <w:uiPriority w:val="99"/>
    <w:rsid w:val="008858A1"/>
    <w:rPr>
      <w:rFonts w:ascii="Calibri" w:eastAsia="Times New Roman" w:hAnsi="Calibri" w:cs="Times New Roman"/>
      <w:sz w:val="18"/>
      <w:szCs w:val="20"/>
      <w:lang w:eastAsia="de-DE"/>
    </w:rPr>
  </w:style>
  <w:style w:type="paragraph" w:customStyle="1" w:styleId="Grafik">
    <w:name w:val="Grafik"/>
    <w:basedOn w:val="Standard"/>
    <w:next w:val="Standard"/>
    <w:qFormat/>
    <w:rsid w:val="008858A1"/>
    <w:pPr>
      <w:keepNext/>
      <w:tabs>
        <w:tab w:val="left" w:pos="1985"/>
      </w:tabs>
      <w:spacing w:before="0"/>
    </w:pPr>
    <w:rPr>
      <w:noProof/>
    </w:rPr>
  </w:style>
  <w:style w:type="table" w:styleId="HelleListe">
    <w:name w:val="Light List"/>
    <w:basedOn w:val="NormaleTabelle"/>
    <w:uiPriority w:val="61"/>
    <w:rsid w:val="008858A1"/>
    <w:pPr>
      <w:spacing w:after="0" w:line="240" w:lineRule="auto"/>
    </w:pPr>
    <w:rPr>
      <w:rFonts w:eastAsiaTheme="minorEastAsia"/>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1">
    <w:name w:val="Light Shading Accent 1"/>
    <w:basedOn w:val="NormaleTabelle"/>
    <w:uiPriority w:val="60"/>
    <w:rsid w:val="008858A1"/>
    <w:pPr>
      <w:spacing w:after="0" w:line="240" w:lineRule="auto"/>
    </w:pPr>
    <w:rPr>
      <w:rFonts w:eastAsiaTheme="minorEastAsia"/>
      <w:color w:val="2F5496" w:themeColor="accent1" w:themeShade="BF"/>
      <w:lang w:eastAsia="de-D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Hervorhebung">
    <w:name w:val="Emphasis"/>
    <w:basedOn w:val="Absatz-Standardschriftart"/>
    <w:uiPriority w:val="20"/>
    <w:qFormat/>
    <w:rsid w:val="008858A1"/>
    <w:rPr>
      <w:i/>
      <w:iCs/>
    </w:rPr>
  </w:style>
  <w:style w:type="character" w:customStyle="1" w:styleId="hgkelc">
    <w:name w:val="hgkelc"/>
    <w:basedOn w:val="Absatz-Standardschriftart"/>
    <w:rsid w:val="008858A1"/>
  </w:style>
  <w:style w:type="character" w:customStyle="1" w:styleId="hlfld-contribauthor">
    <w:name w:val="hlfld-contribauthor"/>
    <w:basedOn w:val="Absatz-Standardschriftart"/>
    <w:rsid w:val="008858A1"/>
  </w:style>
  <w:style w:type="character" w:styleId="Hyperlink">
    <w:name w:val="Hyperlink"/>
    <w:basedOn w:val="Absatz-Standardschriftart"/>
    <w:uiPriority w:val="99"/>
    <w:unhideWhenUsed/>
    <w:rsid w:val="008858A1"/>
    <w:rPr>
      <w:color w:val="0563C1" w:themeColor="hyperlink"/>
      <w:u w:val="single"/>
    </w:rPr>
  </w:style>
  <w:style w:type="paragraph" w:styleId="Inhaltsverzeichnisberschrift">
    <w:name w:val="TOC Heading"/>
    <w:basedOn w:val="Standard"/>
    <w:next w:val="Standard"/>
    <w:uiPriority w:val="39"/>
    <w:qFormat/>
    <w:rsid w:val="008858A1"/>
    <w:pPr>
      <w:keepLines/>
      <w:spacing w:before="400" w:after="240"/>
    </w:pPr>
    <w:rPr>
      <w:b/>
      <w:bCs/>
      <w:color w:val="008CD2"/>
      <w:sz w:val="26"/>
      <w:szCs w:val="28"/>
    </w:rPr>
  </w:style>
  <w:style w:type="paragraph" w:styleId="Kommentartext">
    <w:name w:val="annotation text"/>
    <w:basedOn w:val="Standard"/>
    <w:link w:val="KommentartextZchn"/>
    <w:uiPriority w:val="99"/>
    <w:semiHidden/>
    <w:unhideWhenUsed/>
    <w:rsid w:val="008858A1"/>
    <w:pPr>
      <w:spacing w:line="240" w:lineRule="auto"/>
    </w:pPr>
    <w:rPr>
      <w:sz w:val="20"/>
    </w:rPr>
  </w:style>
  <w:style w:type="character" w:customStyle="1" w:styleId="KommentartextZchn">
    <w:name w:val="Kommentartext Zchn"/>
    <w:basedOn w:val="Absatz-Standardschriftart"/>
    <w:link w:val="Kommentartext"/>
    <w:uiPriority w:val="99"/>
    <w:semiHidden/>
    <w:rsid w:val="008858A1"/>
    <w:rPr>
      <w:rFonts w:ascii="Calibri" w:eastAsia="Times New Roman" w:hAnsi="Calibri" w:cs="Times New Roman"/>
      <w:sz w:val="20"/>
      <w:szCs w:val="20"/>
      <w:lang w:eastAsia="de-DE"/>
    </w:rPr>
  </w:style>
  <w:style w:type="paragraph" w:styleId="Kommentarthema">
    <w:name w:val="annotation subject"/>
    <w:basedOn w:val="Standard"/>
    <w:next w:val="Standard"/>
    <w:link w:val="KommentarthemaZchn"/>
    <w:uiPriority w:val="99"/>
    <w:semiHidden/>
    <w:unhideWhenUsed/>
    <w:rsid w:val="008858A1"/>
    <w:pPr>
      <w:spacing w:line="240" w:lineRule="auto"/>
    </w:pPr>
    <w:rPr>
      <w:b/>
      <w:bCs/>
      <w:sz w:val="20"/>
    </w:rPr>
  </w:style>
  <w:style w:type="character" w:customStyle="1" w:styleId="KommentarthemaZchn">
    <w:name w:val="Kommentarthema Zchn"/>
    <w:basedOn w:val="Absatz-Standardschriftart"/>
    <w:link w:val="Kommentarthema"/>
    <w:uiPriority w:val="99"/>
    <w:semiHidden/>
    <w:rsid w:val="008858A1"/>
    <w:rPr>
      <w:rFonts w:ascii="Calibri" w:eastAsia="Times New Roman" w:hAnsi="Calibri" w:cs="Times New Roman"/>
      <w:b/>
      <w:bCs/>
      <w:sz w:val="20"/>
      <w:szCs w:val="20"/>
      <w:lang w:eastAsia="de-DE"/>
    </w:rPr>
  </w:style>
  <w:style w:type="character" w:styleId="Kommentarzeichen">
    <w:name w:val="annotation reference"/>
    <w:basedOn w:val="Absatz-Standardschriftart"/>
    <w:uiPriority w:val="99"/>
    <w:semiHidden/>
    <w:unhideWhenUsed/>
    <w:rsid w:val="008858A1"/>
    <w:rPr>
      <w:sz w:val="16"/>
      <w:szCs w:val="16"/>
    </w:rPr>
  </w:style>
  <w:style w:type="paragraph" w:styleId="Kopfzeile">
    <w:name w:val="header"/>
    <w:basedOn w:val="Standard"/>
    <w:link w:val="KopfzeileZchn"/>
    <w:uiPriority w:val="99"/>
    <w:qFormat/>
    <w:rsid w:val="008858A1"/>
    <w:pPr>
      <w:tabs>
        <w:tab w:val="right" w:pos="9526"/>
      </w:tabs>
      <w:spacing w:before="0" w:line="240" w:lineRule="exact"/>
      <w:jc w:val="left"/>
    </w:pPr>
    <w:rPr>
      <w:color w:val="000000" w:themeColor="text1"/>
      <w:sz w:val="18"/>
    </w:rPr>
  </w:style>
  <w:style w:type="character" w:customStyle="1" w:styleId="KopfzeileZchn">
    <w:name w:val="Kopfzeile Zchn"/>
    <w:basedOn w:val="Absatz-Standardschriftart"/>
    <w:link w:val="Kopfzeile"/>
    <w:uiPriority w:val="99"/>
    <w:rsid w:val="008858A1"/>
    <w:rPr>
      <w:rFonts w:ascii="Calibri" w:eastAsia="Times New Roman" w:hAnsi="Calibri" w:cs="Times New Roman"/>
      <w:color w:val="000000" w:themeColor="text1"/>
      <w:sz w:val="18"/>
      <w:szCs w:val="20"/>
      <w:lang w:eastAsia="de-DE"/>
    </w:rPr>
  </w:style>
  <w:style w:type="paragraph" w:customStyle="1" w:styleId="Liste-1">
    <w:name w:val="Liste-1"/>
    <w:basedOn w:val="Standard"/>
    <w:qFormat/>
    <w:rsid w:val="008858A1"/>
    <w:pPr>
      <w:numPr>
        <w:numId w:val="5"/>
      </w:numPr>
      <w:tabs>
        <w:tab w:val="left" w:pos="567"/>
      </w:tabs>
      <w:spacing w:before="80"/>
    </w:pPr>
  </w:style>
  <w:style w:type="paragraph" w:customStyle="1" w:styleId="Liste-2">
    <w:name w:val="Liste-2"/>
    <w:basedOn w:val="Liste-1"/>
    <w:qFormat/>
    <w:rsid w:val="008858A1"/>
    <w:pPr>
      <w:numPr>
        <w:numId w:val="6"/>
      </w:numPr>
    </w:pPr>
  </w:style>
  <w:style w:type="paragraph" w:customStyle="1" w:styleId="Liste-3">
    <w:name w:val="Liste-3"/>
    <w:basedOn w:val="Liste-2"/>
    <w:qFormat/>
    <w:rsid w:val="008858A1"/>
    <w:pPr>
      <w:numPr>
        <w:numId w:val="7"/>
      </w:numPr>
      <w:tabs>
        <w:tab w:val="clear" w:pos="567"/>
      </w:tabs>
    </w:pPr>
  </w:style>
  <w:style w:type="paragraph" w:styleId="Listenabsatz">
    <w:name w:val="List Paragraph"/>
    <w:basedOn w:val="Standard"/>
    <w:uiPriority w:val="34"/>
    <w:qFormat/>
    <w:rsid w:val="008858A1"/>
    <w:pPr>
      <w:ind w:left="720"/>
      <w:contextualSpacing/>
    </w:pPr>
  </w:style>
  <w:style w:type="table" w:styleId="Listentabelle6farbigAkzent5">
    <w:name w:val="List Table 6 Colorful Accent 5"/>
    <w:basedOn w:val="NormaleTabelle"/>
    <w:uiPriority w:val="51"/>
    <w:rsid w:val="008858A1"/>
    <w:pPr>
      <w:spacing w:after="0" w:line="240" w:lineRule="auto"/>
    </w:pPr>
    <w:rPr>
      <w:rFonts w:ascii="Times" w:hAnsi="Times" w:cs="Times New Roman"/>
      <w:color w:val="2E74B5" w:themeColor="accent5" w:themeShade="BF"/>
      <w:sz w:val="20"/>
      <w:szCs w:val="20"/>
      <w:lang w:eastAsia="de-DE"/>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Literatur">
    <w:name w:val="Literatur"/>
    <w:basedOn w:val="Standard"/>
    <w:autoRedefine/>
    <w:qFormat/>
    <w:rsid w:val="008858A1"/>
    <w:pPr>
      <w:tabs>
        <w:tab w:val="left" w:pos="1134"/>
      </w:tabs>
      <w:spacing w:before="80" w:line="240" w:lineRule="exact"/>
      <w:ind w:left="567" w:hanging="567"/>
    </w:pPr>
    <w:rPr>
      <w:color w:val="595959"/>
      <w:sz w:val="20"/>
    </w:rPr>
  </w:style>
  <w:style w:type="character" w:customStyle="1" w:styleId="lsb9">
    <w:name w:val="lsb9"/>
    <w:basedOn w:val="Absatz-Standardschriftart"/>
    <w:rsid w:val="008858A1"/>
  </w:style>
  <w:style w:type="character" w:customStyle="1" w:styleId="lsbd">
    <w:name w:val="lsbd"/>
    <w:basedOn w:val="Absatz-Standardschriftart"/>
    <w:rsid w:val="008858A1"/>
  </w:style>
  <w:style w:type="character" w:customStyle="1" w:styleId="lsbf">
    <w:name w:val="lsbf"/>
    <w:basedOn w:val="Absatz-Standardschriftart"/>
    <w:rsid w:val="008858A1"/>
  </w:style>
  <w:style w:type="character" w:customStyle="1" w:styleId="lsc6">
    <w:name w:val="lsc6"/>
    <w:basedOn w:val="Absatz-Standardschriftart"/>
    <w:rsid w:val="008858A1"/>
  </w:style>
  <w:style w:type="paragraph" w:customStyle="1" w:styleId="msonormal0">
    <w:name w:val="msonormal"/>
    <w:basedOn w:val="Standard"/>
    <w:rsid w:val="008858A1"/>
    <w:pPr>
      <w:suppressAutoHyphens w:val="0"/>
      <w:spacing w:before="100" w:beforeAutospacing="1" w:after="100" w:afterAutospacing="1" w:line="240" w:lineRule="auto"/>
      <w:jc w:val="left"/>
    </w:pPr>
    <w:rPr>
      <w:rFonts w:ascii="Times New Roman" w:hAnsi="Times New Roman"/>
      <w:sz w:val="24"/>
      <w:szCs w:val="24"/>
    </w:rPr>
  </w:style>
  <w:style w:type="paragraph" w:customStyle="1" w:styleId="NachAbbTab">
    <w:name w:val="Nach_Abb+Tab"/>
    <w:basedOn w:val="Standard"/>
    <w:next w:val="Standard"/>
    <w:link w:val="NachAbbTabZchn"/>
    <w:qFormat/>
    <w:rsid w:val="008858A1"/>
    <w:pPr>
      <w:spacing w:before="240"/>
    </w:pPr>
  </w:style>
  <w:style w:type="character" w:customStyle="1" w:styleId="NachAbbTabZchn">
    <w:name w:val="Nach_Abb+Tab Zchn"/>
    <w:link w:val="NachAbbTab"/>
    <w:rsid w:val="008858A1"/>
    <w:rPr>
      <w:rFonts w:ascii="Calibri" w:eastAsia="Times New Roman" w:hAnsi="Calibri" w:cs="Times New Roman"/>
      <w:sz w:val="21"/>
      <w:szCs w:val="20"/>
      <w:lang w:eastAsia="de-DE"/>
    </w:rPr>
  </w:style>
  <w:style w:type="character" w:styleId="NichtaufgelsteErwhnung">
    <w:name w:val="Unresolved Mention"/>
    <w:basedOn w:val="Absatz-Standardschriftart"/>
    <w:uiPriority w:val="99"/>
    <w:semiHidden/>
    <w:unhideWhenUsed/>
    <w:rsid w:val="008858A1"/>
    <w:rPr>
      <w:color w:val="605E5C"/>
      <w:shd w:val="clear" w:color="auto" w:fill="E1DFDD"/>
    </w:rPr>
  </w:style>
  <w:style w:type="character" w:customStyle="1" w:styleId="NichtaufgelsteErwhnung1">
    <w:name w:val="Nicht aufgelöste Erwähnung1"/>
    <w:basedOn w:val="Absatz-Standardschriftart"/>
    <w:uiPriority w:val="99"/>
    <w:semiHidden/>
    <w:unhideWhenUsed/>
    <w:rsid w:val="008858A1"/>
    <w:rPr>
      <w:color w:val="605E5C"/>
      <w:shd w:val="clear" w:color="auto" w:fill="E1DFDD"/>
    </w:rPr>
  </w:style>
  <w:style w:type="character" w:customStyle="1" w:styleId="nlmsource">
    <w:name w:val="nlm_source"/>
    <w:basedOn w:val="Absatz-Standardschriftart"/>
    <w:rsid w:val="008858A1"/>
  </w:style>
  <w:style w:type="character" w:customStyle="1" w:styleId="object">
    <w:name w:val="object"/>
    <w:basedOn w:val="Absatz-Standardschriftart"/>
    <w:rsid w:val="008858A1"/>
  </w:style>
  <w:style w:type="character" w:customStyle="1" w:styleId="pagerange">
    <w:name w:val="page_range"/>
    <w:basedOn w:val="Absatz-Standardschriftart"/>
    <w:rsid w:val="008858A1"/>
  </w:style>
  <w:style w:type="character" w:styleId="Platzhaltertext">
    <w:name w:val="Placeholder Text"/>
    <w:basedOn w:val="Absatz-Standardschriftart"/>
    <w:uiPriority w:val="99"/>
    <w:semiHidden/>
    <w:rsid w:val="008858A1"/>
    <w:rPr>
      <w:color w:val="808080"/>
    </w:rPr>
  </w:style>
  <w:style w:type="paragraph" w:customStyle="1" w:styleId="Quelle">
    <w:name w:val="Quelle"/>
    <w:basedOn w:val="Standard"/>
    <w:next w:val="NachAbbTab"/>
    <w:link w:val="QuelleZchn"/>
    <w:qFormat/>
    <w:rsid w:val="008858A1"/>
    <w:pPr>
      <w:spacing w:before="120" w:line="200" w:lineRule="atLeast"/>
    </w:pPr>
    <w:rPr>
      <w:color w:val="626262"/>
      <w:sz w:val="18"/>
    </w:rPr>
  </w:style>
  <w:style w:type="character" w:customStyle="1" w:styleId="QuelleZchn">
    <w:name w:val="Quelle Zchn"/>
    <w:link w:val="Quelle"/>
    <w:rsid w:val="008858A1"/>
    <w:rPr>
      <w:rFonts w:ascii="Calibri" w:eastAsia="Times New Roman" w:hAnsi="Calibri" w:cs="Times New Roman"/>
      <w:color w:val="626262"/>
      <w:sz w:val="18"/>
      <w:szCs w:val="20"/>
      <w:lang w:eastAsia="de-DE"/>
    </w:rPr>
  </w:style>
  <w:style w:type="character" w:customStyle="1" w:styleId="separator">
    <w:name w:val="separator"/>
    <w:basedOn w:val="Absatz-Standardschriftart"/>
    <w:rsid w:val="008858A1"/>
  </w:style>
  <w:style w:type="character" w:customStyle="1" w:styleId="serialtitle">
    <w:name w:val="serial_title"/>
    <w:basedOn w:val="Absatz-Standardschriftart"/>
    <w:rsid w:val="008858A1"/>
  </w:style>
  <w:style w:type="paragraph" w:styleId="Sprechblasentext">
    <w:name w:val="Balloon Text"/>
    <w:basedOn w:val="Standard"/>
    <w:link w:val="SprechblasentextZchn"/>
    <w:rsid w:val="008858A1"/>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8858A1"/>
    <w:rPr>
      <w:rFonts w:ascii="Segoe UI" w:eastAsia="Times New Roman" w:hAnsi="Segoe UI" w:cs="Segoe UI"/>
      <w:sz w:val="18"/>
      <w:szCs w:val="18"/>
      <w:lang w:eastAsia="de-DE"/>
    </w:rPr>
  </w:style>
  <w:style w:type="table" w:styleId="Tabellenraster">
    <w:name w:val="Table Grid"/>
    <w:basedOn w:val="NormaleTabelle"/>
    <w:rsid w:val="008858A1"/>
    <w:pPr>
      <w:spacing w:after="0" w:line="240" w:lineRule="auto"/>
    </w:pPr>
    <w:rPr>
      <w:rFonts w:ascii="Times" w:hAnsi="Times"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
    <w:name w:val="Tabellentext"/>
    <w:basedOn w:val="Standard"/>
    <w:qFormat/>
    <w:rsid w:val="008858A1"/>
    <w:pPr>
      <w:spacing w:before="20" w:after="20" w:line="240" w:lineRule="auto"/>
      <w:jc w:val="left"/>
    </w:pPr>
    <w:rPr>
      <w:color w:val="000000" w:themeColor="text1"/>
      <w:sz w:val="20"/>
    </w:rPr>
  </w:style>
  <w:style w:type="table" w:customStyle="1" w:styleId="Thnen-Tabelle1">
    <w:name w:val="Thünen-Tabelle 1"/>
    <w:basedOn w:val="NormaleTabelle"/>
    <w:uiPriority w:val="99"/>
    <w:rsid w:val="008858A1"/>
    <w:pPr>
      <w:spacing w:after="0" w:line="240" w:lineRule="auto"/>
    </w:pPr>
    <w:rPr>
      <w:rFonts w:ascii="Calibri" w:hAnsi="Calibri" w:cs="Times New Roman"/>
      <w:color w:val="000000" w:themeColor="text1"/>
      <w:sz w:val="20"/>
      <w:szCs w:val="20"/>
      <w:lang w:eastAsia="de-DE"/>
    </w:rPr>
    <w:tblPr>
      <w:tblBorders>
        <w:top w:val="single" w:sz="4" w:space="0" w:color="000000" w:themeColor="text1"/>
        <w:bottom w:val="single" w:sz="4" w:space="0" w:color="000000" w:themeColor="text1"/>
      </w:tblBorders>
    </w:tblPr>
    <w:tcPr>
      <w:vAlign w:val="center"/>
    </w:tcPr>
    <w:tblStylePr w:type="firstRow">
      <w:tblPr/>
      <w:tcPr>
        <w:tcBorders>
          <w:top w:val="single" w:sz="4" w:space="0" w:color="000000" w:themeColor="text1"/>
          <w:bottom w:val="single" w:sz="4" w:space="0" w:color="000000" w:themeColor="text1"/>
        </w:tcBorders>
      </w:tcPr>
    </w:tblStylePr>
  </w:style>
  <w:style w:type="table" w:customStyle="1" w:styleId="Thnen-Tabelle2">
    <w:name w:val="Thünen-Tabelle 2"/>
    <w:basedOn w:val="NormaleTabelle"/>
    <w:uiPriority w:val="99"/>
    <w:rsid w:val="008858A1"/>
    <w:pPr>
      <w:spacing w:after="0" w:line="240" w:lineRule="auto"/>
    </w:pPr>
    <w:rPr>
      <w:rFonts w:ascii="Calibri" w:hAnsi="Calibri" w:cs="Times New Roman"/>
      <w:color w:val="000000" w:themeColor="text1"/>
      <w:sz w:val="20"/>
      <w:szCs w:val="20"/>
      <w:lang w:eastAsia="de-DE"/>
    </w:rPr>
    <w:tblPr>
      <w:tblStyleRowBandSize w:val="1"/>
    </w:tblPr>
    <w:tblStylePr w:type="firstRow">
      <w:rPr>
        <w:b/>
        <w:color w:val="FFFFFF" w:themeColor="background1"/>
      </w:rPr>
      <w:tblPr/>
      <w:tcPr>
        <w:shd w:val="clear" w:color="auto" w:fill="008CD2"/>
      </w:tcPr>
    </w:tblStylePr>
    <w:tblStylePr w:type="band1Horz">
      <w:tblPr/>
      <w:tcPr>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Titelberschrift">
    <w:name w:val="Titelüberschrift"/>
    <w:basedOn w:val="Standard"/>
    <w:next w:val="Standard"/>
    <w:qFormat/>
    <w:rsid w:val="008858A1"/>
    <w:pPr>
      <w:tabs>
        <w:tab w:val="left" w:pos="425"/>
      </w:tabs>
      <w:spacing w:before="0"/>
    </w:pPr>
    <w:rPr>
      <w:b/>
      <w:color w:val="008CD2"/>
      <w:sz w:val="32"/>
    </w:rPr>
  </w:style>
  <w:style w:type="character" w:customStyle="1" w:styleId="berschrift2Zchn">
    <w:name w:val="Überschrift 2 Zchn"/>
    <w:basedOn w:val="Absatz-Standardschriftart"/>
    <w:link w:val="berschrift2"/>
    <w:rsid w:val="008858A1"/>
    <w:rPr>
      <w:rFonts w:ascii="Calibri" w:hAnsi="Calibri" w:cs="Times New Roman"/>
      <w:b/>
      <w:color w:val="008CD2"/>
      <w:sz w:val="26"/>
      <w:szCs w:val="20"/>
      <w:lang w:eastAsia="de-DE"/>
    </w:rPr>
  </w:style>
  <w:style w:type="character" w:customStyle="1" w:styleId="berschrift3Zchn">
    <w:name w:val="Überschrift 3 Zchn"/>
    <w:basedOn w:val="Absatz-Standardschriftart"/>
    <w:link w:val="berschrift3"/>
    <w:rsid w:val="008858A1"/>
    <w:rPr>
      <w:rFonts w:ascii="Calibri" w:hAnsi="Calibri" w:cs="Times New Roman"/>
      <w:b/>
      <w:color w:val="008CD2"/>
      <w:sz w:val="26"/>
      <w:szCs w:val="20"/>
      <w:lang w:eastAsia="de-DE"/>
    </w:rPr>
  </w:style>
  <w:style w:type="character" w:customStyle="1" w:styleId="berschrift4Zchn">
    <w:name w:val="Überschrift 4 Zchn"/>
    <w:basedOn w:val="Absatz-Standardschriftart"/>
    <w:link w:val="berschrift4"/>
    <w:rsid w:val="008858A1"/>
    <w:rPr>
      <w:rFonts w:ascii="Calibri" w:hAnsi="Calibri" w:cs="Times New Roman"/>
      <w:b/>
      <w:color w:val="008CD2"/>
      <w:sz w:val="26"/>
      <w:szCs w:val="20"/>
      <w:lang w:eastAsia="de-DE"/>
    </w:rPr>
  </w:style>
  <w:style w:type="character" w:customStyle="1" w:styleId="berschrift5Zchn">
    <w:name w:val="Überschrift 5 Zchn"/>
    <w:basedOn w:val="Absatz-Standardschriftart"/>
    <w:link w:val="berschrift5"/>
    <w:rsid w:val="008858A1"/>
    <w:rPr>
      <w:rFonts w:ascii="Calibri" w:hAnsi="Calibri" w:cs="Times New Roman"/>
      <w:b/>
      <w:color w:val="008CD2"/>
      <w:sz w:val="26"/>
      <w:szCs w:val="20"/>
      <w:lang w:eastAsia="de-DE"/>
    </w:rPr>
  </w:style>
  <w:style w:type="character" w:customStyle="1" w:styleId="berschrift6Zchn">
    <w:name w:val="Überschrift 6 Zchn"/>
    <w:basedOn w:val="Absatz-Standardschriftart"/>
    <w:link w:val="berschrift6"/>
    <w:rsid w:val="008858A1"/>
    <w:rPr>
      <w:rFonts w:ascii="Calibri" w:hAnsi="Calibri" w:cs="Times New Roman"/>
      <w:b/>
      <w:color w:val="008CD2"/>
      <w:sz w:val="26"/>
      <w:szCs w:val="20"/>
      <w:lang w:eastAsia="de-DE"/>
    </w:rPr>
  </w:style>
  <w:style w:type="character" w:customStyle="1" w:styleId="berschrift7Zchn">
    <w:name w:val="Überschrift 7 Zchn"/>
    <w:basedOn w:val="Absatz-Standardschriftart"/>
    <w:link w:val="berschrift7"/>
    <w:rsid w:val="008858A1"/>
    <w:rPr>
      <w:rFonts w:ascii="Calibri" w:hAnsi="Calibri" w:cs="Times New Roman"/>
      <w:b/>
      <w:color w:val="008CD2"/>
      <w:sz w:val="26"/>
      <w:szCs w:val="20"/>
      <w:lang w:eastAsia="de-DE"/>
    </w:rPr>
  </w:style>
  <w:style w:type="character" w:customStyle="1" w:styleId="berschrift8Zchn">
    <w:name w:val="Überschrift 8 Zchn"/>
    <w:basedOn w:val="Absatz-Standardschriftart"/>
    <w:link w:val="berschrift8"/>
    <w:rsid w:val="008858A1"/>
    <w:rPr>
      <w:rFonts w:ascii="Calibri" w:hAnsi="Calibri" w:cs="Times New Roman"/>
      <w:b/>
      <w:color w:val="008CD2"/>
      <w:sz w:val="26"/>
      <w:szCs w:val="20"/>
      <w:lang w:eastAsia="de-DE"/>
    </w:rPr>
  </w:style>
  <w:style w:type="character" w:customStyle="1" w:styleId="berschrift9Zchn">
    <w:name w:val="Überschrift 9 Zchn"/>
    <w:basedOn w:val="Absatz-Standardschriftart"/>
    <w:link w:val="berschrift9"/>
    <w:rsid w:val="008858A1"/>
    <w:rPr>
      <w:rFonts w:ascii="Calibri" w:hAnsi="Calibri" w:cs="Times New Roman"/>
      <w:b/>
      <w:color w:val="008CD2"/>
      <w:sz w:val="26"/>
      <w:szCs w:val="20"/>
      <w:lang w:eastAsia="de-DE"/>
    </w:rPr>
  </w:style>
  <w:style w:type="paragraph" w:customStyle="1" w:styleId="berschriftohneNum">
    <w:name w:val="Überschrift ohne Num."/>
    <w:basedOn w:val="berschrift1"/>
    <w:next w:val="Standard"/>
    <w:link w:val="berschriftohneNumZchn"/>
    <w:qFormat/>
    <w:rsid w:val="008858A1"/>
    <w:pPr>
      <w:numPr>
        <w:numId w:val="0"/>
      </w:numPr>
    </w:pPr>
  </w:style>
  <w:style w:type="character" w:customStyle="1" w:styleId="berschriftohneNumZchn">
    <w:name w:val="Überschrift ohne Num. Zchn"/>
    <w:basedOn w:val="Absatz-Standardschriftart"/>
    <w:link w:val="berschriftohneNum"/>
    <w:rsid w:val="008858A1"/>
    <w:rPr>
      <w:rFonts w:ascii="Calibri" w:eastAsia="Times New Roman" w:hAnsi="Calibri" w:cs="Times New Roman"/>
      <w:b/>
      <w:color w:val="008CD2"/>
      <w:sz w:val="26"/>
      <w:szCs w:val="20"/>
      <w:lang w:eastAsia="de-DE"/>
    </w:rPr>
  </w:style>
  <w:style w:type="paragraph" w:styleId="Verzeichnis1">
    <w:name w:val="toc 1"/>
    <w:basedOn w:val="Standard"/>
    <w:next w:val="Standard"/>
    <w:autoRedefine/>
    <w:uiPriority w:val="39"/>
    <w:qFormat/>
    <w:rsid w:val="008858A1"/>
    <w:pPr>
      <w:tabs>
        <w:tab w:val="left" w:pos="425"/>
        <w:tab w:val="right" w:pos="9526"/>
      </w:tabs>
      <w:spacing w:before="120"/>
      <w:ind w:left="425" w:hanging="425"/>
      <w:jc w:val="left"/>
    </w:pPr>
    <w:rPr>
      <w:b/>
      <w:color w:val="008CD2"/>
    </w:rPr>
  </w:style>
  <w:style w:type="paragraph" w:styleId="Verzeichnis2">
    <w:name w:val="toc 2"/>
    <w:basedOn w:val="Standard"/>
    <w:next w:val="Standard"/>
    <w:autoRedefine/>
    <w:uiPriority w:val="39"/>
    <w:rsid w:val="008858A1"/>
    <w:pPr>
      <w:tabs>
        <w:tab w:val="left" w:pos="1134"/>
        <w:tab w:val="right" w:pos="9526"/>
      </w:tabs>
      <w:spacing w:before="60"/>
      <w:ind w:left="1134" w:hanging="709"/>
      <w:jc w:val="left"/>
    </w:pPr>
    <w:rPr>
      <w:color w:val="000000" w:themeColor="text1"/>
    </w:rPr>
  </w:style>
  <w:style w:type="paragraph" w:styleId="Verzeichnis3">
    <w:name w:val="toc 3"/>
    <w:basedOn w:val="Standard"/>
    <w:next w:val="Standard"/>
    <w:autoRedefine/>
    <w:uiPriority w:val="39"/>
    <w:rsid w:val="008858A1"/>
    <w:pPr>
      <w:tabs>
        <w:tab w:val="left" w:pos="1985"/>
        <w:tab w:val="right" w:pos="9526"/>
      </w:tabs>
      <w:spacing w:before="0"/>
      <w:ind w:left="1985" w:hanging="851"/>
      <w:jc w:val="left"/>
    </w:pPr>
    <w:rPr>
      <w:color w:val="000000" w:themeColor="text1"/>
    </w:rPr>
  </w:style>
  <w:style w:type="character" w:customStyle="1" w:styleId="volumeissue">
    <w:name w:val="volume_issue"/>
    <w:basedOn w:val="Absatz-Standardschriftart"/>
    <w:rsid w:val="008858A1"/>
  </w:style>
  <w:style w:type="character" w:customStyle="1" w:styleId="ws6bf">
    <w:name w:val="ws6bf"/>
    <w:basedOn w:val="Absatz-Standardschriftart"/>
    <w:rsid w:val="008858A1"/>
  </w:style>
  <w:style w:type="paragraph" w:customStyle="1" w:styleId="Zwischenberschriftbold">
    <w:name w:val="Zwischenüberschrift bold"/>
    <w:basedOn w:val="Standard"/>
    <w:next w:val="Standard"/>
    <w:qFormat/>
    <w:rsid w:val="008858A1"/>
    <w:pPr>
      <w:keepNext/>
      <w:spacing w:before="320"/>
    </w:pPr>
    <w:rPr>
      <w:b/>
    </w:rPr>
  </w:style>
  <w:style w:type="paragraph" w:customStyle="1" w:styleId="Zwischenberschriftkursiv">
    <w:name w:val="Zwischenüberschrift kursiv"/>
    <w:basedOn w:val="Zwischenberschriftbold"/>
    <w:next w:val="Standard"/>
    <w:qFormat/>
    <w:rsid w:val="008858A1"/>
    <w:rPr>
      <w:b w:val="0"/>
      <w:i/>
    </w:rPr>
  </w:style>
  <w:style w:type="paragraph" w:styleId="berarbeitung">
    <w:name w:val="Revision"/>
    <w:hidden/>
    <w:uiPriority w:val="99"/>
    <w:semiHidden/>
    <w:rsid w:val="004E200E"/>
    <w:pPr>
      <w:spacing w:after="0" w:line="240" w:lineRule="auto"/>
    </w:pPr>
    <w:rPr>
      <w:rFonts w:ascii="Times New Roman" w:hAnsi="Times New Roman" w:cs="Times New Roman"/>
      <w:spacing w:val="4"/>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39271">
      <w:bodyDiv w:val="1"/>
      <w:marLeft w:val="0"/>
      <w:marRight w:val="0"/>
      <w:marTop w:val="0"/>
      <w:marBottom w:val="0"/>
      <w:divBdr>
        <w:top w:val="none" w:sz="0" w:space="0" w:color="auto"/>
        <w:left w:val="none" w:sz="0" w:space="0" w:color="auto"/>
        <w:bottom w:val="none" w:sz="0" w:space="0" w:color="auto"/>
        <w:right w:val="none" w:sz="0" w:space="0" w:color="auto"/>
      </w:divBdr>
      <w:divsChild>
        <w:div w:id="22022580">
          <w:marLeft w:val="446"/>
          <w:marRight w:val="0"/>
          <w:marTop w:val="0"/>
          <w:marBottom w:val="80"/>
          <w:divBdr>
            <w:top w:val="none" w:sz="0" w:space="0" w:color="auto"/>
            <w:left w:val="none" w:sz="0" w:space="0" w:color="auto"/>
            <w:bottom w:val="none" w:sz="0" w:space="0" w:color="auto"/>
            <w:right w:val="none" w:sz="0" w:space="0" w:color="auto"/>
          </w:divBdr>
        </w:div>
        <w:div w:id="126168381">
          <w:marLeft w:val="446"/>
          <w:marRight w:val="0"/>
          <w:marTop w:val="0"/>
          <w:marBottom w:val="80"/>
          <w:divBdr>
            <w:top w:val="none" w:sz="0" w:space="0" w:color="auto"/>
            <w:left w:val="none" w:sz="0" w:space="0" w:color="auto"/>
            <w:bottom w:val="none" w:sz="0" w:space="0" w:color="auto"/>
            <w:right w:val="none" w:sz="0" w:space="0" w:color="auto"/>
          </w:divBdr>
        </w:div>
        <w:div w:id="115610273">
          <w:marLeft w:val="446"/>
          <w:marRight w:val="0"/>
          <w:marTop w:val="0"/>
          <w:marBottom w:val="80"/>
          <w:divBdr>
            <w:top w:val="none" w:sz="0" w:space="0" w:color="auto"/>
            <w:left w:val="none" w:sz="0" w:space="0" w:color="auto"/>
            <w:bottom w:val="none" w:sz="0" w:space="0" w:color="auto"/>
            <w:right w:val="none" w:sz="0" w:space="0" w:color="auto"/>
          </w:divBdr>
        </w:div>
        <w:div w:id="633828403">
          <w:marLeft w:val="446"/>
          <w:marRight w:val="0"/>
          <w:marTop w:val="0"/>
          <w:marBottom w:val="80"/>
          <w:divBdr>
            <w:top w:val="none" w:sz="0" w:space="0" w:color="auto"/>
            <w:left w:val="none" w:sz="0" w:space="0" w:color="auto"/>
            <w:bottom w:val="none" w:sz="0" w:space="0" w:color="auto"/>
            <w:right w:val="none" w:sz="0" w:space="0" w:color="auto"/>
          </w:divBdr>
        </w:div>
        <w:div w:id="1275089332">
          <w:marLeft w:val="446"/>
          <w:marRight w:val="0"/>
          <w:marTop w:val="0"/>
          <w:marBottom w:val="80"/>
          <w:divBdr>
            <w:top w:val="none" w:sz="0" w:space="0" w:color="auto"/>
            <w:left w:val="none" w:sz="0" w:space="0" w:color="auto"/>
            <w:bottom w:val="none" w:sz="0" w:space="0" w:color="auto"/>
            <w:right w:val="none" w:sz="0" w:space="0" w:color="auto"/>
          </w:divBdr>
        </w:div>
        <w:div w:id="210070995">
          <w:marLeft w:val="446"/>
          <w:marRight w:val="0"/>
          <w:marTop w:val="0"/>
          <w:marBottom w:val="80"/>
          <w:divBdr>
            <w:top w:val="none" w:sz="0" w:space="0" w:color="auto"/>
            <w:left w:val="none" w:sz="0" w:space="0" w:color="auto"/>
            <w:bottom w:val="none" w:sz="0" w:space="0" w:color="auto"/>
            <w:right w:val="none" w:sz="0" w:space="0" w:color="auto"/>
          </w:divBdr>
        </w:div>
        <w:div w:id="649015944">
          <w:marLeft w:val="446"/>
          <w:marRight w:val="0"/>
          <w:marTop w:val="0"/>
          <w:marBottom w:val="80"/>
          <w:divBdr>
            <w:top w:val="none" w:sz="0" w:space="0" w:color="auto"/>
            <w:left w:val="none" w:sz="0" w:space="0" w:color="auto"/>
            <w:bottom w:val="none" w:sz="0" w:space="0" w:color="auto"/>
            <w:right w:val="none" w:sz="0" w:space="0" w:color="auto"/>
          </w:divBdr>
        </w:div>
      </w:divsChild>
    </w:div>
    <w:div w:id="673387347">
      <w:bodyDiv w:val="1"/>
      <w:marLeft w:val="0"/>
      <w:marRight w:val="0"/>
      <w:marTop w:val="0"/>
      <w:marBottom w:val="0"/>
      <w:divBdr>
        <w:top w:val="none" w:sz="0" w:space="0" w:color="auto"/>
        <w:left w:val="none" w:sz="0" w:space="0" w:color="auto"/>
        <w:bottom w:val="none" w:sz="0" w:space="0" w:color="auto"/>
        <w:right w:val="none" w:sz="0" w:space="0" w:color="auto"/>
      </w:divBdr>
    </w:div>
    <w:div w:id="1542089525">
      <w:bodyDiv w:val="1"/>
      <w:marLeft w:val="0"/>
      <w:marRight w:val="0"/>
      <w:marTop w:val="0"/>
      <w:marBottom w:val="0"/>
      <w:divBdr>
        <w:top w:val="none" w:sz="0" w:space="0" w:color="auto"/>
        <w:left w:val="none" w:sz="0" w:space="0" w:color="auto"/>
        <w:bottom w:val="none" w:sz="0" w:space="0" w:color="auto"/>
        <w:right w:val="none" w:sz="0" w:space="0" w:color="auto"/>
      </w:divBdr>
    </w:div>
    <w:div w:id="1730301717">
      <w:bodyDiv w:val="1"/>
      <w:marLeft w:val="0"/>
      <w:marRight w:val="0"/>
      <w:marTop w:val="0"/>
      <w:marBottom w:val="0"/>
      <w:divBdr>
        <w:top w:val="none" w:sz="0" w:space="0" w:color="auto"/>
        <w:left w:val="none" w:sz="0" w:space="0" w:color="auto"/>
        <w:bottom w:val="none" w:sz="0" w:space="0" w:color="auto"/>
        <w:right w:val="none" w:sz="0" w:space="0" w:color="auto"/>
      </w:divBdr>
      <w:divsChild>
        <w:div w:id="1385368162">
          <w:marLeft w:val="446"/>
          <w:marRight w:val="0"/>
          <w:marTop w:val="0"/>
          <w:marBottom w:val="80"/>
          <w:divBdr>
            <w:top w:val="none" w:sz="0" w:space="0" w:color="auto"/>
            <w:left w:val="none" w:sz="0" w:space="0" w:color="auto"/>
            <w:bottom w:val="none" w:sz="0" w:space="0" w:color="auto"/>
            <w:right w:val="none" w:sz="0" w:space="0" w:color="auto"/>
          </w:divBdr>
        </w:div>
        <w:div w:id="1607155551">
          <w:marLeft w:val="446"/>
          <w:marRight w:val="0"/>
          <w:marTop w:val="0"/>
          <w:marBottom w:val="80"/>
          <w:divBdr>
            <w:top w:val="none" w:sz="0" w:space="0" w:color="auto"/>
            <w:left w:val="none" w:sz="0" w:space="0" w:color="auto"/>
            <w:bottom w:val="none" w:sz="0" w:space="0" w:color="auto"/>
            <w:right w:val="none" w:sz="0" w:space="0" w:color="auto"/>
          </w:divBdr>
        </w:div>
        <w:div w:id="1253246845">
          <w:marLeft w:val="446"/>
          <w:marRight w:val="0"/>
          <w:marTop w:val="0"/>
          <w:marBottom w:val="80"/>
          <w:divBdr>
            <w:top w:val="none" w:sz="0" w:space="0" w:color="auto"/>
            <w:left w:val="none" w:sz="0" w:space="0" w:color="auto"/>
            <w:bottom w:val="none" w:sz="0" w:space="0" w:color="auto"/>
            <w:right w:val="none" w:sz="0" w:space="0" w:color="auto"/>
          </w:divBdr>
        </w:div>
        <w:div w:id="354621882">
          <w:marLeft w:val="965"/>
          <w:marRight w:val="0"/>
          <w:marTop w:val="0"/>
          <w:marBottom w:val="80"/>
          <w:divBdr>
            <w:top w:val="none" w:sz="0" w:space="0" w:color="auto"/>
            <w:left w:val="none" w:sz="0" w:space="0" w:color="auto"/>
            <w:bottom w:val="none" w:sz="0" w:space="0" w:color="auto"/>
            <w:right w:val="none" w:sz="0" w:space="0" w:color="auto"/>
          </w:divBdr>
        </w:div>
        <w:div w:id="1311211031">
          <w:marLeft w:val="446"/>
          <w:marRight w:val="0"/>
          <w:marTop w:val="0"/>
          <w:marBottom w:val="80"/>
          <w:divBdr>
            <w:top w:val="none" w:sz="0" w:space="0" w:color="auto"/>
            <w:left w:val="none" w:sz="0" w:space="0" w:color="auto"/>
            <w:bottom w:val="none" w:sz="0" w:space="0" w:color="auto"/>
            <w:right w:val="none" w:sz="0" w:space="0" w:color="auto"/>
          </w:divBdr>
        </w:div>
        <w:div w:id="1301615433">
          <w:marLeft w:val="446"/>
          <w:marRight w:val="0"/>
          <w:marTop w:val="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microsoft.com/office/2011/relationships/commentsExtended" Target="commentsExtended.xml"/><Relationship Id="rId26" Type="http://schemas.openxmlformats.org/officeDocument/2006/relationships/hyperlink" Target="file:///C:\INSTITUT\a7forum\LEVEL%20I\ZZ_Literatur_Publikationen\BZE2\ThnenReport16_C_und_Nhrelementspeicherung_Wald_RP_2014.pdf" TargetMode="External"/><Relationship Id="rId39" Type="http://schemas.openxmlformats.org/officeDocument/2006/relationships/hyperlink" Target="https://www.sciencedirect.com/science/article/pii/S0378112716302870" TargetMode="External"/><Relationship Id="rId21" Type="http://schemas.openxmlformats.org/officeDocument/2006/relationships/image" Target="media/image7.png"/><Relationship Id="rId34" Type="http://schemas.openxmlformats.org/officeDocument/2006/relationships/image" Target="media/image9.png"/><Relationship Id="rId42" Type="http://schemas.openxmlformats.org/officeDocument/2006/relationships/image" Target="media/image13.png"/><Relationship Id="rId47" Type="http://schemas.openxmlformats.org/officeDocument/2006/relationships/hyperlink" Target="https://www.tandfonline.com/doi/full/10.1080/11263504.2019.1587538"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fawf.wald.rlp.de/index.php?eID=dumpFile&amp;t=f&amp;f=19279&amp;token=a80f5609f215ad7ab270834d6e7fab906d83c066" TargetMode="External"/><Relationship Id="rId11" Type="http://schemas.openxmlformats.org/officeDocument/2006/relationships/image" Target="media/image1.png"/><Relationship Id="rId24" Type="http://schemas.openxmlformats.org/officeDocument/2006/relationships/hyperlink" Target="https://doi.org/10.1139/cjfr-2012-0454" TargetMode="External"/><Relationship Id="rId32" Type="http://schemas.openxmlformats.org/officeDocument/2006/relationships/hyperlink" Target="file:///C:\INSTITUT\a7forum\LEVEL%20I\ZZ_Literatur_Publikationen\BZE2\ThnenReport16_C_und_Nhrelementspeicherung_Wald_RP_2014.pdf" TargetMode="External"/><Relationship Id="rId37" Type="http://schemas.openxmlformats.org/officeDocument/2006/relationships/hyperlink" Target="https://bg.copernicus.org/articles/17/1621/2020/" TargetMode="External"/><Relationship Id="rId40" Type="http://schemas.openxmlformats.org/officeDocument/2006/relationships/image" Target="media/image11.png"/><Relationship Id="rId45" Type="http://schemas.openxmlformats.org/officeDocument/2006/relationships/hyperlink" Target="https://bwi.info/inhalt1.3.aspx?Text=8.02%20Vorr%C3%A4te/Massen%20nach%20Totholztyp%20(ZIELMERKMALSTABELLE)&amp;prRolle=public&amp;prInv=THG2017&amp;prKapitel=8.02"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gitlab.com/vochr/tapes/-/tree/bba90ad32cf6bf7f938d79beec5adbbd8b774755" TargetMode="External"/><Relationship Id="rId28" Type="http://schemas.openxmlformats.org/officeDocument/2006/relationships/hyperlink" Target="https://fawf.wald.rlp.de/index.php?eID=dumpFile&amp;t=f&amp;f=19278&amp;token=3666547a435508f1f0990da23976af6c254ee0af" TargetMode="External"/><Relationship Id="rId36" Type="http://schemas.openxmlformats.org/officeDocument/2006/relationships/image" Target="media/image10.png"/><Relationship Id="rId49" Type="http://schemas.microsoft.com/office/2011/relationships/people" Target="people.xml"/><Relationship Id="rId10" Type="http://schemas.openxmlformats.org/officeDocument/2006/relationships/hyperlink" Target="https://search.r-project.org/CRAN/refmans/sitreeE/html/biomass.birch.M1988.html" TargetMode="External"/><Relationship Id="rId19" Type="http://schemas.microsoft.com/office/2016/09/relationships/commentsIds" Target="commentsIds.xml"/><Relationship Id="rId31" Type="http://schemas.openxmlformats.org/officeDocument/2006/relationships/hyperlink" Target="https://bwi.info/Download/de/Methodik/BMEL_BWI_Methodenband_Web_BWI3.pdf" TargetMode="External"/><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www.bundeswaldinventur.de/fileadmin/SITE_MASTER/content/Downloads/Riedel2017_Biomassefunktionen.pdf"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s://fawf.wald.rlp.de/index.php?eID=dumpFile&amp;t=f&amp;f=19278&amp;token=3666547a435508f1f0990da23976af6c254ee0af" TargetMode="External"/><Relationship Id="rId30" Type="http://schemas.openxmlformats.org/officeDocument/2006/relationships/hyperlink" Target="https://fawf.wald.rlp.de/index.php?eID=dumpFile&amp;t=f&amp;f=19278&amp;token=3666547a435508f1f0990da23976af6c254ee0af" TargetMode="External"/><Relationship Id="rId35" Type="http://schemas.openxmlformats.org/officeDocument/2006/relationships/hyperlink" Target="https://bwi.info/Download/de/Methodik/BMEL_BWI_Methodenband_Web_BWI3.pdf%20Seite%2044" TargetMode="External"/><Relationship Id="rId43" Type="http://schemas.openxmlformats.org/officeDocument/2006/relationships/image" Target="media/image14.png"/><Relationship Id="rId48" Type="http://schemas.openxmlformats.org/officeDocument/2006/relationships/fontTable" Target="fontTable.xml"/><Relationship Id="rId8" Type="http://schemas.openxmlformats.org/officeDocument/2006/relationships/hyperlink" Target="https://doi.org/10.1186/s13021-016-0053-x" TargetMode="External"/><Relationship Id="rId3" Type="http://schemas.openxmlformats.org/officeDocument/2006/relationships/styles" Target="styles.xml"/><Relationship Id="rId12" Type="http://schemas.openxmlformats.org/officeDocument/2006/relationships/hyperlink" Target="file:///O:\a7bze\ZZ_BZE3_Bestand_Auswertung\Literatur\EnNa_2018___FFF_H_101_Holznutzung_Naehrstoffnachhaltigkeit.pdf" TargetMode="External"/><Relationship Id="rId17" Type="http://schemas.openxmlformats.org/officeDocument/2006/relationships/comments" Target="comments.xml"/><Relationship Id="rId25" Type="http://schemas.openxmlformats.org/officeDocument/2006/relationships/hyperlink" Target="https://www.fnr.de/ftp/pdf/berichte/22015407.pdf" TargetMode="External"/><Relationship Id="rId33" Type="http://schemas.openxmlformats.org/officeDocument/2006/relationships/hyperlink" Target="https://bwi.info/Download/de/Methodik/BMEL_BWI_Methodenband_Web_BWI3.pdf" TargetMode="External"/><Relationship Id="rId38" Type="http://schemas.openxmlformats.org/officeDocument/2006/relationships/hyperlink" Target="https://onlinelibrary.wiley.com/doi/10.1111/gcb.12552" TargetMode="External"/><Relationship Id="rId46" Type="http://schemas.openxmlformats.org/officeDocument/2006/relationships/hyperlink" Target="https://doi.org/10.1080/11263504.2019.1587538" TargetMode="External"/><Relationship Id="rId20" Type="http://schemas.openxmlformats.org/officeDocument/2006/relationships/image" Target="media/image6.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0BDD9B-C9FF-40E8-B7FE-77CE3213922F}">
  <we:reference id="wa200002891" version="2021.3.29.10" store="de-DE" storeType="OMEX"/>
  <we:alternateReferences>
    <we:reference id="WA200002891" version="2021.3.29.10" store="WA20000289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3A224-CFCA-460D-9FD9-763BD51BE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11319</Words>
  <Characters>71314</Characters>
  <Application>Microsoft Office Word</Application>
  <DocSecurity>0</DocSecurity>
  <Lines>594</Lines>
  <Paragraphs>164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 Gercken</dc:creator>
  <cp:keywords/>
  <dc:description/>
  <cp:lastModifiedBy>Henriette Gercken</cp:lastModifiedBy>
  <cp:revision>3</cp:revision>
  <dcterms:created xsi:type="dcterms:W3CDTF">2023-07-12T13:34:00Z</dcterms:created>
  <dcterms:modified xsi:type="dcterms:W3CDTF">2023-12-18T11:03:00Z</dcterms:modified>
</cp:coreProperties>
</file>