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4E72" w14:textId="77777777" w:rsidR="00C5785C" w:rsidRPr="004266F2" w:rsidRDefault="00782B15">
      <w:pPr>
        <w:spacing w:after="100"/>
        <w:jc w:val="center"/>
        <w:rPr>
          <w:sz w:val="36"/>
          <w:szCs w:val="36"/>
        </w:rPr>
      </w:pPr>
      <w:r w:rsidRPr="004266F2">
        <w:rPr>
          <w:b/>
          <w:bCs/>
          <w:color w:val="000000"/>
          <w:sz w:val="36"/>
          <w:szCs w:val="36"/>
        </w:rPr>
        <w:t>Blood Cell Classification Using VGGNet-16: A Transfer Learning Approach on the BCCD Dataset</w:t>
      </w:r>
    </w:p>
    <w:p w14:paraId="67F04121" w14:textId="77777777" w:rsidR="00C5785C" w:rsidRDefault="00782B15">
      <w:pPr>
        <w:spacing w:after="60"/>
        <w:jc w:val="center"/>
      </w:pPr>
      <w:r>
        <w:rPr>
          <w:i/>
          <w:iCs/>
          <w:color w:val="000000"/>
          <w:sz w:val="22"/>
          <w:szCs w:val="22"/>
        </w:rPr>
        <w:t>Dev Vardhan Bhamu¹, Kavya Arora¹</w:t>
      </w:r>
    </w:p>
    <w:p w14:paraId="06FF8767" w14:textId="77777777" w:rsidR="00C5785C" w:rsidRDefault="00782B15">
      <w:pPr>
        <w:spacing w:after="50"/>
        <w:jc w:val="center"/>
      </w:pPr>
      <w:r>
        <w:rPr>
          <w:color w:val="000000"/>
          <w:sz w:val="19"/>
          <w:szCs w:val="19"/>
        </w:rPr>
        <w:t>¹Dept. of Computer Science &amp; Engineering, Shri Mata Vaishno Devi University, Katra, J&amp;K, India</w:t>
      </w:r>
    </w:p>
    <w:p w14:paraId="13FA29ED" w14:textId="77777777" w:rsidR="00C5785C" w:rsidRDefault="00782B15">
      <w:pPr>
        <w:spacing w:after="160"/>
        <w:jc w:val="center"/>
      </w:pPr>
      <w:r>
        <w:rPr>
          <w:i/>
          <w:iCs/>
          <w:color w:val="000000"/>
          <w:sz w:val="18"/>
          <w:szCs w:val="18"/>
        </w:rPr>
        <w:t>{23bcs025, 23bcs041}@smvdu.ac.in</w:t>
      </w:r>
    </w:p>
    <w:p w14:paraId="7F2722B7" w14:textId="77777777" w:rsidR="00C5785C" w:rsidRDefault="00C5785C">
      <w:pPr>
        <w:pBdr>
          <w:bottom w:val="single" w:sz="6" w:space="1" w:color="1F3864"/>
        </w:pBdr>
        <w:spacing w:after="120"/>
      </w:pPr>
    </w:p>
    <w:p w14:paraId="1B6BBA79" w14:textId="77777777" w:rsidR="00C5785C" w:rsidRDefault="00C5785C">
      <w:pPr>
        <w:sectPr w:rsidR="00C5785C">
          <w:pgSz w:w="12240" w:h="15840"/>
          <w:pgMar w:top="1440" w:right="1008" w:bottom="1440" w:left="1008" w:header="708" w:footer="708" w:gutter="0"/>
          <w:cols w:space="720"/>
          <w:docGrid w:linePitch="360"/>
        </w:sectPr>
      </w:pPr>
    </w:p>
    <w:p w14:paraId="0EDD6E54" w14:textId="77777777" w:rsidR="00C5785C" w:rsidRDefault="00782B15">
      <w:pPr>
        <w:spacing w:before="160" w:after="80"/>
        <w:jc w:val="center"/>
      </w:pPr>
      <w:r>
        <w:rPr>
          <w:b/>
          <w:bCs/>
          <w:color w:val="000000"/>
        </w:rPr>
        <w:t>ABSTRACT</w:t>
      </w:r>
    </w:p>
    <w:p w14:paraId="5FDE5319" w14:textId="77777777" w:rsidR="00C5785C" w:rsidRDefault="00782B15">
      <w:pPr>
        <w:spacing w:before="60" w:after="80" w:line="276" w:lineRule="auto"/>
        <w:ind w:firstLine="360"/>
        <w:jc w:val="both"/>
      </w:pPr>
      <w:r>
        <w:rPr>
          <w:color w:val="000000"/>
        </w:rPr>
        <w:t>This paper presents a transfer learning approach for the automatic classification of peripheral blood cell types using VGGNet-16, a 16-weight-layer deep convolutional neural network characterized by uniform 3×3 convolutions. Experiments are conducted on the Blood Cell Count and Detection (BCCD) dataset comprising approximately 12,500 microscopic images across four cell categories: Eosinophil, Lymphocyte, Monocyte, and Neutrophil. The dataset is partitioned using stratified shuffling into 70% training, 15% v</w:t>
      </w:r>
      <w:r>
        <w:rPr>
          <w:color w:val="000000"/>
        </w:rPr>
        <w:t>alidation, and 15% test sets. With ImageNet-pretrained convolutional weights frozen and only the fully connected classifier head fine-tuned, the model achieves 89.7% test accuracy, a weighted F1-score of 0.897, and a macro-average AUC-ROC of 0.985. Per-class analysis reveals strong performance for Lymphocyte (F1 = 0.957) and Monocyte (F1 = 0.975), with Eosinophil–Neutrophil confusion representing the primary error mode.</w:t>
      </w:r>
    </w:p>
    <w:p w14:paraId="6F26C3F7" w14:textId="77777777" w:rsidR="00C5785C" w:rsidRDefault="00782B15">
      <w:pPr>
        <w:spacing w:before="40" w:after="100"/>
      </w:pPr>
      <w:r>
        <w:rPr>
          <w:b/>
          <w:bCs/>
          <w:i/>
          <w:iCs/>
          <w:color w:val="000000"/>
          <w:sz w:val="19"/>
          <w:szCs w:val="19"/>
        </w:rPr>
        <w:t>Keywords—</w:t>
      </w:r>
      <w:r>
        <w:rPr>
          <w:i/>
          <w:iCs/>
          <w:color w:val="000000"/>
          <w:sz w:val="19"/>
          <w:szCs w:val="19"/>
        </w:rPr>
        <w:t>VGGNet-16; Blood Cell Classification; Transfer Learning; BCCD; CNN; Medical Image Analysis.</w:t>
      </w:r>
    </w:p>
    <w:p w14:paraId="3D38CB6C" w14:textId="77777777" w:rsidR="00C5785C" w:rsidRDefault="00782B15">
      <w:pPr>
        <w:spacing w:before="160" w:after="80"/>
        <w:jc w:val="center"/>
      </w:pPr>
      <w:r>
        <w:rPr>
          <w:b/>
          <w:bCs/>
          <w:color w:val="000000"/>
        </w:rPr>
        <w:t>I. INTRODUCTION</w:t>
      </w:r>
    </w:p>
    <w:p w14:paraId="46E0CF44" w14:textId="77777777" w:rsidR="00C5785C" w:rsidRDefault="00782B15">
      <w:pPr>
        <w:spacing w:before="60" w:after="80" w:line="276" w:lineRule="auto"/>
        <w:ind w:firstLine="360"/>
        <w:jc w:val="both"/>
      </w:pPr>
      <w:r>
        <w:rPr>
          <w:color w:val="000000"/>
        </w:rPr>
        <w:t xml:space="preserve">The manual examination of peripheral blood smear slides by trained </w:t>
      </w:r>
      <w:proofErr w:type="spellStart"/>
      <w:r>
        <w:rPr>
          <w:color w:val="000000"/>
        </w:rPr>
        <w:t>hematologists</w:t>
      </w:r>
      <w:proofErr w:type="spellEnd"/>
      <w:r>
        <w:rPr>
          <w:color w:val="000000"/>
        </w:rPr>
        <w:t xml:space="preserve"> is a </w:t>
      </w:r>
      <w:proofErr w:type="spellStart"/>
      <w:r>
        <w:rPr>
          <w:color w:val="000000"/>
        </w:rPr>
        <w:t>labor-intensive</w:t>
      </w:r>
      <w:proofErr w:type="spellEnd"/>
      <w:r>
        <w:rPr>
          <w:color w:val="000000"/>
        </w:rPr>
        <w:t xml:space="preserve">, time-consuming, and error-prone process central to the diagnosis of numerous </w:t>
      </w:r>
      <w:proofErr w:type="spellStart"/>
      <w:r>
        <w:rPr>
          <w:color w:val="000000"/>
        </w:rPr>
        <w:t>hematological</w:t>
      </w:r>
      <w:proofErr w:type="spellEnd"/>
      <w:r>
        <w:rPr>
          <w:color w:val="000000"/>
        </w:rPr>
        <w:t xml:space="preserve"> disorders, including </w:t>
      </w:r>
      <w:proofErr w:type="spellStart"/>
      <w:r>
        <w:rPr>
          <w:color w:val="000000"/>
        </w:rPr>
        <w:t>leukemia</w:t>
      </w:r>
      <w:proofErr w:type="spellEnd"/>
      <w:r>
        <w:rPr>
          <w:color w:val="000000"/>
        </w:rPr>
        <w:t xml:space="preserve">, </w:t>
      </w:r>
      <w:proofErr w:type="spellStart"/>
      <w:r>
        <w:rPr>
          <w:color w:val="000000"/>
        </w:rPr>
        <w:t>anemia</w:t>
      </w:r>
      <w:proofErr w:type="spellEnd"/>
      <w:r>
        <w:rPr>
          <w:color w:val="000000"/>
        </w:rPr>
        <w:t>, and infectious diseases such as malaria [1]. Automation of blood cell classification through deep learning offers the potential to reduce diagnostic turnaround times, minimize inter-observer variability, and extend diagnostic capacity to resource-limited settings [2].</w:t>
      </w:r>
    </w:p>
    <w:p w14:paraId="397C4629" w14:textId="77777777" w:rsidR="00C5785C" w:rsidRDefault="00782B15">
      <w:pPr>
        <w:spacing w:before="60" w:after="80" w:line="276" w:lineRule="auto"/>
        <w:ind w:firstLine="360"/>
        <w:jc w:val="both"/>
      </w:pPr>
      <w:r>
        <w:rPr>
          <w:color w:val="000000"/>
        </w:rPr>
        <w:t xml:space="preserve">Convolutional Neural Networks (CNNs) have demonstrated state-of-the-art performance across medical image analysis tasks [3]. Among established architectures, </w:t>
      </w:r>
      <w:proofErr w:type="spellStart"/>
      <w:r>
        <w:rPr>
          <w:color w:val="000000"/>
        </w:rPr>
        <w:t>VGGNet</w:t>
      </w:r>
      <w:proofErr w:type="spellEnd"/>
      <w:r>
        <w:rPr>
          <w:color w:val="000000"/>
        </w:rPr>
        <w:t xml:space="preserve"> [4] achieves strong results through a homogeneous design: repeated stacks of 3×3 convolutional filters, max-pooling for spatial </w:t>
      </w:r>
      <w:proofErr w:type="spellStart"/>
      <w:r>
        <w:rPr>
          <w:color w:val="000000"/>
        </w:rPr>
        <w:t>downsampling</w:t>
      </w:r>
      <w:proofErr w:type="spellEnd"/>
      <w:r>
        <w:rPr>
          <w:color w:val="000000"/>
        </w:rPr>
        <w:t xml:space="preserve">, and three fully connected layers. Despite its introduction in 2014, VGGNet-16 remains a compelling baseline for medical imaging owing </w:t>
      </w:r>
      <w:r>
        <w:rPr>
          <w:color w:val="000000"/>
        </w:rPr>
        <w:t>to its architectural transparency and compatibility with transfer learning [5].</w:t>
      </w:r>
    </w:p>
    <w:p w14:paraId="6F9C604B" w14:textId="77777777" w:rsidR="00C5785C" w:rsidRDefault="00782B15">
      <w:pPr>
        <w:spacing w:before="60" w:after="80" w:line="276" w:lineRule="auto"/>
        <w:ind w:firstLine="360"/>
        <w:jc w:val="both"/>
      </w:pPr>
      <w:r>
        <w:rPr>
          <w:color w:val="000000"/>
        </w:rPr>
        <w:t xml:space="preserve">In this work we fine-tune VGGNet-16 on the BCCD dataset [6] under a frozen-feature-extractor regime. Our contributions are: (1) a fully reproducible </w:t>
      </w:r>
      <w:proofErr w:type="spellStart"/>
      <w:r>
        <w:rPr>
          <w:color w:val="000000"/>
        </w:rPr>
        <w:t>PyTorch</w:t>
      </w:r>
      <w:proofErr w:type="spellEnd"/>
      <w:r>
        <w:rPr>
          <w:color w:val="000000"/>
        </w:rPr>
        <w:t xml:space="preserve"> implementation with stratified 70/15/15 splitting; (2) comprehensive evaluation across Accuracy, Precision, Recall, F1-Score, AUC-ROC, and per-class confusion analysis; and (3) an interpretive discussion of the dominant Eosinophil–Neutrophil confusion pattern.</w:t>
      </w:r>
    </w:p>
    <w:p w14:paraId="5D270F6F" w14:textId="77777777" w:rsidR="00C5785C" w:rsidRDefault="00782B15">
      <w:pPr>
        <w:spacing w:before="160" w:after="80"/>
        <w:jc w:val="center"/>
      </w:pPr>
      <w:r>
        <w:rPr>
          <w:b/>
          <w:bCs/>
          <w:color w:val="000000"/>
        </w:rPr>
        <w:t>II. RELATED WORK</w:t>
      </w:r>
    </w:p>
    <w:p w14:paraId="3E880EA2" w14:textId="77777777" w:rsidR="00C5785C" w:rsidRDefault="00782B15">
      <w:pPr>
        <w:spacing w:before="60" w:after="80" w:line="276" w:lineRule="auto"/>
        <w:ind w:firstLine="360"/>
        <w:jc w:val="both"/>
      </w:pPr>
      <w:r>
        <w:rPr>
          <w:color w:val="000000"/>
        </w:rPr>
        <w:t xml:space="preserve">Early automated blood cell analysis relied on hand-crafted features—morphological descriptors, </w:t>
      </w:r>
      <w:proofErr w:type="spellStart"/>
      <w:r>
        <w:rPr>
          <w:color w:val="000000"/>
        </w:rPr>
        <w:t>color</w:t>
      </w:r>
      <w:proofErr w:type="spellEnd"/>
      <w:r>
        <w:rPr>
          <w:color w:val="000000"/>
        </w:rPr>
        <w:t xml:space="preserve"> histograms, texture statistics—fed into classical classifiers [7]. </w:t>
      </w:r>
      <w:proofErr w:type="spellStart"/>
      <w:r>
        <w:rPr>
          <w:color w:val="000000"/>
        </w:rPr>
        <w:t>Rezatofighi</w:t>
      </w:r>
      <w:proofErr w:type="spellEnd"/>
      <w:r>
        <w:rPr>
          <w:color w:val="000000"/>
        </w:rPr>
        <w:t xml:space="preserve"> and Soltanian-Zadeh [8] demonstrated competitive white blood cell classification using SVMs with manually engineered features, achieving acceptable accuracy but requiring significant domain expertise.</w:t>
      </w:r>
    </w:p>
    <w:p w14:paraId="04A6399E" w14:textId="77777777" w:rsidR="00C5785C" w:rsidRDefault="00782B15">
      <w:pPr>
        <w:spacing w:before="60" w:after="80" w:line="276" w:lineRule="auto"/>
        <w:ind w:firstLine="360"/>
        <w:jc w:val="both"/>
      </w:pPr>
      <w:r>
        <w:rPr>
          <w:color w:val="000000"/>
        </w:rPr>
        <w:t xml:space="preserve">The success of </w:t>
      </w:r>
      <w:proofErr w:type="spellStart"/>
      <w:r>
        <w:rPr>
          <w:color w:val="000000"/>
        </w:rPr>
        <w:t>AlexNet</w:t>
      </w:r>
      <w:proofErr w:type="spellEnd"/>
      <w:r>
        <w:rPr>
          <w:color w:val="000000"/>
        </w:rPr>
        <w:t xml:space="preserve"> [3] </w:t>
      </w:r>
      <w:proofErr w:type="spellStart"/>
      <w:r>
        <w:rPr>
          <w:color w:val="000000"/>
        </w:rPr>
        <w:t>catalyzed</w:t>
      </w:r>
      <w:proofErr w:type="spellEnd"/>
      <w:r>
        <w:rPr>
          <w:color w:val="000000"/>
        </w:rPr>
        <w:t xml:space="preserve"> CNN adoption in cytology. Shahin et al. [9] trained a shallow CNN on leukocyte images with accuracy improvements over SVMs. Habibzadeh et al. [10] demonstrated the critical role of data augmentation on small </w:t>
      </w:r>
      <w:proofErr w:type="spellStart"/>
      <w:r>
        <w:rPr>
          <w:color w:val="000000"/>
        </w:rPr>
        <w:t>hematology</w:t>
      </w:r>
      <w:proofErr w:type="spellEnd"/>
      <w:r>
        <w:rPr>
          <w:color w:val="000000"/>
        </w:rPr>
        <w:t xml:space="preserve"> datasets.</w:t>
      </w:r>
    </w:p>
    <w:p w14:paraId="77FD10ED" w14:textId="77777777" w:rsidR="00C5785C" w:rsidRDefault="00782B15">
      <w:pPr>
        <w:spacing w:before="60" w:after="80" w:line="276" w:lineRule="auto"/>
        <w:ind w:firstLine="360"/>
        <w:jc w:val="both"/>
      </w:pPr>
      <w:r>
        <w:rPr>
          <w:color w:val="000000"/>
        </w:rPr>
        <w:t xml:space="preserve">Transfer learning has since become the dominant paradigm for medical image classification [11]. Acevedo et al. [12] benchmarked multiple ImageNet-pretrained models on white blood cell classification, finding depth alone does not guarantee gains on small datasets. Jiang et al. [13] applied ResNet-50 fine-tuning to </w:t>
      </w:r>
      <w:proofErr w:type="spellStart"/>
      <w:r>
        <w:rPr>
          <w:color w:val="000000"/>
        </w:rPr>
        <w:t>leukemia</w:t>
      </w:r>
      <w:proofErr w:type="spellEnd"/>
      <w:r>
        <w:rPr>
          <w:color w:val="000000"/>
        </w:rPr>
        <w:t xml:space="preserve"> detection; Tran [14] showed VGG-extracted features provide strong k-NN baselines without any fine-tuning. Recent work explores attention mechanisms [15] and vision transformers [16] for </w:t>
      </w:r>
      <w:proofErr w:type="spellStart"/>
      <w:r>
        <w:rPr>
          <w:color w:val="000000"/>
        </w:rPr>
        <w:t>hematological</w:t>
      </w:r>
      <w:proofErr w:type="spellEnd"/>
      <w:r>
        <w:rPr>
          <w:color w:val="000000"/>
        </w:rPr>
        <w:t xml:space="preserve"> analysis, but these require substantially larger corpora beyond typical academic settings.</w:t>
      </w:r>
    </w:p>
    <w:p w14:paraId="427F4C95" w14:textId="77777777" w:rsidR="00C5785C" w:rsidRDefault="00782B15">
      <w:pPr>
        <w:spacing w:before="160" w:after="80"/>
        <w:jc w:val="center"/>
      </w:pPr>
      <w:r>
        <w:rPr>
          <w:b/>
          <w:bCs/>
          <w:color w:val="000000"/>
        </w:rPr>
        <w:t>III. METHODOLOGY</w:t>
      </w:r>
    </w:p>
    <w:p w14:paraId="28A9CCF8" w14:textId="77777777" w:rsidR="00C5785C" w:rsidRDefault="00782B15">
      <w:pPr>
        <w:spacing w:before="100" w:after="50"/>
      </w:pPr>
      <w:r>
        <w:rPr>
          <w:b/>
          <w:bCs/>
          <w:i/>
          <w:iCs/>
          <w:color w:val="000000"/>
        </w:rPr>
        <w:t xml:space="preserve">A. </w:t>
      </w:r>
      <w:r>
        <w:rPr>
          <w:i/>
          <w:iCs/>
          <w:color w:val="000000"/>
        </w:rPr>
        <w:t>Dataset Description</w:t>
      </w:r>
    </w:p>
    <w:p w14:paraId="1528FB98" w14:textId="77777777" w:rsidR="00C5785C" w:rsidRDefault="00782B15">
      <w:pPr>
        <w:spacing w:before="60" w:after="80" w:line="276" w:lineRule="auto"/>
        <w:ind w:firstLine="360"/>
        <w:jc w:val="both"/>
      </w:pPr>
      <w:r>
        <w:rPr>
          <w:color w:val="000000"/>
        </w:rPr>
        <w:lastRenderedPageBreak/>
        <w:t>The BCCD dataset [6] consists of 12,500 RGB peripheral blood smear images across four categories: Eosinophil (3,117), Lymphocyte (3,105), Monocyte (3,105), and Neutrophil (3,173). The near-balanced distribution reduces the need for cost-sensitive loss weighting but does not eliminate the need for stratified splitting.</w:t>
      </w:r>
    </w:p>
    <w:p w14:paraId="6048C438" w14:textId="77777777" w:rsidR="00C5785C" w:rsidRDefault="00782B15">
      <w:pPr>
        <w:spacing w:before="100" w:after="50"/>
      </w:pPr>
      <w:r>
        <w:rPr>
          <w:b/>
          <w:bCs/>
          <w:i/>
          <w:iCs/>
          <w:color w:val="000000"/>
        </w:rPr>
        <w:t xml:space="preserve">B. </w:t>
      </w:r>
      <w:r>
        <w:rPr>
          <w:i/>
          <w:iCs/>
          <w:color w:val="000000"/>
        </w:rPr>
        <w:t>Data Partitioning</w:t>
      </w:r>
    </w:p>
    <w:p w14:paraId="629C758E" w14:textId="77777777" w:rsidR="00C5785C" w:rsidRDefault="00782B15">
      <w:pPr>
        <w:spacing w:before="60" w:after="80" w:line="276" w:lineRule="auto"/>
        <w:ind w:firstLine="360"/>
        <w:jc w:val="both"/>
      </w:pPr>
      <w:r>
        <w:rPr>
          <w:color w:val="000000"/>
        </w:rPr>
        <w:t xml:space="preserve">A stratified shuffled split (scikit-learn </w:t>
      </w:r>
      <w:proofErr w:type="spellStart"/>
      <w:r>
        <w:rPr>
          <w:color w:val="000000"/>
        </w:rPr>
        <w:t>StratifiedShuffleSplit</w:t>
      </w:r>
      <w:proofErr w:type="spellEnd"/>
      <w:r>
        <w:rPr>
          <w:color w:val="000000"/>
        </w:rPr>
        <w:t>, seed = 42) first divided data into 70% training (8,750) and 30% temporary; the temporary set was then split 50/50 into 15% validation (1,875) and 15% test (1,875; actual = 1,494 after class rounding). Stratification preserves original class ratios in each partition.</w:t>
      </w:r>
    </w:p>
    <w:p w14:paraId="2756A0EE" w14:textId="77777777" w:rsidR="00C5785C" w:rsidRDefault="00782B15">
      <w:pPr>
        <w:spacing w:before="100" w:after="50"/>
      </w:pPr>
      <w:r>
        <w:rPr>
          <w:b/>
          <w:bCs/>
          <w:i/>
          <w:iCs/>
          <w:color w:val="000000"/>
        </w:rPr>
        <w:t xml:space="preserve">C. </w:t>
      </w:r>
      <w:r>
        <w:rPr>
          <w:i/>
          <w:iCs/>
          <w:color w:val="000000"/>
        </w:rPr>
        <w:t>Preprocessing and Augmentation</w:t>
      </w:r>
    </w:p>
    <w:p w14:paraId="416883DB" w14:textId="77777777" w:rsidR="00C5785C" w:rsidRDefault="00782B15">
      <w:pPr>
        <w:spacing w:before="60" w:after="80" w:line="276" w:lineRule="auto"/>
        <w:ind w:firstLine="360"/>
        <w:jc w:val="both"/>
      </w:pPr>
      <w:r>
        <w:rPr>
          <w:color w:val="000000"/>
        </w:rPr>
        <w:t xml:space="preserve">All images were resized to 224×224 pixels. Training images were augmented with random horizontal/vertical flips, random rotation (±15°), and </w:t>
      </w:r>
      <w:proofErr w:type="spellStart"/>
      <w:r>
        <w:rPr>
          <w:color w:val="000000"/>
        </w:rPr>
        <w:t>color</w:t>
      </w:r>
      <w:proofErr w:type="spellEnd"/>
      <w:r>
        <w:rPr>
          <w:color w:val="000000"/>
        </w:rPr>
        <w:t xml:space="preserve"> jitter (brightness, contrast, saturation ±0.2). All splits were normalized using ImageNet statistics (μ = [0.485, 0.456, 0.406], σ = [0.229, 0.224, 0.225]). No augmentation was applied to validation or test splits.</w:t>
      </w:r>
    </w:p>
    <w:p w14:paraId="619747A4" w14:textId="77777777" w:rsidR="00C5785C" w:rsidRDefault="00782B15">
      <w:pPr>
        <w:spacing w:before="100" w:after="50"/>
      </w:pPr>
      <w:r>
        <w:rPr>
          <w:b/>
          <w:bCs/>
          <w:i/>
          <w:iCs/>
          <w:color w:val="000000"/>
        </w:rPr>
        <w:t xml:space="preserve">D. </w:t>
      </w:r>
      <w:r>
        <w:rPr>
          <w:i/>
          <w:iCs/>
          <w:color w:val="000000"/>
        </w:rPr>
        <w:t>Network Architecture</w:t>
      </w:r>
    </w:p>
    <w:p w14:paraId="03A44BAD" w14:textId="77777777" w:rsidR="00C5785C" w:rsidRDefault="00782B15">
      <w:pPr>
        <w:spacing w:before="60" w:after="80" w:line="276" w:lineRule="auto"/>
        <w:ind w:firstLine="360"/>
        <w:jc w:val="both"/>
      </w:pPr>
      <w:r>
        <w:rPr>
          <w:color w:val="000000"/>
        </w:rPr>
        <w:t>VGGNet-16 [4] comprises five convolutional blocks followed by three FC layers. All kernels are 3×3 (stride 1, same padding); 2×2 max-pooling (stride 2) halves spatial resolution after each block. The canonical head (FC-4096→FC-4096→FC-1000) was replaced with FC-4096→ReLU→</w:t>
      </w:r>
      <w:proofErr w:type="gramStart"/>
      <w:r>
        <w:rPr>
          <w:color w:val="000000"/>
        </w:rPr>
        <w:t>Dropout(0.5)→</w:t>
      </w:r>
      <w:proofErr w:type="gramEnd"/>
      <w:r>
        <w:rPr>
          <w:color w:val="000000"/>
        </w:rPr>
        <w:t>FC-4096→ReLU→</w:t>
      </w:r>
      <w:proofErr w:type="gramStart"/>
      <w:r>
        <w:rPr>
          <w:color w:val="000000"/>
        </w:rPr>
        <w:t>Dropout(0.5)→</w:t>
      </w:r>
      <w:proofErr w:type="gramEnd"/>
      <w:r>
        <w:rPr>
          <w:color w:val="000000"/>
        </w:rPr>
        <w:t>FC-4. Table I summarizes the architecture.</w:t>
      </w:r>
    </w:p>
    <w:p w14:paraId="50F7F14E" w14:textId="77777777" w:rsidR="00C5785C" w:rsidRDefault="00C5785C">
      <w:pPr>
        <w:sectPr w:rsidR="00C5785C">
          <w:type w:val="continuous"/>
          <w:pgSz w:w="12240" w:h="15840"/>
          <w:pgMar w:top="1440" w:right="1008" w:bottom="1440" w:left="1008" w:header="708" w:footer="708" w:gutter="0"/>
          <w:cols w:num="2" w:space="720"/>
          <w:docGrid w:linePitch="360"/>
        </w:sectPr>
      </w:pPr>
    </w:p>
    <w:p w14:paraId="52F125C9" w14:textId="77777777" w:rsidR="00C5785C" w:rsidRDefault="00782B15">
      <w:pPr>
        <w:spacing w:before="120" w:after="40"/>
        <w:jc w:val="center"/>
      </w:pPr>
      <w:r>
        <w:rPr>
          <w:b/>
          <w:bCs/>
          <w:color w:val="000000"/>
          <w:sz w:val="18"/>
          <w:szCs w:val="18"/>
        </w:rPr>
        <w:t>TABLE I. VGGNet-16 Architecture Summary (Modified for 4-Class Output)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
        <w:gridCol w:w="3374"/>
        <w:gridCol w:w="1636"/>
        <w:gridCol w:w="1431"/>
        <w:gridCol w:w="2761"/>
      </w:tblGrid>
      <w:tr w:rsidR="00C5785C" w14:paraId="4F6239C2" w14:textId="77777777">
        <w:tblPrEx>
          <w:tblCellMar>
            <w:top w:w="0" w:type="dxa"/>
            <w:bottom w:w="0" w:type="dxa"/>
          </w:tblCellMar>
        </w:tblPrEx>
        <w:trPr>
          <w:tblHeader/>
        </w:trPr>
        <w:tc>
          <w:tcPr>
            <w:tcW w:w="1022"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084371CE" w14:textId="77777777" w:rsidR="00C5785C" w:rsidRDefault="00782B15">
            <w:pPr>
              <w:jc w:val="center"/>
            </w:pPr>
            <w:r>
              <w:rPr>
                <w:b/>
                <w:bCs/>
                <w:color w:val="FFFFFF"/>
                <w:sz w:val="17"/>
                <w:szCs w:val="17"/>
              </w:rPr>
              <w:t>Block</w:t>
            </w:r>
          </w:p>
        </w:tc>
        <w:tc>
          <w:tcPr>
            <w:tcW w:w="3374"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1E71A0E3" w14:textId="77777777" w:rsidR="00C5785C" w:rsidRDefault="00782B15">
            <w:pPr>
              <w:jc w:val="center"/>
            </w:pPr>
            <w:r>
              <w:rPr>
                <w:b/>
                <w:bCs/>
                <w:color w:val="FFFFFF"/>
                <w:sz w:val="17"/>
                <w:szCs w:val="17"/>
              </w:rPr>
              <w:t>Layers</w:t>
            </w:r>
          </w:p>
        </w:tc>
        <w:tc>
          <w:tcPr>
            <w:tcW w:w="1636"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0835EF06" w14:textId="77777777" w:rsidR="00C5785C" w:rsidRDefault="00782B15">
            <w:pPr>
              <w:jc w:val="center"/>
            </w:pPr>
            <w:r>
              <w:rPr>
                <w:b/>
                <w:bCs/>
                <w:color w:val="FFFFFF"/>
                <w:sz w:val="17"/>
                <w:szCs w:val="17"/>
              </w:rPr>
              <w:t>Filters</w:t>
            </w:r>
          </w:p>
        </w:tc>
        <w:tc>
          <w:tcPr>
            <w:tcW w:w="1431"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181F6265" w14:textId="77777777" w:rsidR="00C5785C" w:rsidRDefault="00782B15">
            <w:pPr>
              <w:jc w:val="center"/>
            </w:pPr>
            <w:r>
              <w:rPr>
                <w:b/>
                <w:bCs/>
                <w:color w:val="FFFFFF"/>
                <w:sz w:val="17"/>
                <w:szCs w:val="17"/>
              </w:rPr>
              <w:t>Kernel</w:t>
            </w:r>
          </w:p>
        </w:tc>
        <w:tc>
          <w:tcPr>
            <w:tcW w:w="2761"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070E6C6D" w14:textId="77777777" w:rsidR="00C5785C" w:rsidRDefault="00782B15">
            <w:pPr>
              <w:jc w:val="center"/>
            </w:pPr>
            <w:r>
              <w:rPr>
                <w:b/>
                <w:bCs/>
                <w:color w:val="FFFFFF"/>
                <w:sz w:val="17"/>
                <w:szCs w:val="17"/>
              </w:rPr>
              <w:t>Output</w:t>
            </w:r>
          </w:p>
        </w:tc>
      </w:tr>
      <w:tr w:rsidR="00C5785C" w14:paraId="322CDFC7" w14:textId="77777777">
        <w:tblPrEx>
          <w:tblCellMar>
            <w:top w:w="0" w:type="dxa"/>
            <w:bottom w:w="0" w:type="dxa"/>
          </w:tblCellMar>
        </w:tblPrEx>
        <w:tc>
          <w:tcPr>
            <w:tcW w:w="1022"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064EAF1B" w14:textId="77777777" w:rsidR="00C5785C" w:rsidRDefault="00782B15">
            <w:pPr>
              <w:jc w:val="center"/>
            </w:pPr>
            <w:r>
              <w:rPr>
                <w:color w:val="000000"/>
                <w:sz w:val="17"/>
                <w:szCs w:val="17"/>
              </w:rPr>
              <w:t>1</w:t>
            </w:r>
          </w:p>
        </w:tc>
        <w:tc>
          <w:tcPr>
            <w:tcW w:w="3374"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13A05A4E" w14:textId="77777777" w:rsidR="00C5785C" w:rsidRDefault="00782B15">
            <w:pPr>
              <w:jc w:val="center"/>
            </w:pPr>
            <w:r>
              <w:rPr>
                <w:color w:val="000000"/>
                <w:sz w:val="17"/>
                <w:szCs w:val="17"/>
              </w:rPr>
              <w:t xml:space="preserve">Conv1-1, Conv1-2 + </w:t>
            </w:r>
            <w:proofErr w:type="spellStart"/>
            <w:r>
              <w:rPr>
                <w:color w:val="000000"/>
                <w:sz w:val="17"/>
                <w:szCs w:val="17"/>
              </w:rPr>
              <w:t>MaxPool</w:t>
            </w:r>
            <w:proofErr w:type="spellEnd"/>
          </w:p>
        </w:tc>
        <w:tc>
          <w:tcPr>
            <w:tcW w:w="1636"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09B51E5B" w14:textId="77777777" w:rsidR="00C5785C" w:rsidRDefault="00782B15">
            <w:pPr>
              <w:jc w:val="center"/>
            </w:pPr>
            <w:r>
              <w:rPr>
                <w:color w:val="000000"/>
                <w:sz w:val="17"/>
                <w:szCs w:val="17"/>
              </w:rPr>
              <w:t>64</w:t>
            </w:r>
          </w:p>
        </w:tc>
        <w:tc>
          <w:tcPr>
            <w:tcW w:w="1431"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045A4F7F" w14:textId="77777777" w:rsidR="00C5785C" w:rsidRDefault="00782B15">
            <w:pPr>
              <w:jc w:val="center"/>
            </w:pPr>
            <w:r>
              <w:rPr>
                <w:color w:val="000000"/>
                <w:sz w:val="17"/>
                <w:szCs w:val="17"/>
              </w:rPr>
              <w:t>3×3</w:t>
            </w:r>
          </w:p>
        </w:tc>
        <w:tc>
          <w:tcPr>
            <w:tcW w:w="2761"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17A864BA" w14:textId="77777777" w:rsidR="00C5785C" w:rsidRDefault="00782B15">
            <w:pPr>
              <w:jc w:val="center"/>
            </w:pPr>
            <w:r>
              <w:rPr>
                <w:color w:val="000000"/>
                <w:sz w:val="17"/>
                <w:szCs w:val="17"/>
              </w:rPr>
              <w:t>112×112</w:t>
            </w:r>
          </w:p>
        </w:tc>
      </w:tr>
      <w:tr w:rsidR="00C5785C" w14:paraId="044E8970" w14:textId="77777777">
        <w:tblPrEx>
          <w:tblCellMar>
            <w:top w:w="0" w:type="dxa"/>
            <w:bottom w:w="0" w:type="dxa"/>
          </w:tblCellMar>
        </w:tblPrEx>
        <w:tc>
          <w:tcPr>
            <w:tcW w:w="1022"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7E91B593" w14:textId="77777777" w:rsidR="00C5785C" w:rsidRDefault="00782B15">
            <w:pPr>
              <w:jc w:val="center"/>
            </w:pPr>
            <w:r>
              <w:rPr>
                <w:color w:val="000000"/>
                <w:sz w:val="17"/>
                <w:szCs w:val="17"/>
              </w:rPr>
              <w:t>2</w:t>
            </w:r>
          </w:p>
        </w:tc>
        <w:tc>
          <w:tcPr>
            <w:tcW w:w="3374"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36EFB1E7" w14:textId="77777777" w:rsidR="00C5785C" w:rsidRDefault="00782B15">
            <w:pPr>
              <w:jc w:val="center"/>
            </w:pPr>
            <w:r>
              <w:rPr>
                <w:color w:val="000000"/>
                <w:sz w:val="17"/>
                <w:szCs w:val="17"/>
              </w:rPr>
              <w:t xml:space="preserve">Conv2-1, Conv2-2 + </w:t>
            </w:r>
            <w:proofErr w:type="spellStart"/>
            <w:r>
              <w:rPr>
                <w:color w:val="000000"/>
                <w:sz w:val="17"/>
                <w:szCs w:val="17"/>
              </w:rPr>
              <w:t>MaxPool</w:t>
            </w:r>
            <w:proofErr w:type="spellEnd"/>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2488BB2B" w14:textId="77777777" w:rsidR="00C5785C" w:rsidRDefault="00782B15">
            <w:pPr>
              <w:jc w:val="center"/>
            </w:pPr>
            <w:r>
              <w:rPr>
                <w:color w:val="000000"/>
                <w:sz w:val="17"/>
                <w:szCs w:val="17"/>
              </w:rPr>
              <w:t>128</w:t>
            </w:r>
          </w:p>
        </w:tc>
        <w:tc>
          <w:tcPr>
            <w:tcW w:w="1431"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2C8128B4" w14:textId="77777777" w:rsidR="00C5785C" w:rsidRDefault="00782B15">
            <w:pPr>
              <w:jc w:val="center"/>
            </w:pPr>
            <w:r>
              <w:rPr>
                <w:color w:val="000000"/>
                <w:sz w:val="17"/>
                <w:szCs w:val="17"/>
              </w:rPr>
              <w:t>3×3</w:t>
            </w:r>
          </w:p>
        </w:tc>
        <w:tc>
          <w:tcPr>
            <w:tcW w:w="2761"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72035130" w14:textId="77777777" w:rsidR="00C5785C" w:rsidRDefault="00782B15">
            <w:pPr>
              <w:jc w:val="center"/>
            </w:pPr>
            <w:r>
              <w:rPr>
                <w:color w:val="000000"/>
                <w:sz w:val="17"/>
                <w:szCs w:val="17"/>
              </w:rPr>
              <w:t>56×56</w:t>
            </w:r>
          </w:p>
        </w:tc>
      </w:tr>
      <w:tr w:rsidR="00C5785C" w14:paraId="71EFC470" w14:textId="77777777">
        <w:tblPrEx>
          <w:tblCellMar>
            <w:top w:w="0" w:type="dxa"/>
            <w:bottom w:w="0" w:type="dxa"/>
          </w:tblCellMar>
        </w:tblPrEx>
        <w:tc>
          <w:tcPr>
            <w:tcW w:w="1022"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53FB4FD9" w14:textId="77777777" w:rsidR="00C5785C" w:rsidRDefault="00782B15">
            <w:pPr>
              <w:jc w:val="center"/>
            </w:pPr>
            <w:r>
              <w:rPr>
                <w:color w:val="000000"/>
                <w:sz w:val="17"/>
                <w:szCs w:val="17"/>
              </w:rPr>
              <w:t>3</w:t>
            </w:r>
          </w:p>
        </w:tc>
        <w:tc>
          <w:tcPr>
            <w:tcW w:w="3374"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6B332094" w14:textId="77777777" w:rsidR="00C5785C" w:rsidRDefault="00782B15">
            <w:pPr>
              <w:jc w:val="center"/>
            </w:pPr>
            <w:r>
              <w:rPr>
                <w:color w:val="000000"/>
                <w:sz w:val="17"/>
                <w:szCs w:val="17"/>
              </w:rPr>
              <w:t xml:space="preserve">Conv3-1–Conv3-3 + </w:t>
            </w:r>
            <w:proofErr w:type="spellStart"/>
            <w:r>
              <w:rPr>
                <w:color w:val="000000"/>
                <w:sz w:val="17"/>
                <w:szCs w:val="17"/>
              </w:rPr>
              <w:t>MaxPool</w:t>
            </w:r>
            <w:proofErr w:type="spellEnd"/>
          </w:p>
        </w:tc>
        <w:tc>
          <w:tcPr>
            <w:tcW w:w="1636"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2375CB6C" w14:textId="77777777" w:rsidR="00C5785C" w:rsidRDefault="00782B15">
            <w:pPr>
              <w:jc w:val="center"/>
            </w:pPr>
            <w:r>
              <w:rPr>
                <w:color w:val="000000"/>
                <w:sz w:val="17"/>
                <w:szCs w:val="17"/>
              </w:rPr>
              <w:t>256</w:t>
            </w:r>
          </w:p>
        </w:tc>
        <w:tc>
          <w:tcPr>
            <w:tcW w:w="1431"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7909B93C" w14:textId="77777777" w:rsidR="00C5785C" w:rsidRDefault="00782B15">
            <w:pPr>
              <w:jc w:val="center"/>
            </w:pPr>
            <w:r>
              <w:rPr>
                <w:color w:val="000000"/>
                <w:sz w:val="17"/>
                <w:szCs w:val="17"/>
              </w:rPr>
              <w:t>3×3</w:t>
            </w:r>
          </w:p>
        </w:tc>
        <w:tc>
          <w:tcPr>
            <w:tcW w:w="2761"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05142C2F" w14:textId="77777777" w:rsidR="00C5785C" w:rsidRDefault="00782B15">
            <w:pPr>
              <w:jc w:val="center"/>
            </w:pPr>
            <w:r>
              <w:rPr>
                <w:color w:val="000000"/>
                <w:sz w:val="17"/>
                <w:szCs w:val="17"/>
              </w:rPr>
              <w:t>28×28</w:t>
            </w:r>
          </w:p>
        </w:tc>
      </w:tr>
      <w:tr w:rsidR="00C5785C" w14:paraId="5F077303" w14:textId="77777777">
        <w:tblPrEx>
          <w:tblCellMar>
            <w:top w:w="0" w:type="dxa"/>
            <w:bottom w:w="0" w:type="dxa"/>
          </w:tblCellMar>
        </w:tblPrEx>
        <w:tc>
          <w:tcPr>
            <w:tcW w:w="1022"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164FF3D4" w14:textId="77777777" w:rsidR="00C5785C" w:rsidRDefault="00782B15">
            <w:pPr>
              <w:jc w:val="center"/>
            </w:pPr>
            <w:r>
              <w:rPr>
                <w:color w:val="000000"/>
                <w:sz w:val="17"/>
                <w:szCs w:val="17"/>
              </w:rPr>
              <w:t>4</w:t>
            </w:r>
          </w:p>
        </w:tc>
        <w:tc>
          <w:tcPr>
            <w:tcW w:w="3374"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1449B84D" w14:textId="77777777" w:rsidR="00C5785C" w:rsidRDefault="00782B15">
            <w:pPr>
              <w:jc w:val="center"/>
            </w:pPr>
            <w:r>
              <w:rPr>
                <w:color w:val="000000"/>
                <w:sz w:val="17"/>
                <w:szCs w:val="17"/>
              </w:rPr>
              <w:t xml:space="preserve">Conv4-1–Conv4-3 + </w:t>
            </w:r>
            <w:proofErr w:type="spellStart"/>
            <w:r>
              <w:rPr>
                <w:color w:val="000000"/>
                <w:sz w:val="17"/>
                <w:szCs w:val="17"/>
              </w:rPr>
              <w:t>MaxPool</w:t>
            </w:r>
            <w:proofErr w:type="spellEnd"/>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6B3022DC" w14:textId="77777777" w:rsidR="00C5785C" w:rsidRDefault="00782B15">
            <w:pPr>
              <w:jc w:val="center"/>
            </w:pPr>
            <w:r>
              <w:rPr>
                <w:color w:val="000000"/>
                <w:sz w:val="17"/>
                <w:szCs w:val="17"/>
              </w:rPr>
              <w:t>512</w:t>
            </w:r>
          </w:p>
        </w:tc>
        <w:tc>
          <w:tcPr>
            <w:tcW w:w="1431"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30B6374D" w14:textId="77777777" w:rsidR="00C5785C" w:rsidRDefault="00782B15">
            <w:pPr>
              <w:jc w:val="center"/>
            </w:pPr>
            <w:r>
              <w:rPr>
                <w:color w:val="000000"/>
                <w:sz w:val="17"/>
                <w:szCs w:val="17"/>
              </w:rPr>
              <w:t>3×3</w:t>
            </w:r>
          </w:p>
        </w:tc>
        <w:tc>
          <w:tcPr>
            <w:tcW w:w="2761"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597455AB" w14:textId="77777777" w:rsidR="00C5785C" w:rsidRDefault="00782B15">
            <w:pPr>
              <w:jc w:val="center"/>
            </w:pPr>
            <w:r>
              <w:rPr>
                <w:color w:val="000000"/>
                <w:sz w:val="17"/>
                <w:szCs w:val="17"/>
              </w:rPr>
              <w:t>14×14</w:t>
            </w:r>
          </w:p>
        </w:tc>
      </w:tr>
      <w:tr w:rsidR="00C5785C" w14:paraId="0C45BBDA" w14:textId="77777777">
        <w:tblPrEx>
          <w:tblCellMar>
            <w:top w:w="0" w:type="dxa"/>
            <w:bottom w:w="0" w:type="dxa"/>
          </w:tblCellMar>
        </w:tblPrEx>
        <w:tc>
          <w:tcPr>
            <w:tcW w:w="1022"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3BD41787" w14:textId="77777777" w:rsidR="00C5785C" w:rsidRDefault="00782B15">
            <w:pPr>
              <w:jc w:val="center"/>
            </w:pPr>
            <w:r>
              <w:rPr>
                <w:color w:val="000000"/>
                <w:sz w:val="17"/>
                <w:szCs w:val="17"/>
              </w:rPr>
              <w:t>5</w:t>
            </w:r>
          </w:p>
        </w:tc>
        <w:tc>
          <w:tcPr>
            <w:tcW w:w="3374"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52975CED" w14:textId="77777777" w:rsidR="00C5785C" w:rsidRDefault="00782B15">
            <w:pPr>
              <w:jc w:val="center"/>
            </w:pPr>
            <w:r>
              <w:rPr>
                <w:color w:val="000000"/>
                <w:sz w:val="17"/>
                <w:szCs w:val="17"/>
              </w:rPr>
              <w:t xml:space="preserve">Conv5-1–Conv5-3 + </w:t>
            </w:r>
            <w:proofErr w:type="spellStart"/>
            <w:r>
              <w:rPr>
                <w:color w:val="000000"/>
                <w:sz w:val="17"/>
                <w:szCs w:val="17"/>
              </w:rPr>
              <w:t>MaxPool</w:t>
            </w:r>
            <w:proofErr w:type="spellEnd"/>
          </w:p>
        </w:tc>
        <w:tc>
          <w:tcPr>
            <w:tcW w:w="1636"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13D4C37F" w14:textId="77777777" w:rsidR="00C5785C" w:rsidRDefault="00782B15">
            <w:pPr>
              <w:jc w:val="center"/>
            </w:pPr>
            <w:r>
              <w:rPr>
                <w:color w:val="000000"/>
                <w:sz w:val="17"/>
                <w:szCs w:val="17"/>
              </w:rPr>
              <w:t>512</w:t>
            </w:r>
          </w:p>
        </w:tc>
        <w:tc>
          <w:tcPr>
            <w:tcW w:w="1431"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645C98FB" w14:textId="77777777" w:rsidR="00C5785C" w:rsidRDefault="00782B15">
            <w:pPr>
              <w:jc w:val="center"/>
            </w:pPr>
            <w:r>
              <w:rPr>
                <w:color w:val="000000"/>
                <w:sz w:val="17"/>
                <w:szCs w:val="17"/>
              </w:rPr>
              <w:t>3×3</w:t>
            </w:r>
          </w:p>
        </w:tc>
        <w:tc>
          <w:tcPr>
            <w:tcW w:w="2761"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4F65B7B7" w14:textId="77777777" w:rsidR="00C5785C" w:rsidRDefault="00782B15">
            <w:pPr>
              <w:jc w:val="center"/>
            </w:pPr>
            <w:r>
              <w:rPr>
                <w:color w:val="000000"/>
                <w:sz w:val="17"/>
                <w:szCs w:val="17"/>
              </w:rPr>
              <w:t>7×7</w:t>
            </w:r>
          </w:p>
        </w:tc>
      </w:tr>
      <w:tr w:rsidR="00C5785C" w14:paraId="3A64BDFB" w14:textId="77777777">
        <w:tblPrEx>
          <w:tblCellMar>
            <w:top w:w="0" w:type="dxa"/>
            <w:bottom w:w="0" w:type="dxa"/>
          </w:tblCellMar>
        </w:tblPrEx>
        <w:tc>
          <w:tcPr>
            <w:tcW w:w="1022"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6A4461E6" w14:textId="77777777" w:rsidR="00C5785C" w:rsidRDefault="00782B15">
            <w:pPr>
              <w:jc w:val="center"/>
            </w:pPr>
            <w:r>
              <w:rPr>
                <w:color w:val="000000"/>
                <w:sz w:val="17"/>
                <w:szCs w:val="17"/>
              </w:rPr>
              <w:t>FC</w:t>
            </w:r>
          </w:p>
        </w:tc>
        <w:tc>
          <w:tcPr>
            <w:tcW w:w="3374"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5C6CAE3D" w14:textId="77777777" w:rsidR="00C5785C" w:rsidRDefault="00782B15">
            <w:pPr>
              <w:jc w:val="center"/>
            </w:pPr>
            <w:r>
              <w:rPr>
                <w:color w:val="000000"/>
                <w:sz w:val="17"/>
                <w:szCs w:val="17"/>
              </w:rPr>
              <w:t>FC-4096, FC-4096, FC-4</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50653366" w14:textId="77777777" w:rsidR="00C5785C" w:rsidRDefault="00782B15">
            <w:pPr>
              <w:jc w:val="center"/>
            </w:pPr>
            <w:r>
              <w:rPr>
                <w:color w:val="000000"/>
                <w:sz w:val="17"/>
                <w:szCs w:val="17"/>
              </w:rPr>
              <w:t>—</w:t>
            </w:r>
          </w:p>
        </w:tc>
        <w:tc>
          <w:tcPr>
            <w:tcW w:w="1431"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5571B6B5" w14:textId="77777777" w:rsidR="00C5785C" w:rsidRDefault="00782B15">
            <w:pPr>
              <w:jc w:val="center"/>
            </w:pPr>
            <w:r>
              <w:rPr>
                <w:color w:val="000000"/>
                <w:sz w:val="17"/>
                <w:szCs w:val="17"/>
              </w:rPr>
              <w:t>—</w:t>
            </w:r>
          </w:p>
        </w:tc>
        <w:tc>
          <w:tcPr>
            <w:tcW w:w="2761"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067B11C1" w14:textId="77777777" w:rsidR="00C5785C" w:rsidRDefault="00782B15">
            <w:pPr>
              <w:jc w:val="center"/>
            </w:pPr>
            <w:r>
              <w:rPr>
                <w:color w:val="000000"/>
                <w:sz w:val="17"/>
                <w:szCs w:val="17"/>
              </w:rPr>
              <w:t>4 logits</w:t>
            </w:r>
          </w:p>
        </w:tc>
      </w:tr>
    </w:tbl>
    <w:p w14:paraId="45D907BF" w14:textId="77777777" w:rsidR="00C5785C" w:rsidRDefault="00C5785C">
      <w:pPr>
        <w:spacing w:after="80"/>
      </w:pPr>
    </w:p>
    <w:p w14:paraId="320B01C1" w14:textId="77777777" w:rsidR="00C5785C" w:rsidRDefault="00C5785C">
      <w:pPr>
        <w:sectPr w:rsidR="00C5785C">
          <w:type w:val="continuous"/>
          <w:pgSz w:w="12240" w:h="15840"/>
          <w:pgMar w:top="1440" w:right="1008" w:bottom="1440" w:left="1008" w:header="708" w:footer="708" w:gutter="0"/>
          <w:cols w:space="720"/>
          <w:docGrid w:linePitch="360"/>
        </w:sectPr>
      </w:pPr>
    </w:p>
    <w:p w14:paraId="6B4F1B02" w14:textId="77777777" w:rsidR="00C5785C" w:rsidRDefault="00782B15">
      <w:pPr>
        <w:spacing w:before="100" w:after="50"/>
      </w:pPr>
      <w:r>
        <w:rPr>
          <w:b/>
          <w:bCs/>
          <w:i/>
          <w:iCs/>
          <w:color w:val="000000"/>
        </w:rPr>
        <w:t xml:space="preserve">E. </w:t>
      </w:r>
      <w:r>
        <w:rPr>
          <w:i/>
          <w:iCs/>
          <w:color w:val="000000"/>
        </w:rPr>
        <w:t>Transfer Learning Strategy</w:t>
      </w:r>
    </w:p>
    <w:p w14:paraId="54CC0A05" w14:textId="77777777" w:rsidR="00C5785C" w:rsidRDefault="00782B15">
      <w:pPr>
        <w:spacing w:before="60" w:after="80" w:line="276" w:lineRule="auto"/>
        <w:ind w:firstLine="360"/>
        <w:jc w:val="both"/>
      </w:pPr>
      <w:r>
        <w:rPr>
          <w:color w:val="000000"/>
        </w:rPr>
        <w:t>Convolutional layers were initialized with ImageNet-pretrained weights and frozen throughout training, restricting gradient updates to the newly appended classifier head. This strategy is appropriate when source and target domains share low-level feature statistics while differing in high-level semantics, and substantially reduces computation and overfitting risk on a 12.5K corpus.</w:t>
      </w:r>
    </w:p>
    <w:p w14:paraId="32A94A0B" w14:textId="77777777" w:rsidR="00C5785C" w:rsidRDefault="00782B15">
      <w:pPr>
        <w:spacing w:before="100" w:after="50"/>
      </w:pPr>
      <w:r>
        <w:rPr>
          <w:b/>
          <w:bCs/>
          <w:i/>
          <w:iCs/>
          <w:color w:val="000000"/>
        </w:rPr>
        <w:t xml:space="preserve">F. </w:t>
      </w:r>
      <w:r>
        <w:rPr>
          <w:i/>
          <w:iCs/>
          <w:color w:val="000000"/>
        </w:rPr>
        <w:t>Training Configuration</w:t>
      </w:r>
    </w:p>
    <w:p w14:paraId="238A54E0" w14:textId="77777777" w:rsidR="00C5785C" w:rsidRDefault="00782B15">
      <w:pPr>
        <w:spacing w:before="60" w:after="80" w:line="276" w:lineRule="auto"/>
        <w:ind w:firstLine="360"/>
        <w:jc w:val="both"/>
      </w:pPr>
      <w:r>
        <w:rPr>
          <w:color w:val="000000"/>
        </w:rPr>
        <w:t>The model trained for 30 epochs using Adam (</w:t>
      </w:r>
      <w:proofErr w:type="spellStart"/>
      <w:r>
        <w:rPr>
          <w:color w:val="000000"/>
        </w:rPr>
        <w:t>lr</w:t>
      </w:r>
      <w:proofErr w:type="spellEnd"/>
      <w:r>
        <w:rPr>
          <w:color w:val="000000"/>
        </w:rPr>
        <w:t xml:space="preserve"> = 1×10⁻⁴, β₁ = 0.9, β₂ = 0.999) with a </w:t>
      </w:r>
      <w:proofErr w:type="spellStart"/>
      <w:r>
        <w:rPr>
          <w:color w:val="000000"/>
        </w:rPr>
        <w:t>StepLR</w:t>
      </w:r>
      <w:proofErr w:type="spellEnd"/>
      <w:r>
        <w:rPr>
          <w:color w:val="000000"/>
        </w:rPr>
        <w:t xml:space="preserve"> scheduler (γ = 0.1 every 10 epochs). Cross-entropy loss, batch size 32. The checkpoint with highest validation accuracy was retained for final evaluation.</w:t>
      </w:r>
    </w:p>
    <w:p w14:paraId="0CE6D6CA" w14:textId="77777777" w:rsidR="00C5785C" w:rsidRDefault="00782B15">
      <w:pPr>
        <w:spacing w:before="160" w:after="80"/>
        <w:jc w:val="center"/>
      </w:pPr>
      <w:r>
        <w:rPr>
          <w:b/>
          <w:bCs/>
          <w:color w:val="000000"/>
        </w:rPr>
        <w:t>IV. EXPERIMENTS AND RESULTS</w:t>
      </w:r>
    </w:p>
    <w:p w14:paraId="0ECACCD1" w14:textId="77777777" w:rsidR="00C5785C" w:rsidRDefault="00782B15">
      <w:pPr>
        <w:spacing w:before="100" w:after="50"/>
      </w:pPr>
      <w:r>
        <w:rPr>
          <w:b/>
          <w:bCs/>
          <w:i/>
          <w:iCs/>
          <w:color w:val="000000"/>
        </w:rPr>
        <w:t xml:space="preserve">A. </w:t>
      </w:r>
      <w:r>
        <w:rPr>
          <w:i/>
          <w:iCs/>
          <w:color w:val="000000"/>
        </w:rPr>
        <w:t>Implementation Details</w:t>
      </w:r>
    </w:p>
    <w:p w14:paraId="152021B4" w14:textId="77777777" w:rsidR="00C5785C" w:rsidRDefault="00782B15">
      <w:pPr>
        <w:spacing w:before="60" w:after="80" w:line="276" w:lineRule="auto"/>
        <w:ind w:firstLine="360"/>
        <w:jc w:val="both"/>
      </w:pPr>
      <w:r>
        <w:rPr>
          <w:color w:val="000000"/>
        </w:rPr>
        <w:t xml:space="preserve">All experiments used Python 3.12, </w:t>
      </w:r>
      <w:proofErr w:type="spellStart"/>
      <w:r>
        <w:rPr>
          <w:color w:val="000000"/>
        </w:rPr>
        <w:t>PyTorch</w:t>
      </w:r>
      <w:proofErr w:type="spellEnd"/>
      <w:r>
        <w:rPr>
          <w:color w:val="000000"/>
        </w:rPr>
        <w:t xml:space="preserve"> 2.10.0, </w:t>
      </w:r>
      <w:proofErr w:type="spellStart"/>
      <w:r>
        <w:rPr>
          <w:color w:val="000000"/>
        </w:rPr>
        <w:t>torchvision</w:t>
      </w:r>
      <w:proofErr w:type="spellEnd"/>
      <w:r>
        <w:rPr>
          <w:color w:val="000000"/>
        </w:rPr>
        <w:t>, scikit-learn 1.4. Training on an NVIDIA GPU. Source code and model weights available at: github.com/Jettgal09/</w:t>
      </w:r>
      <w:proofErr w:type="spellStart"/>
      <w:r>
        <w:rPr>
          <w:color w:val="000000"/>
        </w:rPr>
        <w:t>rl</w:t>
      </w:r>
      <w:proofErr w:type="spellEnd"/>
      <w:r>
        <w:rPr>
          <w:color w:val="000000"/>
        </w:rPr>
        <w:t>-traffic-control (DL-assignment branch).</w:t>
      </w:r>
    </w:p>
    <w:p w14:paraId="0CB9BD93" w14:textId="77777777" w:rsidR="00C5785C" w:rsidRDefault="00782B15">
      <w:pPr>
        <w:spacing w:before="100" w:after="50"/>
      </w:pPr>
      <w:r>
        <w:rPr>
          <w:b/>
          <w:bCs/>
          <w:i/>
          <w:iCs/>
          <w:color w:val="000000"/>
        </w:rPr>
        <w:t xml:space="preserve">B. </w:t>
      </w:r>
      <w:r>
        <w:rPr>
          <w:i/>
          <w:iCs/>
          <w:color w:val="000000"/>
        </w:rPr>
        <w:t>Training Dynamics</w:t>
      </w:r>
    </w:p>
    <w:p w14:paraId="4CAA794F" w14:textId="77777777" w:rsidR="00C5785C" w:rsidRDefault="00782B15">
      <w:pPr>
        <w:spacing w:before="60" w:after="80" w:line="276" w:lineRule="auto"/>
        <w:ind w:firstLine="360"/>
        <w:jc w:val="both"/>
      </w:pPr>
      <w:r>
        <w:rPr>
          <w:color w:val="000000"/>
        </w:rPr>
        <w:t>Figure 1 shows loss and accuracy curves over 11 representative epochs (sampled from the 30-epoch run). Training loss drops sharply from 1.19 to 0.22 by epoch 10, with validation loss closely tracking—confirming minimal overfitting under the frozen-feature strategy. Validation accuracy leads training accuracy in early epochs (a transfer learning artifact: pretrained features generalize well immediately), before both stabilize near 91%.</w:t>
      </w:r>
    </w:p>
    <w:p w14:paraId="42FC9B6C" w14:textId="77777777" w:rsidR="00C5785C" w:rsidRDefault="00C5785C">
      <w:pPr>
        <w:sectPr w:rsidR="00C5785C">
          <w:type w:val="continuous"/>
          <w:pgSz w:w="12240" w:h="15840"/>
          <w:pgMar w:top="1440" w:right="1008" w:bottom="1440" w:left="1008" w:header="708" w:footer="708" w:gutter="0"/>
          <w:cols w:num="2" w:space="720"/>
          <w:docGrid w:linePitch="360"/>
        </w:sectPr>
      </w:pPr>
    </w:p>
    <w:p w14:paraId="6FE36243" w14:textId="77777777" w:rsidR="00C5785C" w:rsidRDefault="00782B15">
      <w:pPr>
        <w:spacing w:before="80" w:after="40"/>
        <w:jc w:val="center"/>
      </w:pPr>
      <w:r>
        <w:rPr>
          <w:noProof/>
        </w:rPr>
        <w:lastRenderedPageBreak/>
        <w:drawing>
          <wp:inline distT="0" distB="0" distL="0" distR="0" wp14:anchorId="47050C32" wp14:editId="27B1C730">
            <wp:extent cx="552450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971675"/>
                    </a:xfrm>
                    <a:prstGeom prst="rect">
                      <a:avLst/>
                    </a:prstGeom>
                  </pic:spPr>
                </pic:pic>
              </a:graphicData>
            </a:graphic>
          </wp:inline>
        </w:drawing>
      </w:r>
    </w:p>
    <w:p w14:paraId="013D90FD" w14:textId="77777777" w:rsidR="00C5785C" w:rsidRDefault="00782B15">
      <w:pPr>
        <w:spacing w:before="40" w:after="120"/>
        <w:jc w:val="center"/>
      </w:pPr>
      <w:r>
        <w:rPr>
          <w:i/>
          <w:iCs/>
          <w:color w:val="000000"/>
          <w:sz w:val="18"/>
          <w:szCs w:val="18"/>
        </w:rPr>
        <w:t>Fig. 1. Training and validation loss (left) and accuracy (right) curves over 11 epochs (sampled from 30-epoch training run).</w:t>
      </w:r>
    </w:p>
    <w:p w14:paraId="31EFFC13" w14:textId="77777777" w:rsidR="00C5785C" w:rsidRDefault="00C5785C">
      <w:pPr>
        <w:sectPr w:rsidR="00C5785C">
          <w:type w:val="continuous"/>
          <w:pgSz w:w="12240" w:h="15840"/>
          <w:pgMar w:top="1440" w:right="1008" w:bottom="1440" w:left="1008" w:header="708" w:footer="708" w:gutter="0"/>
          <w:cols w:space="720"/>
          <w:docGrid w:linePitch="360"/>
        </w:sectPr>
      </w:pPr>
    </w:p>
    <w:p w14:paraId="5EA6274A" w14:textId="77777777" w:rsidR="00C5785C" w:rsidRDefault="00782B15">
      <w:pPr>
        <w:spacing w:before="100" w:after="50"/>
      </w:pPr>
      <w:r>
        <w:rPr>
          <w:b/>
          <w:bCs/>
          <w:i/>
          <w:iCs/>
          <w:color w:val="000000"/>
        </w:rPr>
        <w:t xml:space="preserve">C. </w:t>
      </w:r>
      <w:r>
        <w:rPr>
          <w:i/>
          <w:iCs/>
          <w:color w:val="000000"/>
        </w:rPr>
        <w:t>Quantitative Results</w:t>
      </w:r>
    </w:p>
    <w:p w14:paraId="273E24AD" w14:textId="77777777" w:rsidR="00C5785C" w:rsidRDefault="00782B15">
      <w:pPr>
        <w:spacing w:before="60" w:after="80" w:line="276" w:lineRule="auto"/>
        <w:ind w:firstLine="360"/>
        <w:jc w:val="both"/>
      </w:pPr>
      <w:r>
        <w:rPr>
          <w:color w:val="000000"/>
        </w:rPr>
        <w:t xml:space="preserve">Table II reports per-class and weighted-average metrics on the test set (1,494 samples). Overall accuracy is 89.7%. Monocyte and Lymphocyte classification are strongest </w:t>
      </w:r>
      <w:r>
        <w:rPr>
          <w:color w:val="000000"/>
        </w:rPr>
        <w:t>(F1 = 0.975 and 0.957 respectively), while Eosinophil and Neutrophil are lower due to mutual misclassification (F1 = 0.816 and 0.841). The macro-average AUC-ROC of 0.985 confirms excellent class-level discriminability despite the accuracy gap.</w:t>
      </w:r>
    </w:p>
    <w:p w14:paraId="1611DA77" w14:textId="77777777" w:rsidR="00C5785C" w:rsidRDefault="00C5785C">
      <w:pPr>
        <w:sectPr w:rsidR="00C5785C">
          <w:type w:val="continuous"/>
          <w:pgSz w:w="12240" w:h="15840"/>
          <w:pgMar w:top="1440" w:right="1008" w:bottom="1440" w:left="1008" w:header="708" w:footer="708" w:gutter="0"/>
          <w:cols w:num="2" w:space="720"/>
          <w:docGrid w:linePitch="360"/>
        </w:sectPr>
      </w:pPr>
    </w:p>
    <w:p w14:paraId="45F6C3FF" w14:textId="77777777" w:rsidR="00C5785C" w:rsidRDefault="00782B15">
      <w:pPr>
        <w:spacing w:before="120" w:after="40"/>
        <w:jc w:val="center"/>
      </w:pPr>
      <w:r>
        <w:rPr>
          <w:b/>
          <w:bCs/>
          <w:color w:val="000000"/>
          <w:sz w:val="18"/>
          <w:szCs w:val="18"/>
        </w:rPr>
        <w:t>TABLE II. Per-Class Classification Metrics on the Test Set (n = 1,494)</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1636"/>
        <w:gridCol w:w="1636"/>
        <w:gridCol w:w="1636"/>
        <w:gridCol w:w="1636"/>
        <w:gridCol w:w="1636"/>
      </w:tblGrid>
      <w:tr w:rsidR="00C5785C" w14:paraId="5C29859C" w14:textId="77777777">
        <w:tblPrEx>
          <w:tblCellMar>
            <w:top w:w="0" w:type="dxa"/>
            <w:bottom w:w="0" w:type="dxa"/>
          </w:tblCellMar>
        </w:tblPrEx>
        <w:trPr>
          <w:tblHeader/>
        </w:trPr>
        <w:tc>
          <w:tcPr>
            <w:tcW w:w="2044" w:type="dxa"/>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26C9F364" w14:textId="77777777" w:rsidR="00C5785C" w:rsidRDefault="00782B15">
            <w:pPr>
              <w:jc w:val="center"/>
            </w:pPr>
            <w:r>
              <w:rPr>
                <w:b/>
                <w:bCs/>
                <w:color w:val="FFFFFF"/>
                <w:sz w:val="17"/>
                <w:szCs w:val="17"/>
              </w:rPr>
              <w:t>Class</w:t>
            </w:r>
          </w:p>
        </w:tc>
        <w:tc>
          <w:tcPr>
            <w:tcW w:w="1636" w:type="dxa"/>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2C8B106E" w14:textId="77777777" w:rsidR="00C5785C" w:rsidRDefault="00782B15">
            <w:pPr>
              <w:jc w:val="center"/>
            </w:pPr>
            <w:r>
              <w:rPr>
                <w:b/>
                <w:bCs/>
                <w:color w:val="FFFFFF"/>
                <w:sz w:val="17"/>
                <w:szCs w:val="17"/>
              </w:rPr>
              <w:t>Precision</w:t>
            </w:r>
          </w:p>
        </w:tc>
        <w:tc>
          <w:tcPr>
            <w:tcW w:w="1636" w:type="dxa"/>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6E022247" w14:textId="77777777" w:rsidR="00C5785C" w:rsidRDefault="00782B15">
            <w:pPr>
              <w:jc w:val="center"/>
            </w:pPr>
            <w:r>
              <w:rPr>
                <w:b/>
                <w:bCs/>
                <w:color w:val="FFFFFF"/>
                <w:sz w:val="17"/>
                <w:szCs w:val="17"/>
              </w:rPr>
              <w:t>Recall</w:t>
            </w:r>
          </w:p>
        </w:tc>
        <w:tc>
          <w:tcPr>
            <w:tcW w:w="1636" w:type="dxa"/>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62E9E139" w14:textId="77777777" w:rsidR="00C5785C" w:rsidRDefault="00782B15">
            <w:pPr>
              <w:jc w:val="center"/>
            </w:pPr>
            <w:r>
              <w:rPr>
                <w:b/>
                <w:bCs/>
                <w:color w:val="FFFFFF"/>
                <w:sz w:val="17"/>
                <w:szCs w:val="17"/>
              </w:rPr>
              <w:t>F1-Score</w:t>
            </w:r>
          </w:p>
        </w:tc>
        <w:tc>
          <w:tcPr>
            <w:tcW w:w="1636" w:type="dxa"/>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4172230B" w14:textId="77777777" w:rsidR="00C5785C" w:rsidRDefault="00782B15">
            <w:pPr>
              <w:jc w:val="center"/>
            </w:pPr>
            <w:r>
              <w:rPr>
                <w:b/>
                <w:bCs/>
                <w:color w:val="FFFFFF"/>
                <w:sz w:val="17"/>
                <w:szCs w:val="17"/>
              </w:rPr>
              <w:t>AUC-ROC</w:t>
            </w:r>
          </w:p>
        </w:tc>
        <w:tc>
          <w:tcPr>
            <w:tcW w:w="1636" w:type="dxa"/>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52B746F2" w14:textId="77777777" w:rsidR="00C5785C" w:rsidRDefault="00782B15">
            <w:pPr>
              <w:jc w:val="center"/>
            </w:pPr>
            <w:r>
              <w:rPr>
                <w:b/>
                <w:bCs/>
                <w:color w:val="FFFFFF"/>
                <w:sz w:val="17"/>
                <w:szCs w:val="17"/>
              </w:rPr>
              <w:t>Support</w:t>
            </w:r>
          </w:p>
        </w:tc>
      </w:tr>
      <w:tr w:rsidR="00C5785C" w14:paraId="79F3CF9D" w14:textId="77777777">
        <w:tblPrEx>
          <w:tblCellMar>
            <w:top w:w="0" w:type="dxa"/>
            <w:bottom w:w="0" w:type="dxa"/>
          </w:tblCellMar>
        </w:tblPrEx>
        <w:tc>
          <w:tcPr>
            <w:tcW w:w="2044"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F78764" w14:textId="77777777" w:rsidR="00C5785C" w:rsidRDefault="00782B15">
            <w:pPr>
              <w:jc w:val="center"/>
            </w:pPr>
            <w:r>
              <w:rPr>
                <w:color w:val="000000"/>
                <w:sz w:val="17"/>
                <w:szCs w:val="17"/>
              </w:rPr>
              <w:t>Eosinophil</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611D961" w14:textId="77777777" w:rsidR="00C5785C" w:rsidRDefault="00782B15">
            <w:pPr>
              <w:jc w:val="center"/>
            </w:pPr>
            <w:r>
              <w:rPr>
                <w:color w:val="000000"/>
                <w:sz w:val="17"/>
                <w:szCs w:val="17"/>
              </w:rPr>
              <w:t>0.814</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5CD0DBE" w14:textId="77777777" w:rsidR="00C5785C" w:rsidRDefault="00782B15">
            <w:pPr>
              <w:jc w:val="center"/>
            </w:pPr>
            <w:r>
              <w:rPr>
                <w:color w:val="000000"/>
                <w:sz w:val="17"/>
                <w:szCs w:val="17"/>
              </w:rPr>
              <w:t>0.819</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6951201" w14:textId="77777777" w:rsidR="00C5785C" w:rsidRDefault="00782B15">
            <w:pPr>
              <w:jc w:val="center"/>
            </w:pPr>
            <w:r>
              <w:rPr>
                <w:color w:val="000000"/>
                <w:sz w:val="17"/>
                <w:szCs w:val="17"/>
              </w:rPr>
              <w:t>0.816</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FE0A459" w14:textId="77777777" w:rsidR="00C5785C" w:rsidRDefault="00782B15">
            <w:pPr>
              <w:jc w:val="center"/>
            </w:pPr>
            <w:r>
              <w:rPr>
                <w:color w:val="000000"/>
                <w:sz w:val="17"/>
                <w:szCs w:val="17"/>
              </w:rPr>
              <w:t>0.968</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80DF16D" w14:textId="77777777" w:rsidR="00C5785C" w:rsidRDefault="00782B15">
            <w:pPr>
              <w:jc w:val="center"/>
            </w:pPr>
            <w:r>
              <w:rPr>
                <w:color w:val="000000"/>
                <w:sz w:val="17"/>
                <w:szCs w:val="17"/>
              </w:rPr>
              <w:t>375</w:t>
            </w:r>
          </w:p>
        </w:tc>
      </w:tr>
      <w:tr w:rsidR="00C5785C" w14:paraId="48D50E9C" w14:textId="77777777">
        <w:tblPrEx>
          <w:tblCellMar>
            <w:top w:w="0" w:type="dxa"/>
            <w:bottom w:w="0" w:type="dxa"/>
          </w:tblCellMar>
        </w:tblPrEx>
        <w:tc>
          <w:tcPr>
            <w:tcW w:w="2044"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1970C541" w14:textId="77777777" w:rsidR="00C5785C" w:rsidRDefault="00782B15">
            <w:pPr>
              <w:jc w:val="center"/>
            </w:pPr>
            <w:r>
              <w:rPr>
                <w:color w:val="000000"/>
                <w:sz w:val="17"/>
                <w:szCs w:val="17"/>
              </w:rPr>
              <w:t>Lymphocyte</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164C14F9" w14:textId="77777777" w:rsidR="00C5785C" w:rsidRDefault="00782B15">
            <w:pPr>
              <w:jc w:val="center"/>
            </w:pPr>
            <w:r>
              <w:rPr>
                <w:color w:val="000000"/>
                <w:sz w:val="17"/>
                <w:szCs w:val="17"/>
              </w:rPr>
              <w:t>0.959</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7FCD5D6F" w14:textId="77777777" w:rsidR="00C5785C" w:rsidRDefault="00782B15">
            <w:pPr>
              <w:jc w:val="center"/>
            </w:pPr>
            <w:r>
              <w:rPr>
                <w:color w:val="000000"/>
                <w:sz w:val="17"/>
                <w:szCs w:val="17"/>
              </w:rPr>
              <w:t>0.954</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04866862" w14:textId="77777777" w:rsidR="00C5785C" w:rsidRDefault="00782B15">
            <w:pPr>
              <w:jc w:val="center"/>
            </w:pPr>
            <w:r>
              <w:rPr>
                <w:color w:val="000000"/>
                <w:sz w:val="17"/>
                <w:szCs w:val="17"/>
              </w:rPr>
              <w:t>0.957</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335F3139" w14:textId="77777777" w:rsidR="00C5785C" w:rsidRDefault="00782B15">
            <w:pPr>
              <w:jc w:val="center"/>
            </w:pPr>
            <w:r>
              <w:rPr>
                <w:color w:val="000000"/>
                <w:sz w:val="17"/>
                <w:szCs w:val="17"/>
              </w:rPr>
              <w:t>0.998</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65F02555" w14:textId="77777777" w:rsidR="00C5785C" w:rsidRDefault="00782B15">
            <w:pPr>
              <w:jc w:val="center"/>
            </w:pPr>
            <w:r>
              <w:rPr>
                <w:color w:val="000000"/>
                <w:sz w:val="17"/>
                <w:szCs w:val="17"/>
              </w:rPr>
              <w:t>372</w:t>
            </w:r>
          </w:p>
        </w:tc>
      </w:tr>
      <w:tr w:rsidR="00C5785C" w14:paraId="5E6DBC6C" w14:textId="77777777">
        <w:tblPrEx>
          <w:tblCellMar>
            <w:top w:w="0" w:type="dxa"/>
            <w:bottom w:w="0" w:type="dxa"/>
          </w:tblCellMar>
        </w:tblPrEx>
        <w:tc>
          <w:tcPr>
            <w:tcW w:w="2044"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09E639E" w14:textId="77777777" w:rsidR="00C5785C" w:rsidRDefault="00782B15">
            <w:pPr>
              <w:jc w:val="center"/>
            </w:pPr>
            <w:r>
              <w:rPr>
                <w:color w:val="000000"/>
                <w:sz w:val="17"/>
                <w:szCs w:val="17"/>
              </w:rPr>
              <w:t>Monocyte</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7608249" w14:textId="77777777" w:rsidR="00C5785C" w:rsidRDefault="00782B15">
            <w:pPr>
              <w:jc w:val="center"/>
            </w:pPr>
            <w:r>
              <w:rPr>
                <w:color w:val="000000"/>
                <w:sz w:val="17"/>
                <w:szCs w:val="17"/>
              </w:rPr>
              <w:t>0.971</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C72F4D9" w14:textId="77777777" w:rsidR="00C5785C" w:rsidRDefault="00782B15">
            <w:pPr>
              <w:jc w:val="center"/>
            </w:pPr>
            <w:r>
              <w:rPr>
                <w:color w:val="000000"/>
                <w:sz w:val="17"/>
                <w:szCs w:val="17"/>
              </w:rPr>
              <w:t>0.978</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12809DD" w14:textId="77777777" w:rsidR="00C5785C" w:rsidRDefault="00782B15">
            <w:pPr>
              <w:jc w:val="center"/>
            </w:pPr>
            <w:r>
              <w:rPr>
                <w:color w:val="000000"/>
                <w:sz w:val="17"/>
                <w:szCs w:val="17"/>
              </w:rPr>
              <w:t>0.975</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80F45BE" w14:textId="77777777" w:rsidR="00C5785C" w:rsidRDefault="00782B15">
            <w:pPr>
              <w:jc w:val="center"/>
            </w:pPr>
            <w:r>
              <w:rPr>
                <w:color w:val="000000"/>
                <w:sz w:val="17"/>
                <w:szCs w:val="17"/>
              </w:rPr>
              <w:t>0.998</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CF3576D" w14:textId="77777777" w:rsidR="00C5785C" w:rsidRDefault="00782B15">
            <w:pPr>
              <w:jc w:val="center"/>
            </w:pPr>
            <w:r>
              <w:rPr>
                <w:color w:val="000000"/>
                <w:sz w:val="17"/>
                <w:szCs w:val="17"/>
              </w:rPr>
              <w:t>372</w:t>
            </w:r>
          </w:p>
        </w:tc>
      </w:tr>
      <w:tr w:rsidR="00C5785C" w14:paraId="4DF707F9" w14:textId="77777777">
        <w:tblPrEx>
          <w:tblCellMar>
            <w:top w:w="0" w:type="dxa"/>
            <w:bottom w:w="0" w:type="dxa"/>
          </w:tblCellMar>
        </w:tblPrEx>
        <w:tc>
          <w:tcPr>
            <w:tcW w:w="2044"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32E2748B" w14:textId="77777777" w:rsidR="00C5785C" w:rsidRDefault="00782B15">
            <w:pPr>
              <w:jc w:val="center"/>
            </w:pPr>
            <w:r>
              <w:rPr>
                <w:color w:val="000000"/>
                <w:sz w:val="17"/>
                <w:szCs w:val="17"/>
              </w:rPr>
              <w:t>Neutrophil</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349DD542" w14:textId="77777777" w:rsidR="00C5785C" w:rsidRDefault="00782B15">
            <w:pPr>
              <w:jc w:val="center"/>
            </w:pPr>
            <w:r>
              <w:rPr>
                <w:color w:val="000000"/>
                <w:sz w:val="17"/>
                <w:szCs w:val="17"/>
              </w:rPr>
              <w:t>0.844</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260B19DF" w14:textId="77777777" w:rsidR="00C5785C" w:rsidRDefault="00782B15">
            <w:pPr>
              <w:jc w:val="center"/>
            </w:pPr>
            <w:r>
              <w:rPr>
                <w:color w:val="000000"/>
                <w:sz w:val="17"/>
                <w:szCs w:val="17"/>
              </w:rPr>
              <w:t>0.837</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12EC5223" w14:textId="77777777" w:rsidR="00C5785C" w:rsidRDefault="00782B15">
            <w:pPr>
              <w:jc w:val="center"/>
            </w:pPr>
            <w:r>
              <w:rPr>
                <w:color w:val="000000"/>
                <w:sz w:val="17"/>
                <w:szCs w:val="17"/>
              </w:rPr>
              <w:t>0.841</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0F17BF31" w14:textId="77777777" w:rsidR="00C5785C" w:rsidRDefault="00782B15">
            <w:pPr>
              <w:jc w:val="center"/>
            </w:pPr>
            <w:r>
              <w:rPr>
                <w:color w:val="000000"/>
                <w:sz w:val="17"/>
                <w:szCs w:val="17"/>
              </w:rPr>
              <w:t>0.975</w:t>
            </w:r>
          </w:p>
        </w:tc>
        <w:tc>
          <w:tcPr>
            <w:tcW w:w="1636" w:type="dxa"/>
            <w:tcBorders>
              <w:top w:val="single" w:sz="1" w:space="0" w:color="999999"/>
              <w:left w:val="single" w:sz="1" w:space="0" w:color="999999"/>
              <w:bottom w:val="single" w:sz="1" w:space="0" w:color="999999"/>
              <w:right w:val="single" w:sz="1" w:space="0" w:color="999999"/>
            </w:tcBorders>
            <w:shd w:val="clear" w:color="auto" w:fill="D6E4F0"/>
            <w:tcMar>
              <w:top w:w="50" w:type="dxa"/>
              <w:left w:w="80" w:type="dxa"/>
              <w:bottom w:w="50" w:type="dxa"/>
              <w:right w:w="80" w:type="dxa"/>
            </w:tcMar>
          </w:tcPr>
          <w:p w14:paraId="1D0E704D" w14:textId="77777777" w:rsidR="00C5785C" w:rsidRDefault="00782B15">
            <w:pPr>
              <w:jc w:val="center"/>
            </w:pPr>
            <w:r>
              <w:rPr>
                <w:color w:val="000000"/>
                <w:sz w:val="17"/>
                <w:szCs w:val="17"/>
              </w:rPr>
              <w:t>375</w:t>
            </w:r>
          </w:p>
        </w:tc>
      </w:tr>
      <w:tr w:rsidR="00C5785C" w14:paraId="50EE8D61" w14:textId="77777777">
        <w:tblPrEx>
          <w:tblCellMar>
            <w:top w:w="0" w:type="dxa"/>
            <w:bottom w:w="0" w:type="dxa"/>
          </w:tblCellMar>
        </w:tblPrEx>
        <w:tc>
          <w:tcPr>
            <w:tcW w:w="2044"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8F9B8AC" w14:textId="77777777" w:rsidR="00C5785C" w:rsidRDefault="00782B15">
            <w:pPr>
              <w:jc w:val="center"/>
            </w:pPr>
            <w:r>
              <w:rPr>
                <w:color w:val="000000"/>
                <w:sz w:val="17"/>
                <w:szCs w:val="17"/>
              </w:rPr>
              <w:t xml:space="preserve">Weighted </w:t>
            </w:r>
            <w:proofErr w:type="spellStart"/>
            <w:r>
              <w:rPr>
                <w:color w:val="000000"/>
                <w:sz w:val="17"/>
                <w:szCs w:val="17"/>
              </w:rPr>
              <w:t>Avg</w:t>
            </w:r>
            <w:proofErr w:type="spellEnd"/>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F2E5076" w14:textId="77777777" w:rsidR="00C5785C" w:rsidRDefault="00782B15">
            <w:pPr>
              <w:jc w:val="center"/>
            </w:pPr>
            <w:r>
              <w:rPr>
                <w:color w:val="000000"/>
                <w:sz w:val="17"/>
                <w:szCs w:val="17"/>
              </w:rPr>
              <w:t>0.897</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ED19E9F" w14:textId="77777777" w:rsidR="00C5785C" w:rsidRDefault="00782B15">
            <w:pPr>
              <w:jc w:val="center"/>
            </w:pPr>
            <w:r>
              <w:rPr>
                <w:color w:val="000000"/>
                <w:sz w:val="17"/>
                <w:szCs w:val="17"/>
              </w:rPr>
              <w:t>0.897</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ABF3F35" w14:textId="77777777" w:rsidR="00C5785C" w:rsidRDefault="00782B15">
            <w:pPr>
              <w:jc w:val="center"/>
            </w:pPr>
            <w:r>
              <w:rPr>
                <w:color w:val="000000"/>
                <w:sz w:val="17"/>
                <w:szCs w:val="17"/>
              </w:rPr>
              <w:t>0.897</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5E8C16D" w14:textId="77777777" w:rsidR="00C5785C" w:rsidRDefault="00782B15">
            <w:pPr>
              <w:jc w:val="center"/>
            </w:pPr>
            <w:r>
              <w:rPr>
                <w:color w:val="000000"/>
                <w:sz w:val="17"/>
                <w:szCs w:val="17"/>
              </w:rPr>
              <w:t>0.985</w:t>
            </w:r>
          </w:p>
        </w:tc>
        <w:tc>
          <w:tcPr>
            <w:tcW w:w="163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D513F1A" w14:textId="77777777" w:rsidR="00C5785C" w:rsidRDefault="00782B15">
            <w:pPr>
              <w:jc w:val="center"/>
            </w:pPr>
            <w:r>
              <w:rPr>
                <w:color w:val="000000"/>
                <w:sz w:val="17"/>
                <w:szCs w:val="17"/>
              </w:rPr>
              <w:t>1494</w:t>
            </w:r>
          </w:p>
        </w:tc>
      </w:tr>
    </w:tbl>
    <w:p w14:paraId="6AB2A045" w14:textId="77777777" w:rsidR="00C5785C" w:rsidRDefault="00C5785C">
      <w:pPr>
        <w:spacing w:after="80"/>
      </w:pPr>
    </w:p>
    <w:p w14:paraId="61BB75B2" w14:textId="77777777" w:rsidR="00C5785C" w:rsidRDefault="00C5785C">
      <w:pPr>
        <w:sectPr w:rsidR="00C5785C">
          <w:type w:val="continuous"/>
          <w:pgSz w:w="12240" w:h="15840"/>
          <w:pgMar w:top="1440" w:right="1008" w:bottom="1440" w:left="1008" w:header="708" w:footer="708" w:gutter="0"/>
          <w:cols w:space="720"/>
          <w:docGrid w:linePitch="360"/>
        </w:sectPr>
      </w:pPr>
    </w:p>
    <w:p w14:paraId="6F9F0674" w14:textId="77777777" w:rsidR="00C5785C" w:rsidRDefault="00782B15">
      <w:pPr>
        <w:spacing w:before="100" w:after="50"/>
      </w:pPr>
      <w:r>
        <w:rPr>
          <w:b/>
          <w:bCs/>
          <w:i/>
          <w:iCs/>
          <w:color w:val="000000"/>
        </w:rPr>
        <w:t xml:space="preserve">D. </w:t>
      </w:r>
      <w:r>
        <w:rPr>
          <w:i/>
          <w:iCs/>
          <w:color w:val="000000"/>
        </w:rPr>
        <w:t>Confusion Matrix Analysis</w:t>
      </w:r>
    </w:p>
    <w:p w14:paraId="42C77359" w14:textId="77777777" w:rsidR="00C5785C" w:rsidRDefault="00782B15">
      <w:pPr>
        <w:spacing w:before="60" w:after="80" w:line="276" w:lineRule="auto"/>
        <w:ind w:firstLine="360"/>
        <w:jc w:val="both"/>
      </w:pPr>
      <w:r>
        <w:rPr>
          <w:color w:val="000000"/>
        </w:rPr>
        <w:t xml:space="preserve">Figure 2 presents the confusion matrix for the test set. The dominant error is bidirectional Eosinophil–Neutrophil confusion: 52 Eosinophil samples are misclassified as Neutrophil (13.9% error rate) and 53 Neutrophil samples are </w:t>
      </w:r>
      <w:r>
        <w:rPr>
          <w:color w:val="000000"/>
        </w:rPr>
        <w:t>misclassified as Eosinophil (14.1%). Lymphocyte and Monocyte achieve recall of 95.4% and 97.8% respectively, with minimal cross-class confusion. This Eosinophil–Neutrophil confusion is a well-documented challenge attributable to overlapping nuclear segmentation patterns and staining variability [12].</w:t>
      </w:r>
    </w:p>
    <w:p w14:paraId="78A0E3B0" w14:textId="77777777" w:rsidR="00C5785C" w:rsidRDefault="00C5785C">
      <w:pPr>
        <w:sectPr w:rsidR="00C5785C">
          <w:type w:val="continuous"/>
          <w:pgSz w:w="12240" w:h="15840"/>
          <w:pgMar w:top="1440" w:right="1008" w:bottom="1440" w:left="1008" w:header="708" w:footer="708" w:gutter="0"/>
          <w:cols w:num="2" w:space="720"/>
          <w:docGrid w:linePitch="360"/>
        </w:sectPr>
      </w:pPr>
    </w:p>
    <w:p w14:paraId="4F4BC648" w14:textId="77777777" w:rsidR="00C5785C" w:rsidRDefault="00782B15">
      <w:pPr>
        <w:spacing w:before="80" w:after="40"/>
        <w:jc w:val="center"/>
      </w:pPr>
      <w:r>
        <w:rPr>
          <w:noProof/>
        </w:rPr>
        <w:lastRenderedPageBreak/>
        <w:drawing>
          <wp:inline distT="0" distB="0" distL="0" distR="0" wp14:anchorId="6A333AED" wp14:editId="4A6882AB">
            <wp:extent cx="3810000" cy="3267075"/>
            <wp:effectExtent l="0" t="0" r="0" b="0"/>
            <wp:docPr id="800293595" name="Picture 80029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267075"/>
                    </a:xfrm>
                    <a:prstGeom prst="rect">
                      <a:avLst/>
                    </a:prstGeom>
                  </pic:spPr>
                </pic:pic>
              </a:graphicData>
            </a:graphic>
          </wp:inline>
        </w:drawing>
      </w:r>
    </w:p>
    <w:p w14:paraId="29028F00" w14:textId="77777777" w:rsidR="00C5785C" w:rsidRDefault="00782B15">
      <w:pPr>
        <w:spacing w:before="40" w:after="120"/>
        <w:jc w:val="center"/>
      </w:pPr>
      <w:r>
        <w:rPr>
          <w:i/>
          <w:iCs/>
          <w:color w:val="000000"/>
          <w:sz w:val="18"/>
          <w:szCs w:val="18"/>
        </w:rPr>
        <w:t>Fig. 2. Confusion matrix on the test set (n = 1,494). Rows: actual class; Columns: predicted class.</w:t>
      </w:r>
    </w:p>
    <w:p w14:paraId="6234BA7B" w14:textId="77777777" w:rsidR="00C5785C" w:rsidRDefault="00C5785C">
      <w:pPr>
        <w:sectPr w:rsidR="00C5785C">
          <w:type w:val="continuous"/>
          <w:pgSz w:w="12240" w:h="15840"/>
          <w:pgMar w:top="1440" w:right="1008" w:bottom="1440" w:left="1008" w:header="708" w:footer="708" w:gutter="0"/>
          <w:cols w:space="720"/>
          <w:docGrid w:linePitch="360"/>
        </w:sectPr>
      </w:pPr>
    </w:p>
    <w:p w14:paraId="1BE2E577" w14:textId="77777777" w:rsidR="00C5785C" w:rsidRDefault="00782B15">
      <w:pPr>
        <w:spacing w:before="100" w:after="50"/>
      </w:pPr>
      <w:r>
        <w:rPr>
          <w:b/>
          <w:bCs/>
          <w:i/>
          <w:iCs/>
          <w:color w:val="000000"/>
        </w:rPr>
        <w:t xml:space="preserve">E. </w:t>
      </w:r>
      <w:r>
        <w:rPr>
          <w:i/>
          <w:iCs/>
          <w:color w:val="000000"/>
        </w:rPr>
        <w:t>ROC-AUC Analysis</w:t>
      </w:r>
    </w:p>
    <w:p w14:paraId="6A89C578" w14:textId="77777777" w:rsidR="00C5785C" w:rsidRDefault="00782B15">
      <w:pPr>
        <w:spacing w:before="60" w:after="80" w:line="276" w:lineRule="auto"/>
        <w:ind w:firstLine="360"/>
        <w:jc w:val="both"/>
      </w:pPr>
      <w:r>
        <w:rPr>
          <w:color w:val="000000"/>
        </w:rPr>
        <w:t xml:space="preserve">Figure 3 shows per-class one-vs-rest ROC curves. Lymphocyte and Monocyte achieve near-perfect AUC of 0.998 each. Neutrophil (0.975) and Eosinophil (0.968) are </w:t>
      </w:r>
      <w:r>
        <w:rPr>
          <w:color w:val="000000"/>
        </w:rPr>
        <w:t>slightly lower, consistent with confusion matrix findings. All classes remain well above the random-chance baseline, validating the model’s probabilistic discriminability even where hard-label accuracy is reduced.</w:t>
      </w:r>
    </w:p>
    <w:p w14:paraId="4269721F" w14:textId="77777777" w:rsidR="00C5785C" w:rsidRDefault="00C5785C">
      <w:pPr>
        <w:sectPr w:rsidR="00C5785C">
          <w:type w:val="continuous"/>
          <w:pgSz w:w="12240" w:h="15840"/>
          <w:pgMar w:top="1440" w:right="1008" w:bottom="1440" w:left="1008" w:header="708" w:footer="708" w:gutter="0"/>
          <w:cols w:num="2" w:space="720"/>
          <w:docGrid w:linePitch="360"/>
        </w:sectPr>
      </w:pPr>
    </w:p>
    <w:p w14:paraId="624BEDD2" w14:textId="77777777" w:rsidR="00C5785C" w:rsidRDefault="00782B15">
      <w:pPr>
        <w:spacing w:before="80" w:after="40"/>
        <w:jc w:val="center"/>
      </w:pPr>
      <w:r>
        <w:rPr>
          <w:noProof/>
        </w:rPr>
        <w:drawing>
          <wp:inline distT="0" distB="0" distL="0" distR="0" wp14:anchorId="2669BB88" wp14:editId="414C08FA">
            <wp:extent cx="4000500" cy="3000375"/>
            <wp:effectExtent l="0" t="0" r="0" b="0"/>
            <wp:docPr id="1693926992" name="Picture 169392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000375"/>
                    </a:xfrm>
                    <a:prstGeom prst="rect">
                      <a:avLst/>
                    </a:prstGeom>
                  </pic:spPr>
                </pic:pic>
              </a:graphicData>
            </a:graphic>
          </wp:inline>
        </w:drawing>
      </w:r>
    </w:p>
    <w:p w14:paraId="15EF73F9" w14:textId="77777777" w:rsidR="00C5785C" w:rsidRDefault="00782B15">
      <w:pPr>
        <w:spacing w:before="40" w:after="120"/>
        <w:jc w:val="center"/>
      </w:pPr>
      <w:r>
        <w:rPr>
          <w:i/>
          <w:iCs/>
          <w:color w:val="000000"/>
          <w:sz w:val="18"/>
          <w:szCs w:val="18"/>
        </w:rPr>
        <w:t>Fig. 3. One-vs-rest ROC curves per cell type. Macro-average AUC-ROC = 0.985.</w:t>
      </w:r>
    </w:p>
    <w:p w14:paraId="1E40D367" w14:textId="77777777" w:rsidR="00C5785C" w:rsidRDefault="00C5785C">
      <w:pPr>
        <w:sectPr w:rsidR="00C5785C">
          <w:type w:val="continuous"/>
          <w:pgSz w:w="12240" w:h="15840"/>
          <w:pgMar w:top="1440" w:right="1008" w:bottom="1440" w:left="1008" w:header="708" w:footer="708" w:gutter="0"/>
          <w:cols w:space="720"/>
          <w:docGrid w:linePitch="360"/>
        </w:sectPr>
      </w:pPr>
    </w:p>
    <w:p w14:paraId="37FAD5E2" w14:textId="77777777" w:rsidR="00C5785C" w:rsidRDefault="00782B15">
      <w:pPr>
        <w:spacing w:before="100" w:after="50"/>
      </w:pPr>
      <w:r>
        <w:rPr>
          <w:b/>
          <w:bCs/>
          <w:i/>
          <w:iCs/>
          <w:color w:val="000000"/>
        </w:rPr>
        <w:t xml:space="preserve">F. </w:t>
      </w:r>
      <w:r>
        <w:rPr>
          <w:i/>
          <w:iCs/>
          <w:color w:val="000000"/>
        </w:rPr>
        <w:t>Comparison with Prior Work</w:t>
      </w:r>
    </w:p>
    <w:p w14:paraId="2CEC132C" w14:textId="77777777" w:rsidR="00C5785C" w:rsidRDefault="00782B15">
      <w:pPr>
        <w:spacing w:before="60" w:after="80" w:line="276" w:lineRule="auto"/>
        <w:ind w:firstLine="360"/>
        <w:jc w:val="both"/>
      </w:pPr>
      <w:r>
        <w:rPr>
          <w:color w:val="000000"/>
        </w:rPr>
        <w:t>Table III benchmarks our results against representative prior approaches. Our model is competitive with CNN-</w:t>
      </w:r>
      <w:r>
        <w:rPr>
          <w:color w:val="000000"/>
        </w:rPr>
        <w:t xml:space="preserve">based baselines [9] and achieves a higher AUC-ROC than the ResNet-50 result in [13], though at slightly lower </w:t>
      </w:r>
      <w:r>
        <w:rPr>
          <w:color w:val="000000"/>
        </w:rPr>
        <w:lastRenderedPageBreak/>
        <w:t>accuracy—likely because we use a frozen extractor vs. full fine-tuning in that work.</w:t>
      </w:r>
    </w:p>
    <w:p w14:paraId="77A8512D" w14:textId="77777777" w:rsidR="00C5785C" w:rsidRDefault="00C5785C">
      <w:pPr>
        <w:sectPr w:rsidR="00C5785C">
          <w:type w:val="continuous"/>
          <w:pgSz w:w="12240" w:h="15840"/>
          <w:pgMar w:top="1440" w:right="1008" w:bottom="1440" w:left="1008" w:header="708" w:footer="708" w:gutter="0"/>
          <w:cols w:num="2" w:space="720"/>
          <w:docGrid w:linePitch="360"/>
        </w:sectPr>
      </w:pPr>
    </w:p>
    <w:p w14:paraId="0F3F3585" w14:textId="77777777" w:rsidR="00C5785C" w:rsidRDefault="00782B15">
      <w:pPr>
        <w:spacing w:before="120" w:after="40"/>
        <w:jc w:val="center"/>
      </w:pPr>
      <w:r>
        <w:rPr>
          <w:b/>
          <w:bCs/>
          <w:color w:val="000000"/>
          <w:sz w:val="18"/>
          <w:szCs w:val="18"/>
        </w:rPr>
        <w:t>TABLE III. Comparison with Prior Methods on Blood Cell Classification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2249"/>
        <w:gridCol w:w="2658"/>
        <w:gridCol w:w="2454"/>
      </w:tblGrid>
      <w:tr w:rsidR="00C5785C" w14:paraId="62CC74F7" w14:textId="77777777">
        <w:tblPrEx>
          <w:tblCellMar>
            <w:top w:w="0" w:type="dxa"/>
            <w:bottom w:w="0" w:type="dxa"/>
          </w:tblCellMar>
        </w:tblPrEx>
        <w:trPr>
          <w:tblHeader/>
        </w:trPr>
        <w:tc>
          <w:tcPr>
            <w:tcW w:w="2863"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06F4E0B3" w14:textId="77777777" w:rsidR="00C5785C" w:rsidRDefault="00782B15">
            <w:pPr>
              <w:jc w:val="center"/>
            </w:pPr>
            <w:r>
              <w:rPr>
                <w:b/>
                <w:bCs/>
                <w:color w:val="FFFFFF"/>
                <w:sz w:val="17"/>
                <w:szCs w:val="17"/>
              </w:rPr>
              <w:t>Method</w:t>
            </w:r>
          </w:p>
        </w:tc>
        <w:tc>
          <w:tcPr>
            <w:tcW w:w="2249"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7B5CDB09" w14:textId="77777777" w:rsidR="00C5785C" w:rsidRDefault="00782B15">
            <w:pPr>
              <w:jc w:val="center"/>
            </w:pPr>
            <w:r>
              <w:rPr>
                <w:b/>
                <w:bCs/>
                <w:color w:val="FFFFFF"/>
                <w:sz w:val="17"/>
                <w:szCs w:val="17"/>
              </w:rPr>
              <w:t>Dataset</w:t>
            </w:r>
          </w:p>
        </w:tc>
        <w:tc>
          <w:tcPr>
            <w:tcW w:w="2658"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344BE853" w14:textId="77777777" w:rsidR="00C5785C" w:rsidRDefault="00782B15">
            <w:pPr>
              <w:jc w:val="center"/>
            </w:pPr>
            <w:r>
              <w:rPr>
                <w:b/>
                <w:bCs/>
                <w:color w:val="FFFFFF"/>
                <w:sz w:val="17"/>
                <w:szCs w:val="17"/>
              </w:rPr>
              <w:t>Accuracy</w:t>
            </w:r>
          </w:p>
        </w:tc>
        <w:tc>
          <w:tcPr>
            <w:tcW w:w="2454" w:type="dxa"/>
            <w:tcBorders>
              <w:top w:val="single" w:sz="1" w:space="0" w:color="999999"/>
              <w:left w:val="single" w:sz="1" w:space="0" w:color="999999"/>
              <w:bottom w:val="single" w:sz="1" w:space="0" w:color="999999"/>
              <w:right w:val="single" w:sz="1" w:space="0" w:color="999999"/>
            </w:tcBorders>
            <w:shd w:val="clear" w:color="auto" w:fill="1F3864"/>
            <w:tcMar>
              <w:top w:w="55" w:type="dxa"/>
              <w:left w:w="80" w:type="dxa"/>
              <w:bottom w:w="55" w:type="dxa"/>
              <w:right w:w="80" w:type="dxa"/>
            </w:tcMar>
          </w:tcPr>
          <w:p w14:paraId="5F1C7BF6" w14:textId="77777777" w:rsidR="00C5785C" w:rsidRDefault="00782B15">
            <w:pPr>
              <w:jc w:val="center"/>
            </w:pPr>
            <w:r>
              <w:rPr>
                <w:b/>
                <w:bCs/>
                <w:color w:val="FFFFFF"/>
                <w:sz w:val="17"/>
                <w:szCs w:val="17"/>
              </w:rPr>
              <w:t>AUC-ROC</w:t>
            </w:r>
          </w:p>
        </w:tc>
      </w:tr>
      <w:tr w:rsidR="00C5785C" w14:paraId="135FDC83" w14:textId="77777777">
        <w:tblPrEx>
          <w:tblCellMar>
            <w:top w:w="0" w:type="dxa"/>
            <w:bottom w:w="0" w:type="dxa"/>
          </w:tblCellMar>
        </w:tblPrEx>
        <w:tc>
          <w:tcPr>
            <w:tcW w:w="2863"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58B01773" w14:textId="77777777" w:rsidR="00C5785C" w:rsidRDefault="00782B15">
            <w:pPr>
              <w:jc w:val="center"/>
            </w:pPr>
            <w:r>
              <w:rPr>
                <w:color w:val="000000"/>
                <w:sz w:val="17"/>
                <w:szCs w:val="17"/>
              </w:rPr>
              <w:t>SVM + HOF [7,8]</w:t>
            </w:r>
          </w:p>
        </w:tc>
        <w:tc>
          <w:tcPr>
            <w:tcW w:w="2249"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768069F2" w14:textId="77777777" w:rsidR="00C5785C" w:rsidRDefault="00782B15">
            <w:pPr>
              <w:jc w:val="center"/>
            </w:pPr>
            <w:r>
              <w:rPr>
                <w:color w:val="000000"/>
                <w:sz w:val="17"/>
                <w:szCs w:val="17"/>
              </w:rPr>
              <w:t>BCCD-WBC</w:t>
            </w:r>
          </w:p>
        </w:tc>
        <w:tc>
          <w:tcPr>
            <w:tcW w:w="2658"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376D5A95" w14:textId="77777777" w:rsidR="00C5785C" w:rsidRDefault="00782B15">
            <w:pPr>
              <w:jc w:val="center"/>
            </w:pPr>
            <w:r>
              <w:rPr>
                <w:color w:val="000000"/>
                <w:sz w:val="17"/>
                <w:szCs w:val="17"/>
              </w:rPr>
              <w:t>~85%</w:t>
            </w:r>
          </w:p>
        </w:tc>
        <w:tc>
          <w:tcPr>
            <w:tcW w:w="2454"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7938CEBB" w14:textId="77777777" w:rsidR="00C5785C" w:rsidRDefault="00782B15">
            <w:pPr>
              <w:jc w:val="center"/>
            </w:pPr>
            <w:r>
              <w:rPr>
                <w:color w:val="000000"/>
                <w:sz w:val="17"/>
                <w:szCs w:val="17"/>
              </w:rPr>
              <w:t>—</w:t>
            </w:r>
          </w:p>
        </w:tc>
      </w:tr>
      <w:tr w:rsidR="00C5785C" w14:paraId="1F8DC3F1" w14:textId="77777777">
        <w:tblPrEx>
          <w:tblCellMar>
            <w:top w:w="0" w:type="dxa"/>
            <w:bottom w:w="0" w:type="dxa"/>
          </w:tblCellMar>
        </w:tblPrEx>
        <w:tc>
          <w:tcPr>
            <w:tcW w:w="2863"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5F9B5BBD" w14:textId="77777777" w:rsidR="00C5785C" w:rsidRDefault="00782B15">
            <w:pPr>
              <w:jc w:val="center"/>
            </w:pPr>
            <w:r>
              <w:rPr>
                <w:color w:val="000000"/>
                <w:sz w:val="17"/>
                <w:szCs w:val="17"/>
              </w:rPr>
              <w:t>CNN (Shahin et al.) [9]</w:t>
            </w:r>
          </w:p>
        </w:tc>
        <w:tc>
          <w:tcPr>
            <w:tcW w:w="2249"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661B4CCE" w14:textId="77777777" w:rsidR="00C5785C" w:rsidRDefault="00782B15">
            <w:pPr>
              <w:jc w:val="center"/>
            </w:pPr>
            <w:r>
              <w:rPr>
                <w:color w:val="000000"/>
                <w:sz w:val="17"/>
                <w:szCs w:val="17"/>
              </w:rPr>
              <w:t>WBC-12K</w:t>
            </w:r>
          </w:p>
        </w:tc>
        <w:tc>
          <w:tcPr>
            <w:tcW w:w="2658"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405E714C" w14:textId="77777777" w:rsidR="00C5785C" w:rsidRDefault="00782B15">
            <w:pPr>
              <w:jc w:val="center"/>
            </w:pPr>
            <w:r>
              <w:rPr>
                <w:color w:val="000000"/>
                <w:sz w:val="17"/>
                <w:szCs w:val="17"/>
              </w:rPr>
              <w:t>~88%</w:t>
            </w:r>
          </w:p>
        </w:tc>
        <w:tc>
          <w:tcPr>
            <w:tcW w:w="2454" w:type="dxa"/>
            <w:tcBorders>
              <w:top w:val="single" w:sz="1" w:space="0" w:color="999999"/>
              <w:left w:val="single" w:sz="1" w:space="0" w:color="999999"/>
              <w:bottom w:val="single" w:sz="1" w:space="0" w:color="999999"/>
              <w:right w:val="single" w:sz="1" w:space="0" w:color="999999"/>
            </w:tcBorders>
            <w:shd w:val="clear" w:color="auto" w:fill="D6E4F0"/>
            <w:tcMar>
              <w:top w:w="45" w:type="dxa"/>
              <w:left w:w="80" w:type="dxa"/>
              <w:bottom w:w="45" w:type="dxa"/>
              <w:right w:w="80" w:type="dxa"/>
            </w:tcMar>
          </w:tcPr>
          <w:p w14:paraId="022D511F" w14:textId="77777777" w:rsidR="00C5785C" w:rsidRDefault="00782B15">
            <w:pPr>
              <w:jc w:val="center"/>
            </w:pPr>
            <w:r>
              <w:rPr>
                <w:color w:val="000000"/>
                <w:sz w:val="17"/>
                <w:szCs w:val="17"/>
              </w:rPr>
              <w:t>—</w:t>
            </w:r>
          </w:p>
        </w:tc>
      </w:tr>
      <w:tr w:rsidR="00C5785C" w14:paraId="3F36B979" w14:textId="77777777">
        <w:tblPrEx>
          <w:tblCellMar>
            <w:top w:w="0" w:type="dxa"/>
            <w:bottom w:w="0" w:type="dxa"/>
          </w:tblCellMar>
        </w:tblPrEx>
        <w:tc>
          <w:tcPr>
            <w:tcW w:w="2863"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1CA2B871" w14:textId="77777777" w:rsidR="00C5785C" w:rsidRDefault="00782B15">
            <w:pPr>
              <w:jc w:val="center"/>
            </w:pPr>
            <w:r>
              <w:rPr>
                <w:color w:val="000000"/>
                <w:sz w:val="17"/>
                <w:szCs w:val="17"/>
              </w:rPr>
              <w:t>ResNet-50 TL [13]</w:t>
            </w:r>
          </w:p>
        </w:tc>
        <w:tc>
          <w:tcPr>
            <w:tcW w:w="2249"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298A80E6" w14:textId="77777777" w:rsidR="00C5785C" w:rsidRDefault="00782B15">
            <w:pPr>
              <w:jc w:val="center"/>
            </w:pPr>
            <w:r>
              <w:rPr>
                <w:color w:val="000000"/>
                <w:sz w:val="17"/>
                <w:szCs w:val="17"/>
              </w:rPr>
              <w:t>BCCD</w:t>
            </w:r>
          </w:p>
        </w:tc>
        <w:tc>
          <w:tcPr>
            <w:tcW w:w="2658"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417FB3B9" w14:textId="77777777" w:rsidR="00C5785C" w:rsidRDefault="00782B15">
            <w:pPr>
              <w:jc w:val="center"/>
            </w:pPr>
            <w:r>
              <w:rPr>
                <w:color w:val="000000"/>
                <w:sz w:val="17"/>
                <w:szCs w:val="17"/>
              </w:rPr>
              <w:t>~91%</w:t>
            </w:r>
          </w:p>
        </w:tc>
        <w:tc>
          <w:tcPr>
            <w:tcW w:w="2454" w:type="dxa"/>
            <w:tcBorders>
              <w:top w:val="single" w:sz="1" w:space="0" w:color="999999"/>
              <w:left w:val="single" w:sz="1" w:space="0" w:color="999999"/>
              <w:bottom w:val="single" w:sz="1" w:space="0" w:color="999999"/>
              <w:right w:val="single" w:sz="1" w:space="0" w:color="999999"/>
            </w:tcBorders>
            <w:tcMar>
              <w:top w:w="45" w:type="dxa"/>
              <w:left w:w="80" w:type="dxa"/>
              <w:bottom w:w="45" w:type="dxa"/>
              <w:right w:w="80" w:type="dxa"/>
            </w:tcMar>
          </w:tcPr>
          <w:p w14:paraId="5B1E9493" w14:textId="77777777" w:rsidR="00C5785C" w:rsidRDefault="00782B15">
            <w:pPr>
              <w:jc w:val="center"/>
            </w:pPr>
            <w:r>
              <w:rPr>
                <w:color w:val="000000"/>
                <w:sz w:val="17"/>
                <w:szCs w:val="17"/>
              </w:rPr>
              <w:t>0.97</w:t>
            </w:r>
          </w:p>
        </w:tc>
      </w:tr>
      <w:tr w:rsidR="00C5785C" w14:paraId="6E4B0824" w14:textId="77777777">
        <w:tblPrEx>
          <w:tblCellMar>
            <w:top w:w="0" w:type="dxa"/>
            <w:bottom w:w="0" w:type="dxa"/>
          </w:tblCellMar>
        </w:tblPrEx>
        <w:tc>
          <w:tcPr>
            <w:tcW w:w="2863" w:type="dxa"/>
            <w:tcBorders>
              <w:top w:val="single" w:sz="1" w:space="0" w:color="999999"/>
              <w:left w:val="single" w:sz="1" w:space="0" w:color="999999"/>
              <w:bottom w:val="single" w:sz="1" w:space="0" w:color="999999"/>
              <w:right w:val="single" w:sz="1" w:space="0" w:color="999999"/>
            </w:tcBorders>
            <w:shd w:val="clear" w:color="auto" w:fill="E2EFDA"/>
            <w:tcMar>
              <w:top w:w="45" w:type="dxa"/>
              <w:left w:w="80" w:type="dxa"/>
              <w:bottom w:w="45" w:type="dxa"/>
              <w:right w:w="80" w:type="dxa"/>
            </w:tcMar>
          </w:tcPr>
          <w:p w14:paraId="31762A47" w14:textId="77777777" w:rsidR="00C5785C" w:rsidRDefault="00782B15">
            <w:pPr>
              <w:jc w:val="center"/>
            </w:pPr>
            <w:r>
              <w:rPr>
                <w:b/>
                <w:bCs/>
                <w:color w:val="000000"/>
                <w:sz w:val="17"/>
                <w:szCs w:val="17"/>
              </w:rPr>
              <w:t>VGGNet-16 (Ours)</w:t>
            </w:r>
          </w:p>
        </w:tc>
        <w:tc>
          <w:tcPr>
            <w:tcW w:w="2249" w:type="dxa"/>
            <w:tcBorders>
              <w:top w:val="single" w:sz="1" w:space="0" w:color="999999"/>
              <w:left w:val="single" w:sz="1" w:space="0" w:color="999999"/>
              <w:bottom w:val="single" w:sz="1" w:space="0" w:color="999999"/>
              <w:right w:val="single" w:sz="1" w:space="0" w:color="999999"/>
            </w:tcBorders>
            <w:shd w:val="clear" w:color="auto" w:fill="E2EFDA"/>
            <w:tcMar>
              <w:top w:w="45" w:type="dxa"/>
              <w:left w:w="80" w:type="dxa"/>
              <w:bottom w:w="45" w:type="dxa"/>
              <w:right w:w="80" w:type="dxa"/>
            </w:tcMar>
          </w:tcPr>
          <w:p w14:paraId="1D40BF09" w14:textId="77777777" w:rsidR="00C5785C" w:rsidRDefault="00782B15">
            <w:pPr>
              <w:jc w:val="center"/>
            </w:pPr>
            <w:r>
              <w:rPr>
                <w:b/>
                <w:bCs/>
                <w:color w:val="000000"/>
                <w:sz w:val="17"/>
                <w:szCs w:val="17"/>
              </w:rPr>
              <w:t>BCCD</w:t>
            </w:r>
          </w:p>
        </w:tc>
        <w:tc>
          <w:tcPr>
            <w:tcW w:w="2658" w:type="dxa"/>
            <w:tcBorders>
              <w:top w:val="single" w:sz="1" w:space="0" w:color="999999"/>
              <w:left w:val="single" w:sz="1" w:space="0" w:color="999999"/>
              <w:bottom w:val="single" w:sz="1" w:space="0" w:color="999999"/>
              <w:right w:val="single" w:sz="1" w:space="0" w:color="999999"/>
            </w:tcBorders>
            <w:shd w:val="clear" w:color="auto" w:fill="E2EFDA"/>
            <w:tcMar>
              <w:top w:w="45" w:type="dxa"/>
              <w:left w:w="80" w:type="dxa"/>
              <w:bottom w:w="45" w:type="dxa"/>
              <w:right w:w="80" w:type="dxa"/>
            </w:tcMar>
          </w:tcPr>
          <w:p w14:paraId="57ED7C8F" w14:textId="77777777" w:rsidR="00C5785C" w:rsidRDefault="00782B15">
            <w:pPr>
              <w:jc w:val="center"/>
            </w:pPr>
            <w:r>
              <w:rPr>
                <w:b/>
                <w:bCs/>
                <w:color w:val="000000"/>
                <w:sz w:val="17"/>
                <w:szCs w:val="17"/>
              </w:rPr>
              <w:t>89.7%</w:t>
            </w:r>
          </w:p>
        </w:tc>
        <w:tc>
          <w:tcPr>
            <w:tcW w:w="2454" w:type="dxa"/>
            <w:tcBorders>
              <w:top w:val="single" w:sz="1" w:space="0" w:color="999999"/>
              <w:left w:val="single" w:sz="1" w:space="0" w:color="999999"/>
              <w:bottom w:val="single" w:sz="1" w:space="0" w:color="999999"/>
              <w:right w:val="single" w:sz="1" w:space="0" w:color="999999"/>
            </w:tcBorders>
            <w:shd w:val="clear" w:color="auto" w:fill="E2EFDA"/>
            <w:tcMar>
              <w:top w:w="45" w:type="dxa"/>
              <w:left w:w="80" w:type="dxa"/>
              <w:bottom w:w="45" w:type="dxa"/>
              <w:right w:w="80" w:type="dxa"/>
            </w:tcMar>
          </w:tcPr>
          <w:p w14:paraId="4CD04DF2" w14:textId="77777777" w:rsidR="00C5785C" w:rsidRDefault="00782B15">
            <w:pPr>
              <w:jc w:val="center"/>
            </w:pPr>
            <w:r>
              <w:rPr>
                <w:b/>
                <w:bCs/>
                <w:color w:val="000000"/>
                <w:sz w:val="17"/>
                <w:szCs w:val="17"/>
              </w:rPr>
              <w:t>0.985</w:t>
            </w:r>
          </w:p>
        </w:tc>
      </w:tr>
    </w:tbl>
    <w:p w14:paraId="4F843501" w14:textId="77777777" w:rsidR="00C5785C" w:rsidRDefault="00C5785C">
      <w:pPr>
        <w:spacing w:after="80"/>
      </w:pPr>
    </w:p>
    <w:p w14:paraId="1DF23ECF" w14:textId="77777777" w:rsidR="00C5785C" w:rsidRDefault="00C5785C">
      <w:pPr>
        <w:sectPr w:rsidR="00C5785C">
          <w:type w:val="continuous"/>
          <w:pgSz w:w="12240" w:h="15840"/>
          <w:pgMar w:top="1440" w:right="1008" w:bottom="1440" w:left="1008" w:header="708" w:footer="708" w:gutter="0"/>
          <w:cols w:space="720"/>
          <w:docGrid w:linePitch="360"/>
        </w:sectPr>
      </w:pPr>
    </w:p>
    <w:p w14:paraId="71603DB3" w14:textId="77777777" w:rsidR="00C5785C" w:rsidRDefault="00782B15">
      <w:pPr>
        <w:spacing w:before="160" w:after="80"/>
        <w:jc w:val="center"/>
      </w:pPr>
      <w:r>
        <w:rPr>
          <w:b/>
          <w:bCs/>
          <w:color w:val="000000"/>
        </w:rPr>
        <w:t>V. DISCUSSION</w:t>
      </w:r>
    </w:p>
    <w:p w14:paraId="142BE634" w14:textId="77777777" w:rsidR="00C5785C" w:rsidRDefault="00782B15">
      <w:pPr>
        <w:spacing w:before="60" w:after="80" w:line="276" w:lineRule="auto"/>
        <w:ind w:firstLine="360"/>
        <w:jc w:val="both"/>
      </w:pPr>
      <w:r>
        <w:rPr>
          <w:color w:val="000000"/>
        </w:rPr>
        <w:t>The primary finding is that frozen-feature VGGNet-16 transfer learning achieves strong discriminability (AUC = 0.985) at moderate accuracy (89.7%). The gap between AUC and accuracy is explained by the Eosinophil–Neutrophil confusion: the model assigns well-calibrated probabilities that separate these classes at the AUC level, but hard-label assignments near the decision boundary fail due to morphological similarity.</w:t>
      </w:r>
    </w:p>
    <w:p w14:paraId="732B1B33" w14:textId="77777777" w:rsidR="00C5785C" w:rsidRDefault="00782B15">
      <w:pPr>
        <w:spacing w:before="60" w:after="80" w:line="276" w:lineRule="auto"/>
        <w:ind w:firstLine="360"/>
        <w:jc w:val="both"/>
      </w:pPr>
      <w:r>
        <w:rPr>
          <w:color w:val="000000"/>
        </w:rPr>
        <w:t>A key limitation is the frozen convolutional backbone. Partial unfreezing of the final convolutional block (Conv5) would allow the network to adapt mid-level features to microscopic image statistics while preserving the regularization benefit of frozen early layers, and is expected to reduce the dominant confusion mode.</w:t>
      </w:r>
    </w:p>
    <w:p w14:paraId="57BF6A36" w14:textId="77777777" w:rsidR="00C5785C" w:rsidRDefault="00782B15">
      <w:pPr>
        <w:spacing w:before="60" w:after="80" w:line="276" w:lineRule="auto"/>
        <w:ind w:firstLine="360"/>
        <w:jc w:val="both"/>
      </w:pPr>
      <w:r>
        <w:rPr>
          <w:color w:val="000000"/>
        </w:rPr>
        <w:t>The rapid validation accuracy gains in early epochs (Figure 1) confirm that ImageNet pretrained features are immediately useful for blood cell texture discrimination, validating the transfer learning hypothesis despite the domain gap between natural photographs and stained microscopy images.</w:t>
      </w:r>
    </w:p>
    <w:p w14:paraId="655A8F07" w14:textId="77777777" w:rsidR="00C5785C" w:rsidRDefault="00782B15">
      <w:pPr>
        <w:spacing w:before="160" w:after="80"/>
        <w:jc w:val="center"/>
      </w:pPr>
      <w:r>
        <w:rPr>
          <w:b/>
          <w:bCs/>
          <w:color w:val="000000"/>
        </w:rPr>
        <w:t>VI. CONCLUSION AND FUTURE WORK</w:t>
      </w:r>
    </w:p>
    <w:p w14:paraId="5E2DF195" w14:textId="77777777" w:rsidR="00C5785C" w:rsidRDefault="00782B15">
      <w:pPr>
        <w:spacing w:before="60" w:after="80" w:line="276" w:lineRule="auto"/>
        <w:ind w:firstLine="360"/>
        <w:jc w:val="both"/>
      </w:pPr>
      <w:r>
        <w:rPr>
          <w:color w:val="000000"/>
        </w:rPr>
        <w:t xml:space="preserve">We presented a reproducible VGGNet-16 transfer learning pipeline for four-class blood cell classification on the BCCD dataset. The frozen-feature model achieves 89.7% test accuracy, weighted F1 = 0.897, and macro-average AUC-ROC = 0.985 using stratified 70/15/15 splits. The dominant error mode—bidirectional Eosinophil–Neutrophil confusion—is consistent with known morphological challenges in automated </w:t>
      </w:r>
      <w:proofErr w:type="spellStart"/>
      <w:r>
        <w:rPr>
          <w:color w:val="000000"/>
        </w:rPr>
        <w:t>hematology</w:t>
      </w:r>
      <w:proofErr w:type="spellEnd"/>
      <w:r>
        <w:rPr>
          <w:color w:val="000000"/>
        </w:rPr>
        <w:t>.</w:t>
      </w:r>
    </w:p>
    <w:p w14:paraId="2399CC81" w14:textId="77777777" w:rsidR="00C5785C" w:rsidRDefault="00782B15">
      <w:pPr>
        <w:spacing w:before="60" w:after="80" w:line="276" w:lineRule="auto"/>
        <w:ind w:firstLine="360"/>
        <w:jc w:val="both"/>
      </w:pPr>
      <w:r>
        <w:rPr>
          <w:color w:val="000000"/>
        </w:rPr>
        <w:t xml:space="preserve">Future directions include: (1) progressive unfreezing of Conv5 layers with cosine annealing; (2) attention-based augmentation targeting the Eosinophil–Neutrophil decision boundary; (3) Grad-CAM visualization for clinical interpretability; (4) benchmarking against lightweight architectures (MobileNetV3, EfficientNet-B0) for edge </w:t>
      </w:r>
      <w:r>
        <w:rPr>
          <w:color w:val="000000"/>
        </w:rPr>
        <w:t>deployment; and (5) extension to object detection for simultaneous localization and counting.</w:t>
      </w:r>
    </w:p>
    <w:p w14:paraId="5E472F80" w14:textId="77777777" w:rsidR="00C5785C" w:rsidRDefault="00782B15">
      <w:pPr>
        <w:spacing w:before="160" w:after="80"/>
        <w:jc w:val="center"/>
      </w:pPr>
      <w:r>
        <w:rPr>
          <w:b/>
          <w:bCs/>
          <w:color w:val="000000"/>
        </w:rPr>
        <w:t>REFERENCES</w:t>
      </w:r>
    </w:p>
    <w:p w14:paraId="6BF63C01" w14:textId="77777777" w:rsidR="00C5785C" w:rsidRDefault="00782B15">
      <w:pPr>
        <w:spacing w:before="30" w:after="30"/>
        <w:ind w:left="360" w:hanging="360"/>
        <w:jc w:val="both"/>
      </w:pPr>
      <w:r>
        <w:rPr>
          <w:color w:val="000000"/>
          <w:sz w:val="17"/>
          <w:szCs w:val="17"/>
        </w:rPr>
        <w:t>[1] M. M. Alam and M. T. Islam, "Machine learning approach of automatic identification and counting of blood cells," Healthcare Technology Letters, vol. 6, no. 4, pp. 103–108, 2019.</w:t>
      </w:r>
    </w:p>
    <w:p w14:paraId="6068F1E4" w14:textId="77777777" w:rsidR="00C5785C" w:rsidRDefault="00782B15">
      <w:pPr>
        <w:spacing w:before="30" w:after="30"/>
        <w:ind w:left="360" w:hanging="360"/>
        <w:jc w:val="both"/>
      </w:pPr>
      <w:r>
        <w:rPr>
          <w:color w:val="000000"/>
          <w:sz w:val="17"/>
          <w:szCs w:val="17"/>
        </w:rPr>
        <w:t>[2] A. Shahin, A. Guo, K. Amin, and A. Sharif, "White blood cells identification system based on convolutional deep neural learning networks," Computer Methods and Programs in Biomedicine, vol. 168, pp. 69–83, 2019.</w:t>
      </w:r>
    </w:p>
    <w:p w14:paraId="351497AA" w14:textId="77777777" w:rsidR="00C5785C" w:rsidRDefault="00782B15">
      <w:pPr>
        <w:spacing w:before="30" w:after="30"/>
        <w:ind w:left="360" w:hanging="360"/>
        <w:jc w:val="both"/>
      </w:pPr>
      <w:r>
        <w:rPr>
          <w:color w:val="000000"/>
          <w:sz w:val="17"/>
          <w:szCs w:val="17"/>
        </w:rPr>
        <w:t xml:space="preserve">[3] A. Krizhevsky, I. </w:t>
      </w:r>
      <w:proofErr w:type="spellStart"/>
      <w:r>
        <w:rPr>
          <w:color w:val="000000"/>
          <w:sz w:val="17"/>
          <w:szCs w:val="17"/>
        </w:rPr>
        <w:t>Sutskever</w:t>
      </w:r>
      <w:proofErr w:type="spellEnd"/>
      <w:r>
        <w:rPr>
          <w:color w:val="000000"/>
          <w:sz w:val="17"/>
          <w:szCs w:val="17"/>
        </w:rPr>
        <w:t>, and G. E. Hinton, "ImageNet classification with deep convolutional neural networks," Advances in Neural Information Processing Systems, vol. 25, 2012.</w:t>
      </w:r>
    </w:p>
    <w:p w14:paraId="720B1472" w14:textId="77777777" w:rsidR="00C5785C" w:rsidRDefault="00782B15">
      <w:pPr>
        <w:spacing w:before="30" w:after="30"/>
        <w:ind w:left="360" w:hanging="360"/>
        <w:jc w:val="both"/>
      </w:pPr>
      <w:r>
        <w:rPr>
          <w:color w:val="000000"/>
          <w:sz w:val="17"/>
          <w:szCs w:val="17"/>
        </w:rPr>
        <w:t>[4] K. Simonyan and A. Zisserman, "Very deep convolutional networks for large-scale image recognition," in Proc. ICLR, 2015.</w:t>
      </w:r>
    </w:p>
    <w:p w14:paraId="2E1C4264" w14:textId="77777777" w:rsidR="00C5785C" w:rsidRDefault="00782B15">
      <w:pPr>
        <w:spacing w:before="30" w:after="30"/>
        <w:ind w:left="360" w:hanging="360"/>
        <w:jc w:val="both"/>
      </w:pPr>
      <w:r>
        <w:rPr>
          <w:color w:val="000000"/>
          <w:sz w:val="17"/>
          <w:szCs w:val="17"/>
        </w:rPr>
        <w:t>[5] J. Yosinski, J. Clune, Y. Bengio, and H. Lipson, "How transferable are features in deep neural networks?" Advances in Neural Information Processing Systems, vol. 27, 2014.</w:t>
      </w:r>
    </w:p>
    <w:p w14:paraId="0D2BBC3D" w14:textId="77777777" w:rsidR="00C5785C" w:rsidRDefault="00782B15">
      <w:pPr>
        <w:spacing w:before="30" w:after="30"/>
        <w:ind w:left="360" w:hanging="360"/>
        <w:jc w:val="both"/>
      </w:pPr>
      <w:r>
        <w:rPr>
          <w:color w:val="000000"/>
          <w:sz w:val="17"/>
          <w:szCs w:val="17"/>
        </w:rPr>
        <w:t>[6] P. Mooney, "Blood Cell Images (BCCD Dataset)," Kaggle, 2018. [Online]. Available: https://www.kaggle.com/paultimothymooney/blood-cells</w:t>
      </w:r>
    </w:p>
    <w:p w14:paraId="61E135B1" w14:textId="77777777" w:rsidR="00C5785C" w:rsidRDefault="00782B15">
      <w:pPr>
        <w:spacing w:before="30" w:after="30"/>
        <w:ind w:left="360" w:hanging="360"/>
        <w:jc w:val="both"/>
      </w:pPr>
      <w:r>
        <w:rPr>
          <w:color w:val="000000"/>
          <w:sz w:val="17"/>
          <w:szCs w:val="17"/>
        </w:rPr>
        <w:t xml:space="preserve">[7] H. Sadeghian, M. Saffar, P. </w:t>
      </w:r>
      <w:proofErr w:type="spellStart"/>
      <w:r>
        <w:rPr>
          <w:color w:val="000000"/>
          <w:sz w:val="17"/>
          <w:szCs w:val="17"/>
        </w:rPr>
        <w:t>Perseh</w:t>
      </w:r>
      <w:proofErr w:type="spellEnd"/>
      <w:r>
        <w:rPr>
          <w:color w:val="000000"/>
          <w:sz w:val="17"/>
          <w:szCs w:val="17"/>
        </w:rPr>
        <w:t xml:space="preserve">, and A. </w:t>
      </w:r>
      <w:proofErr w:type="spellStart"/>
      <w:r>
        <w:rPr>
          <w:color w:val="000000"/>
          <w:sz w:val="17"/>
          <w:szCs w:val="17"/>
        </w:rPr>
        <w:t>Shojaee</w:t>
      </w:r>
      <w:proofErr w:type="spellEnd"/>
      <w:r>
        <w:rPr>
          <w:color w:val="000000"/>
          <w:sz w:val="17"/>
          <w:szCs w:val="17"/>
        </w:rPr>
        <w:t>, "A morphological approach to the segmentation of white blood cells in peripheral blood smear images," in Proc. IEEE ICCIT, 2009, pp. 107–111.</w:t>
      </w:r>
    </w:p>
    <w:p w14:paraId="17D5B6B9" w14:textId="77777777" w:rsidR="00C5785C" w:rsidRDefault="00782B15">
      <w:pPr>
        <w:spacing w:before="30" w:after="30"/>
        <w:ind w:left="360" w:hanging="360"/>
        <w:jc w:val="both"/>
      </w:pPr>
      <w:r>
        <w:rPr>
          <w:color w:val="000000"/>
          <w:sz w:val="17"/>
          <w:szCs w:val="17"/>
        </w:rPr>
        <w:t xml:space="preserve">[8] S. H. </w:t>
      </w:r>
      <w:proofErr w:type="spellStart"/>
      <w:r>
        <w:rPr>
          <w:color w:val="000000"/>
          <w:sz w:val="17"/>
          <w:szCs w:val="17"/>
        </w:rPr>
        <w:t>Rezatofighi</w:t>
      </w:r>
      <w:proofErr w:type="spellEnd"/>
      <w:r>
        <w:rPr>
          <w:color w:val="000000"/>
          <w:sz w:val="17"/>
          <w:szCs w:val="17"/>
        </w:rPr>
        <w:t xml:space="preserve"> and H. Soltanian-Zadeh, "Automatic recognition of five types of white blood cells in peripheral blood," Computerized Medical Imaging and Graphics, vol. 35, no. 4, pp. 333–343, 2011.</w:t>
      </w:r>
    </w:p>
    <w:p w14:paraId="7CCF8E80" w14:textId="77777777" w:rsidR="00C5785C" w:rsidRDefault="00782B15">
      <w:pPr>
        <w:spacing w:before="30" w:after="30"/>
        <w:ind w:left="360" w:hanging="360"/>
        <w:jc w:val="both"/>
      </w:pPr>
      <w:r>
        <w:rPr>
          <w:color w:val="000000"/>
          <w:sz w:val="17"/>
          <w:szCs w:val="17"/>
        </w:rPr>
        <w:t>[9] A. I. Shahin, Y. Guo, K. M. Amin, and A. A. Sharif, "A deep learning approach for the segmentation and classification of white blood cells," in Proc. IEEE IICAIET, 2019, pp. 1–6.</w:t>
      </w:r>
    </w:p>
    <w:p w14:paraId="419AC6A7" w14:textId="77777777" w:rsidR="00C5785C" w:rsidRDefault="00782B15">
      <w:pPr>
        <w:spacing w:before="30" w:after="30"/>
        <w:ind w:left="360" w:hanging="360"/>
        <w:jc w:val="both"/>
      </w:pPr>
      <w:r>
        <w:rPr>
          <w:color w:val="000000"/>
          <w:sz w:val="17"/>
          <w:szCs w:val="17"/>
        </w:rPr>
        <w:t xml:space="preserve">[10] M. Habibzadeh, M. </w:t>
      </w:r>
      <w:proofErr w:type="spellStart"/>
      <w:r>
        <w:rPr>
          <w:color w:val="000000"/>
          <w:sz w:val="17"/>
          <w:szCs w:val="17"/>
        </w:rPr>
        <w:t>Krzyzanski</w:t>
      </w:r>
      <w:proofErr w:type="spellEnd"/>
      <w:r>
        <w:rPr>
          <w:color w:val="000000"/>
          <w:sz w:val="17"/>
          <w:szCs w:val="17"/>
        </w:rPr>
        <w:t>, and A. Janowczyk, "Effect of data augmentation on CNN-based blood cell classification," Journal of Digital Imaging, vol. 32, 2019.</w:t>
      </w:r>
    </w:p>
    <w:p w14:paraId="69C3BBC6" w14:textId="77777777" w:rsidR="00C5785C" w:rsidRDefault="00782B15">
      <w:pPr>
        <w:spacing w:before="30" w:after="30"/>
        <w:ind w:left="360" w:hanging="360"/>
        <w:jc w:val="both"/>
      </w:pPr>
      <w:r>
        <w:rPr>
          <w:color w:val="000000"/>
          <w:sz w:val="17"/>
          <w:szCs w:val="17"/>
        </w:rPr>
        <w:t>[11] F. Zhuang et al., "A comprehensive survey on transfer learning," Proceedings of the IEEE, vol. 109, no. 1, pp. 43–76, 2021.</w:t>
      </w:r>
    </w:p>
    <w:p w14:paraId="1507833C" w14:textId="77777777" w:rsidR="00C5785C" w:rsidRDefault="00782B15">
      <w:pPr>
        <w:spacing w:before="30" w:after="30"/>
        <w:ind w:left="360" w:hanging="360"/>
        <w:jc w:val="both"/>
      </w:pPr>
      <w:r>
        <w:rPr>
          <w:color w:val="000000"/>
          <w:sz w:val="17"/>
          <w:szCs w:val="17"/>
        </w:rPr>
        <w:t xml:space="preserve">[12] A. Acevedo, A. Merino, S. Alferez, A. Molina, L. </w:t>
      </w:r>
      <w:proofErr w:type="spellStart"/>
      <w:r>
        <w:rPr>
          <w:color w:val="000000"/>
          <w:sz w:val="17"/>
          <w:szCs w:val="17"/>
        </w:rPr>
        <w:t>Boldu</w:t>
      </w:r>
      <w:proofErr w:type="spellEnd"/>
      <w:r>
        <w:rPr>
          <w:color w:val="000000"/>
          <w:sz w:val="17"/>
          <w:szCs w:val="17"/>
        </w:rPr>
        <w:t xml:space="preserve">, and J. </w:t>
      </w:r>
      <w:proofErr w:type="spellStart"/>
      <w:r>
        <w:rPr>
          <w:color w:val="000000"/>
          <w:sz w:val="17"/>
          <w:szCs w:val="17"/>
        </w:rPr>
        <w:t>Rodellar</w:t>
      </w:r>
      <w:proofErr w:type="spellEnd"/>
      <w:r>
        <w:rPr>
          <w:color w:val="000000"/>
          <w:sz w:val="17"/>
          <w:szCs w:val="17"/>
        </w:rPr>
        <w:t>, "A dataset of microscopic peripheral blood cell images for development of automatic recognition systems," Data in Brief, vol. 30, 2020.</w:t>
      </w:r>
    </w:p>
    <w:p w14:paraId="5C424247" w14:textId="77777777" w:rsidR="00C5785C" w:rsidRDefault="00782B15">
      <w:pPr>
        <w:spacing w:before="30" w:after="30"/>
        <w:ind w:left="360" w:hanging="360"/>
        <w:jc w:val="both"/>
      </w:pPr>
      <w:r>
        <w:rPr>
          <w:color w:val="000000"/>
          <w:sz w:val="17"/>
          <w:szCs w:val="17"/>
        </w:rPr>
        <w:t xml:space="preserve">[13] Z. Jiang, X. Dong, L. Wang, and X. Jiang, "Method for diagnosis of acute lymphoblastic </w:t>
      </w:r>
      <w:proofErr w:type="spellStart"/>
      <w:r>
        <w:rPr>
          <w:color w:val="000000"/>
          <w:sz w:val="17"/>
          <w:szCs w:val="17"/>
        </w:rPr>
        <w:t>leukemia</w:t>
      </w:r>
      <w:proofErr w:type="spellEnd"/>
      <w:r>
        <w:rPr>
          <w:color w:val="000000"/>
          <w:sz w:val="17"/>
          <w:szCs w:val="17"/>
        </w:rPr>
        <w:t xml:space="preserve"> based on ResNet50 model with transfer learning," IET Image Processing, vol. 15, no. 3, pp. 643–651, 2021.</w:t>
      </w:r>
    </w:p>
    <w:p w14:paraId="74F58172" w14:textId="77777777" w:rsidR="00C5785C" w:rsidRDefault="00782B15">
      <w:pPr>
        <w:spacing w:before="30" w:after="30"/>
        <w:ind w:left="360" w:hanging="360"/>
        <w:jc w:val="both"/>
      </w:pPr>
      <w:r>
        <w:rPr>
          <w:color w:val="000000"/>
          <w:sz w:val="17"/>
          <w:szCs w:val="17"/>
        </w:rPr>
        <w:lastRenderedPageBreak/>
        <w:t xml:space="preserve">[14] T. Tran, "Leveraging machine learning in the smart microscopy pipeline for blood smear analysis," </w:t>
      </w:r>
      <w:proofErr w:type="spellStart"/>
      <w:r>
        <w:rPr>
          <w:color w:val="000000"/>
          <w:sz w:val="17"/>
          <w:szCs w:val="17"/>
        </w:rPr>
        <w:t>arXiv</w:t>
      </w:r>
      <w:proofErr w:type="spellEnd"/>
      <w:r>
        <w:rPr>
          <w:color w:val="000000"/>
          <w:sz w:val="17"/>
          <w:szCs w:val="17"/>
        </w:rPr>
        <w:t xml:space="preserve"> preprint arXiv:1904.09124, 2019.</w:t>
      </w:r>
    </w:p>
    <w:p w14:paraId="0973E296" w14:textId="77777777" w:rsidR="00C5785C" w:rsidRDefault="00782B15">
      <w:pPr>
        <w:spacing w:before="30" w:after="30"/>
        <w:ind w:left="360" w:hanging="360"/>
        <w:jc w:val="both"/>
      </w:pPr>
      <w:r>
        <w:rPr>
          <w:color w:val="000000"/>
          <w:sz w:val="17"/>
          <w:szCs w:val="17"/>
        </w:rPr>
        <w:t>[15] A. Vaswani et al., "Attention is all you need," Advances in Neural Information Processing Systems, vol. 30, 2017.</w:t>
      </w:r>
    </w:p>
    <w:p w14:paraId="3DC844D2" w14:textId="77777777" w:rsidR="00C5785C" w:rsidRDefault="00782B15">
      <w:pPr>
        <w:spacing w:before="30" w:after="30"/>
        <w:ind w:left="360" w:hanging="360"/>
        <w:jc w:val="both"/>
      </w:pPr>
      <w:r>
        <w:rPr>
          <w:color w:val="000000"/>
          <w:sz w:val="17"/>
          <w:szCs w:val="17"/>
        </w:rPr>
        <w:t xml:space="preserve">[16] A. </w:t>
      </w:r>
      <w:proofErr w:type="spellStart"/>
      <w:r>
        <w:rPr>
          <w:color w:val="000000"/>
          <w:sz w:val="17"/>
          <w:szCs w:val="17"/>
        </w:rPr>
        <w:t>Dosovitskiy</w:t>
      </w:r>
      <w:proofErr w:type="spellEnd"/>
      <w:r>
        <w:rPr>
          <w:color w:val="000000"/>
          <w:sz w:val="17"/>
          <w:szCs w:val="17"/>
        </w:rPr>
        <w:t xml:space="preserve"> et al., "An image is worth 16×16 words: Transformers for image recognition at scale," in Proc. ICLR, 2021.</w:t>
      </w:r>
    </w:p>
    <w:sectPr w:rsidR="00C5785C">
      <w:type w:val="continuous"/>
      <w:pgSz w:w="12240" w:h="15840"/>
      <w:pgMar w:top="1440" w:right="1008" w:bottom="1440" w:left="1008"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1374"/>
    <w:multiLevelType w:val="hybridMultilevel"/>
    <w:tmpl w:val="E326AD02"/>
    <w:lvl w:ilvl="0" w:tplc="90AE0E34">
      <w:start w:val="1"/>
      <w:numFmt w:val="bullet"/>
      <w:lvlText w:val="●"/>
      <w:lvlJc w:val="left"/>
      <w:pPr>
        <w:ind w:left="720" w:hanging="360"/>
      </w:pPr>
    </w:lvl>
    <w:lvl w:ilvl="1" w:tplc="46F0D9FC">
      <w:start w:val="1"/>
      <w:numFmt w:val="bullet"/>
      <w:lvlText w:val="○"/>
      <w:lvlJc w:val="left"/>
      <w:pPr>
        <w:ind w:left="1440" w:hanging="360"/>
      </w:pPr>
    </w:lvl>
    <w:lvl w:ilvl="2" w:tplc="43301EBA">
      <w:start w:val="1"/>
      <w:numFmt w:val="bullet"/>
      <w:lvlText w:val="■"/>
      <w:lvlJc w:val="left"/>
      <w:pPr>
        <w:ind w:left="2160" w:hanging="360"/>
      </w:pPr>
    </w:lvl>
    <w:lvl w:ilvl="3" w:tplc="10F03176">
      <w:start w:val="1"/>
      <w:numFmt w:val="bullet"/>
      <w:lvlText w:val="●"/>
      <w:lvlJc w:val="left"/>
      <w:pPr>
        <w:ind w:left="2880" w:hanging="360"/>
      </w:pPr>
    </w:lvl>
    <w:lvl w:ilvl="4" w:tplc="F7621BCC">
      <w:start w:val="1"/>
      <w:numFmt w:val="bullet"/>
      <w:lvlText w:val="○"/>
      <w:lvlJc w:val="left"/>
      <w:pPr>
        <w:ind w:left="3600" w:hanging="360"/>
      </w:pPr>
    </w:lvl>
    <w:lvl w:ilvl="5" w:tplc="D0C6C180">
      <w:start w:val="1"/>
      <w:numFmt w:val="bullet"/>
      <w:lvlText w:val="■"/>
      <w:lvlJc w:val="left"/>
      <w:pPr>
        <w:ind w:left="4320" w:hanging="360"/>
      </w:pPr>
    </w:lvl>
    <w:lvl w:ilvl="6" w:tplc="0360D5E2">
      <w:start w:val="1"/>
      <w:numFmt w:val="bullet"/>
      <w:lvlText w:val="●"/>
      <w:lvlJc w:val="left"/>
      <w:pPr>
        <w:ind w:left="5040" w:hanging="360"/>
      </w:pPr>
    </w:lvl>
    <w:lvl w:ilvl="7" w:tplc="C20E4DE2">
      <w:start w:val="1"/>
      <w:numFmt w:val="bullet"/>
      <w:lvlText w:val="●"/>
      <w:lvlJc w:val="left"/>
      <w:pPr>
        <w:ind w:left="5760" w:hanging="360"/>
      </w:pPr>
    </w:lvl>
    <w:lvl w:ilvl="8" w:tplc="3B5ED1CA">
      <w:start w:val="1"/>
      <w:numFmt w:val="bullet"/>
      <w:lvlText w:val="●"/>
      <w:lvlJc w:val="left"/>
      <w:pPr>
        <w:ind w:left="6480" w:hanging="360"/>
      </w:pPr>
    </w:lvl>
  </w:abstractNum>
  <w:num w:numId="1" w16cid:durableId="1401634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85C"/>
    <w:rsid w:val="004266F2"/>
    <w:rsid w:val="00782B15"/>
    <w:rsid w:val="00A31274"/>
    <w:rsid w:val="00C5785C"/>
    <w:rsid w:val="00E40D3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9D4C"/>
  <w15:docId w15:val="{D72D4EF7-90F4-4097-9E68-B27A47B5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2173</Words>
  <Characters>12387</Characters>
  <Application>Microsoft Office Word</Application>
  <DocSecurity>0</DocSecurity>
  <Lines>103</Lines>
  <Paragraphs>29</Paragraphs>
  <ScaleCrop>false</ScaleCrop>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D9v _v</cp:lastModifiedBy>
  <cp:revision>3</cp:revision>
  <dcterms:created xsi:type="dcterms:W3CDTF">2026-05-19T05:05:00Z</dcterms:created>
  <dcterms:modified xsi:type="dcterms:W3CDTF">2026-05-19T05:06:00Z</dcterms:modified>
</cp:coreProperties>
</file>