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756" w:rsidRPr="00D50F4B" w:rsidRDefault="00394756" w:rsidP="00394756">
      <w:pPr>
        <w:rPr>
          <w:sz w:val="24"/>
        </w:rPr>
      </w:pPr>
    </w:p>
    <w:p w:rsidR="00394756" w:rsidRPr="008A7F8D" w:rsidRDefault="00394756" w:rsidP="00394756">
      <w:pPr>
        <w:spacing w:before="100" w:beforeAutospacing="1" w:after="100" w:afterAutospacing="1" w:line="240" w:lineRule="auto"/>
        <w:outlineLvl w:val="2"/>
        <w:rPr>
          <w:rFonts w:ascii="Times New Roman" w:eastAsia="Times New Roman" w:hAnsi="Times New Roman" w:cs="Times New Roman"/>
          <w:b/>
          <w:bCs/>
          <w:sz w:val="28"/>
          <w:szCs w:val="27"/>
          <w:lang w:eastAsia="fr-FR"/>
        </w:rPr>
      </w:pPr>
      <w:r w:rsidRPr="00D50F4B">
        <w:rPr>
          <w:rFonts w:ascii="Times New Roman" w:eastAsia="Times New Roman" w:hAnsi="Times New Roman" w:cs="Times New Roman"/>
          <w:b/>
          <w:bCs/>
          <w:sz w:val="28"/>
          <w:szCs w:val="27"/>
          <w:lang w:eastAsia="fr-FR"/>
        </w:rPr>
        <w:t>Section 1</w:t>
      </w:r>
      <w:r w:rsidRPr="008A7F8D">
        <w:rPr>
          <w:rFonts w:ascii="Times New Roman" w:eastAsia="Times New Roman" w:hAnsi="Times New Roman" w:cs="Times New Roman"/>
          <w:b/>
          <w:bCs/>
          <w:sz w:val="28"/>
          <w:szCs w:val="27"/>
          <w:lang w:eastAsia="fr-FR"/>
        </w:rPr>
        <w:t xml:space="preserve"> : </w:t>
      </w:r>
      <w:r w:rsidRPr="00D50F4B">
        <w:rPr>
          <w:rFonts w:ascii="Times New Roman" w:eastAsia="Times New Roman" w:hAnsi="Times New Roman" w:cs="Times New Roman"/>
          <w:b/>
          <w:bCs/>
          <w:sz w:val="28"/>
          <w:szCs w:val="27"/>
          <w:lang w:eastAsia="fr-FR"/>
        </w:rPr>
        <w:t>Introduction</w:t>
      </w:r>
    </w:p>
    <w:p w:rsidR="00394756" w:rsidRPr="008A7F8D" w:rsidRDefault="00394756" w:rsidP="00394756">
      <w:pPr>
        <w:spacing w:after="0"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pict>
          <v:rect id="_x0000_i1026" style="width:0;height:1.5pt" o:hralign="center" o:hrstd="t" o:hr="t" fillcolor="#a0a0a0" stroked="f"/>
        </w:pict>
      </w:r>
    </w:p>
    <w:p w:rsidR="00C50DEB" w:rsidRPr="00C50DEB" w:rsidRDefault="00C50DEB" w:rsidP="00C50DEB">
      <w:pPr>
        <w:spacing w:before="100" w:beforeAutospacing="1" w:after="100" w:afterAutospacing="1" w:line="240" w:lineRule="auto"/>
        <w:rPr>
          <w:rFonts w:ascii="Times New Roman" w:eastAsia="Times New Roman" w:hAnsi="Times New Roman" w:cs="Times New Roman"/>
          <w:sz w:val="28"/>
          <w:szCs w:val="24"/>
          <w:lang w:eastAsia="fr-FR"/>
        </w:rPr>
      </w:pPr>
      <w:r w:rsidRPr="00C50DEB">
        <w:rPr>
          <w:rFonts w:ascii="Times New Roman" w:eastAsia="Times New Roman" w:hAnsi="Times New Roman" w:cs="Times New Roman"/>
          <w:sz w:val="28"/>
          <w:szCs w:val="24"/>
          <w:lang w:eastAsia="fr-FR"/>
        </w:rPr>
        <w:t>Dans un contexte de démocratisation de l’enseignement supérieur en ligne, les universités numériques jouent un rôle croissant dans l’accès à l’éducation en Afrique. Toutefois, ces dispositifs rencontrent un défi majeur : le taux élevé d’abandon des apprenants. À l’Université Numérique Cheikh Hamidou Kane (UN-CHK) au Sénégal, bien que l’offre pédagogique soit intégralement numérique et accessible à distance, la problématique de la rétention des étudiants reste prégnante. Cette situation reflète une tendance mondiale, où les cours en ligne affichent des taux d’abandon pouvant dépasser 70 %, comme le rappellent les rapports de l’UNESCO (2022).</w:t>
      </w:r>
    </w:p>
    <w:p w:rsidR="00C50DEB" w:rsidRPr="00C50DEB" w:rsidRDefault="00C50DEB" w:rsidP="00C50DEB">
      <w:pPr>
        <w:spacing w:before="100" w:beforeAutospacing="1" w:after="100" w:afterAutospacing="1" w:line="240" w:lineRule="auto"/>
        <w:rPr>
          <w:rFonts w:ascii="Times New Roman" w:eastAsia="Times New Roman" w:hAnsi="Times New Roman" w:cs="Times New Roman"/>
          <w:sz w:val="28"/>
          <w:szCs w:val="24"/>
          <w:lang w:eastAsia="fr-FR"/>
        </w:rPr>
      </w:pPr>
      <w:r w:rsidRPr="00C50DEB">
        <w:rPr>
          <w:rFonts w:ascii="Times New Roman" w:eastAsia="Times New Roman" w:hAnsi="Times New Roman" w:cs="Times New Roman"/>
          <w:sz w:val="28"/>
          <w:szCs w:val="24"/>
          <w:lang w:eastAsia="fr-FR"/>
        </w:rPr>
        <w:t>Les raisons expliquant ce phénomène sont diverses : manque de suivi personnalisé, isolement social, inadéquation entre le profil de l’apprenant et la formation, ou encore contraintes socio-économiques. Ces difficultés sont exacerbées dans les contextes africains, où les enjeux d’équipement, de connectivité et d’environnement d’étude viennent s’ajouter aux défis pédagogiques.</w:t>
      </w:r>
    </w:p>
    <w:p w:rsidR="00C50DEB" w:rsidRPr="00C50DEB" w:rsidRDefault="00C50DEB" w:rsidP="00C50DEB">
      <w:pPr>
        <w:spacing w:before="100" w:beforeAutospacing="1" w:after="100" w:afterAutospacing="1" w:line="240" w:lineRule="auto"/>
        <w:rPr>
          <w:rFonts w:ascii="Times New Roman" w:eastAsia="Times New Roman" w:hAnsi="Times New Roman" w:cs="Times New Roman"/>
          <w:sz w:val="28"/>
          <w:szCs w:val="24"/>
          <w:lang w:eastAsia="fr-FR"/>
        </w:rPr>
      </w:pPr>
      <w:r w:rsidRPr="00C50DEB">
        <w:rPr>
          <w:rFonts w:ascii="Times New Roman" w:eastAsia="Times New Roman" w:hAnsi="Times New Roman" w:cs="Times New Roman"/>
          <w:sz w:val="28"/>
          <w:szCs w:val="24"/>
          <w:lang w:eastAsia="fr-FR"/>
        </w:rPr>
        <w:t>L’intelligence artificielle (IA), déjà largement mobilisée dans d’autres secteurs (marketing, finance, divertissement) pour améliorer la fidélisation des utilisateurs, représente une piste prometteuse pour renforcer la rétention dans les environnements d’apprentissage en ligne. Des travaux récents ont montré que l’IA peut non seulement prédire les risques d’abandon, mais aussi personnaliser les parcours d’apprentissage et améliorer l’engagement via des systèmes d’interaction intelligente.</w:t>
      </w:r>
    </w:p>
    <w:p w:rsidR="00BD4000" w:rsidRPr="00D50F4B" w:rsidRDefault="00C50DEB" w:rsidP="001C3A20">
      <w:pPr>
        <w:spacing w:before="100" w:beforeAutospacing="1" w:after="100" w:afterAutospacing="1" w:line="240" w:lineRule="auto"/>
        <w:rPr>
          <w:rFonts w:ascii="Times New Roman" w:eastAsia="Times New Roman" w:hAnsi="Times New Roman" w:cs="Times New Roman"/>
          <w:sz w:val="28"/>
          <w:szCs w:val="24"/>
          <w:lang w:eastAsia="fr-FR"/>
        </w:rPr>
      </w:pPr>
      <w:r w:rsidRPr="00C50DEB">
        <w:rPr>
          <w:rFonts w:ascii="Times New Roman" w:eastAsia="Times New Roman" w:hAnsi="Times New Roman" w:cs="Times New Roman"/>
          <w:sz w:val="28"/>
          <w:szCs w:val="24"/>
          <w:lang w:eastAsia="fr-FR"/>
        </w:rPr>
        <w:t>Cette étude vise à valider empiriquement, dans le contexte de l’UN-CHK, les résultats issus d’une revue intersectorielle des solutions d’IA appliquées à la rétention des apprenants. En s’appuyant sur un protocole expérimental déployé sur deux semestres académiques, nous chercherons à mesurer l’impact réel d’outils d’IA ciblés sur le taux de complétion des cours, l’engagement des étudiants et la perception de l’accompagnement pédagogique. Ce travail s’inscrit dans une logique de contextualisation africaine et de mise en œuvre responsable des technologies éducatives intelligentes.</w:t>
      </w:r>
    </w:p>
    <w:p w:rsidR="008A7F8D" w:rsidRPr="00D50F4B" w:rsidRDefault="008A7F8D">
      <w:pPr>
        <w:rPr>
          <w:sz w:val="24"/>
        </w:rPr>
      </w:pPr>
    </w:p>
    <w:p w:rsidR="008A7F8D" w:rsidRPr="008A7F8D" w:rsidRDefault="008A7F8D" w:rsidP="008A7F8D">
      <w:pPr>
        <w:spacing w:before="100" w:beforeAutospacing="1" w:after="100" w:afterAutospacing="1" w:line="240" w:lineRule="auto"/>
        <w:outlineLvl w:val="2"/>
        <w:rPr>
          <w:rFonts w:ascii="Times New Roman" w:eastAsia="Times New Roman" w:hAnsi="Times New Roman" w:cs="Times New Roman"/>
          <w:b/>
          <w:bCs/>
          <w:sz w:val="28"/>
          <w:szCs w:val="27"/>
          <w:lang w:eastAsia="fr-FR"/>
        </w:rPr>
      </w:pPr>
      <w:r w:rsidRPr="008A7F8D">
        <w:rPr>
          <w:rFonts w:ascii="Times New Roman" w:eastAsia="Times New Roman" w:hAnsi="Times New Roman" w:cs="Times New Roman"/>
          <w:b/>
          <w:bCs/>
          <w:sz w:val="28"/>
          <w:szCs w:val="27"/>
          <w:lang w:eastAsia="fr-FR"/>
        </w:rPr>
        <w:t>Section 2 : Contexte et cadre théorique</w:t>
      </w:r>
    </w:p>
    <w:p w:rsidR="008A7F8D" w:rsidRPr="008A7F8D" w:rsidRDefault="008A7F8D" w:rsidP="008A7F8D">
      <w:pPr>
        <w:spacing w:after="0"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lastRenderedPageBreak/>
        <w:pict>
          <v:rect id="_x0000_i1025" style="width:0;height:1.5pt" o:hralign="center" o:hrstd="t" o:hr="t" fillcolor="#a0a0a0" stroked="f"/>
        </w:pict>
      </w:r>
    </w:p>
    <w:p w:rsidR="008A7F8D" w:rsidRPr="008A7F8D" w:rsidRDefault="008A7F8D" w:rsidP="008A7F8D">
      <w:pPr>
        <w:spacing w:before="100" w:beforeAutospacing="1" w:after="100" w:afterAutospacing="1"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t>L’étude s’inscrit dans le prolongement d’un état de l’art interdisciplinaire consacré à l’apport de l’intelligence artificielle (IA) dans l’amélioration de la rétention des apprenants. Trois fonctions principales de l’IA ont été identifiées : la personnalisation adaptative, l’optimisation des parcours, et la prédiction du décrochage. Ces fonctions, bien que développées dans des contextes variés — éducation, marketing, finance ou divertissement —, convergent autour d’un objectif commun : anticiper et réduire les phénomènes de désengagement.</w:t>
      </w:r>
    </w:p>
    <w:p w:rsidR="008A7F8D" w:rsidRPr="008A7F8D" w:rsidRDefault="008A7F8D" w:rsidP="008A7F8D">
      <w:pPr>
        <w:spacing w:before="100" w:beforeAutospacing="1" w:after="100" w:afterAutospacing="1"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t>Pour encadrer théoriquement cette expérimentation, plusieurs modèles ont été mobilisés. Le modèle de persévérance académique de Tinto (1993) met en lumière le rôle fondamental de l’intégration académique et sociale dans la rétention des étudiants. Selon ce modèle, plus un apprenant se sent intégré dans son environnement universitaire, plus il a de chances de persévérer.</w:t>
      </w:r>
    </w:p>
    <w:p w:rsidR="008A7F8D" w:rsidRPr="008A7F8D" w:rsidRDefault="008A7F8D" w:rsidP="008A7F8D">
      <w:pPr>
        <w:spacing w:before="100" w:beforeAutospacing="1" w:after="100" w:afterAutospacing="1"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t>Parallèlement, la théorie de l’engagement développée par Fredricks et al. propose une vision multidimensionnelle de l’implication de l’étudiant, incluant l’engagement comportemental (participation active), émotionnel (motivation, sentiment d’appartenance) et cognitif (efforts de compréhension). Ces dimensions sont directement influençables par des dispositifs d’IA bien conçus, tels que les systèmes de recommandation, les chatbots tutoriels ou les tableaux de bord d’apprentissage.</w:t>
      </w:r>
    </w:p>
    <w:p w:rsidR="008A7F8D" w:rsidRPr="008A7F8D" w:rsidRDefault="008A7F8D" w:rsidP="008A7F8D">
      <w:pPr>
        <w:spacing w:before="100" w:beforeAutospacing="1" w:after="100" w:afterAutospacing="1"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t>Enfin, l’approche constructiviste, notamment à travers la notion de zone proximale de développement de Vygotsky, insiste sur l’importance de l’adaptation des contenus au niveau réel de chaque apprenant. L’IA, par sa capacité à analyser en continu les traces d’apprentissage, offre un levier puissant pour mettre en œuvre un apprentissage personnalisé et évolutif.</w:t>
      </w:r>
    </w:p>
    <w:p w:rsidR="008A7F8D" w:rsidRPr="008A7F8D" w:rsidRDefault="008A7F8D" w:rsidP="008A7F8D">
      <w:pPr>
        <w:spacing w:before="100" w:beforeAutospacing="1" w:after="100" w:afterAutospacing="1" w:line="240" w:lineRule="auto"/>
        <w:rPr>
          <w:rFonts w:ascii="Times New Roman" w:eastAsia="Times New Roman" w:hAnsi="Times New Roman" w:cs="Times New Roman"/>
          <w:sz w:val="28"/>
          <w:szCs w:val="24"/>
          <w:lang w:eastAsia="fr-FR"/>
        </w:rPr>
      </w:pPr>
      <w:r w:rsidRPr="008A7F8D">
        <w:rPr>
          <w:rFonts w:ascii="Times New Roman" w:eastAsia="Times New Roman" w:hAnsi="Times New Roman" w:cs="Times New Roman"/>
          <w:sz w:val="28"/>
          <w:szCs w:val="24"/>
          <w:lang w:eastAsia="fr-FR"/>
        </w:rPr>
        <w:t>Dans ce cadre, l’expérimentation menée à l’UN-CHK vise à tester la pertinence de ces modèles dans un contexte localisé, en adaptant les outils d’IA aux réalités pédagogiques, culturelles et techniques de l’enseignement numérique en Afrique francophone.</w:t>
      </w:r>
    </w:p>
    <w:p w:rsidR="008A7F8D" w:rsidRPr="00D50F4B" w:rsidRDefault="008A7F8D">
      <w:pPr>
        <w:rPr>
          <w:sz w:val="24"/>
        </w:rPr>
      </w:pPr>
    </w:p>
    <w:p w:rsidR="001D0650" w:rsidRPr="00D50F4B" w:rsidRDefault="001D0650" w:rsidP="001D0650">
      <w:pPr>
        <w:pStyle w:val="Titre3"/>
        <w:rPr>
          <w:sz w:val="28"/>
        </w:rPr>
      </w:pPr>
      <w:r w:rsidRPr="00D50F4B">
        <w:rPr>
          <w:sz w:val="28"/>
        </w:rPr>
        <w:t>Section 3 : Objectifs de l’étude (version enrichie)</w:t>
      </w:r>
    </w:p>
    <w:p w:rsidR="001D0650" w:rsidRPr="00D50F4B" w:rsidRDefault="001D0650" w:rsidP="001D0650">
      <w:pPr>
        <w:rPr>
          <w:sz w:val="24"/>
        </w:rPr>
      </w:pPr>
      <w:r w:rsidRPr="00D50F4B">
        <w:rPr>
          <w:sz w:val="24"/>
        </w:rPr>
        <w:pict>
          <v:rect id="_x0000_i1027" style="width:0;height:1.5pt" o:hralign="center" o:hrstd="t" o:hr="t" fillcolor="#a0a0a0" stroked="f"/>
        </w:pict>
      </w:r>
    </w:p>
    <w:p w:rsidR="001D0650" w:rsidRPr="00D50F4B" w:rsidRDefault="001D0650" w:rsidP="001D0650">
      <w:pPr>
        <w:spacing w:before="100" w:beforeAutospacing="1" w:after="100" w:afterAutospacing="1"/>
        <w:rPr>
          <w:sz w:val="24"/>
        </w:rPr>
      </w:pPr>
      <w:r w:rsidRPr="00D50F4B">
        <w:rPr>
          <w:sz w:val="24"/>
        </w:rPr>
        <w:t xml:space="preserve">L’expérimentation conduite à l’Université Numérique Cheikh Hamidou Kane (UN-CHK) a pour objectif principal de valider, dans un contexte réel d’apprentissage en ligne africain, </w:t>
      </w:r>
      <w:r w:rsidRPr="00D50F4B">
        <w:rPr>
          <w:sz w:val="24"/>
        </w:rPr>
        <w:lastRenderedPageBreak/>
        <w:t>l’efficacité de solutions d’intelligence artificielle (IA) appliquées à la rétention des apprenants.</w:t>
      </w:r>
    </w:p>
    <w:p w:rsidR="001D0650" w:rsidRPr="00D50F4B" w:rsidRDefault="001D0650" w:rsidP="001D0650">
      <w:pPr>
        <w:spacing w:before="100" w:beforeAutospacing="1" w:after="100" w:afterAutospacing="1"/>
        <w:rPr>
          <w:sz w:val="24"/>
        </w:rPr>
      </w:pPr>
      <w:r w:rsidRPr="00D50F4B">
        <w:rPr>
          <w:sz w:val="24"/>
        </w:rPr>
        <w:t>Plus spécifiquement, cette étude poursuit les objectifs suivants :</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Identifier les facteurs prédictifs du décrochage</w:t>
      </w:r>
      <w:r w:rsidRPr="00D50F4B">
        <w:rPr>
          <w:sz w:val="24"/>
        </w:rPr>
        <w:br/>
        <w:t>En analysant les données d’interaction et de performance des étudiants (fréquence de connexion, progression dans les modules, participation aux forums, résultats aux évaluations), l’objectif est de repérer les signaux faibles ou précoces associés à l’abandon.</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Évaluer l’impact de dispositifs d’IA personnalisés sur la rétention et l’engagement</w:t>
      </w:r>
      <w:r w:rsidRPr="00D50F4B">
        <w:rPr>
          <w:sz w:val="24"/>
        </w:rPr>
        <w:br/>
        <w:t>Il s’agit de mesurer les effets d’outils IA tels que les systèmes de recommandation pédagogique, les chatbots tutoriels ou les tableaux de bord prédictifs sur le taux de complétion des cours, l’assiduité et l’interaction étudiante.</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Mesurer l’acceptabilité et la perception des outils IA par les usagers</w:t>
      </w:r>
      <w:r w:rsidRPr="00D50F4B">
        <w:rPr>
          <w:sz w:val="24"/>
        </w:rPr>
        <w:br/>
        <w:t>En croisant enquêtes qualitatives et données d’usage, l’étude examine comment les étudiants et les tuteurs perçoivent ces dispositifs : sont-ils utiles, compréhensibles, intrusifs, motivateurs ?</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Tester la faisabilité technique et éthique d’une telle mise en œuvre dans un environnement numérique africain</w:t>
      </w:r>
      <w:r w:rsidRPr="00D50F4B">
        <w:rPr>
          <w:sz w:val="24"/>
        </w:rPr>
        <w:br/>
        <w:t>Cette dimension inclut l’analyse des contraintes d’infrastructure, des conditions d’accès, ainsi que le respect de principes de protection des données, d’explicabilité des algorithmes et d’équité d’usage.</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Évaluer la transférabilité du modèle expérimental vers d’autres universités africaines</w:t>
      </w:r>
      <w:r w:rsidRPr="00D50F4B">
        <w:rPr>
          <w:sz w:val="24"/>
        </w:rPr>
        <w:br/>
        <w:t>En documentant les conditions de réussite et les éventuelles limites rencontrées, l’étude vise à produire un cadre réplicable, pouvant être adapté à d’autres établissements confrontés à des enjeux similaires de rétention en ligne.</w:t>
      </w:r>
    </w:p>
    <w:p w:rsidR="001D0650" w:rsidRPr="00D50F4B" w:rsidRDefault="001D0650" w:rsidP="001D0650">
      <w:pPr>
        <w:numPr>
          <w:ilvl w:val="0"/>
          <w:numId w:val="1"/>
        </w:numPr>
        <w:spacing w:before="100" w:beforeAutospacing="1" w:after="100" w:afterAutospacing="1" w:line="240" w:lineRule="auto"/>
        <w:rPr>
          <w:sz w:val="24"/>
        </w:rPr>
      </w:pPr>
      <w:r w:rsidRPr="00D50F4B">
        <w:rPr>
          <w:rStyle w:val="lev"/>
          <w:sz w:val="24"/>
        </w:rPr>
        <w:t>Former les tuteurs et encadrants à l’usage pédagogique des outils d’IA</w:t>
      </w:r>
      <w:r w:rsidRPr="00D50F4B">
        <w:rPr>
          <w:sz w:val="24"/>
        </w:rPr>
        <w:br/>
        <w:t>Un volet de l’expérimentation est consacré à l’accompagnement des tuteurs dans la prise en main des dispositifs IA, afin de renforcer leur rôle dans l’interprétation des résultats, l’ajustement des parcours, et le soutien aux apprenants.</w:t>
      </w:r>
    </w:p>
    <w:p w:rsidR="001D0650" w:rsidRPr="00D50F4B" w:rsidRDefault="001D0650" w:rsidP="001D0650">
      <w:pPr>
        <w:spacing w:before="100" w:beforeAutospacing="1" w:after="100" w:afterAutospacing="1"/>
        <w:rPr>
          <w:sz w:val="24"/>
        </w:rPr>
      </w:pPr>
      <w:r w:rsidRPr="00D50F4B">
        <w:rPr>
          <w:sz w:val="24"/>
        </w:rPr>
        <w:t>À travers ces six objectifs, l’expérimentation ambitionne non seulement de valider des hypothèses issues de la littérature, mais aussi de produire un référentiel opérationnel adapté et durable pour les universités numériques africaines.</w:t>
      </w:r>
    </w:p>
    <w:p w:rsidR="000D321F" w:rsidRPr="00D50F4B" w:rsidRDefault="000D321F">
      <w:pPr>
        <w:rPr>
          <w:sz w:val="24"/>
        </w:rPr>
      </w:pPr>
    </w:p>
    <w:p w:rsidR="004D2ABC" w:rsidRPr="00D50F4B" w:rsidRDefault="004D2ABC" w:rsidP="004D2ABC">
      <w:pPr>
        <w:pStyle w:val="Titre3"/>
        <w:rPr>
          <w:sz w:val="28"/>
        </w:rPr>
      </w:pPr>
      <w:r w:rsidRPr="00D50F4B">
        <w:rPr>
          <w:sz w:val="28"/>
        </w:rPr>
        <w:t>Section 4 : Méthodologie</w:t>
      </w:r>
    </w:p>
    <w:p w:rsidR="004D2ABC" w:rsidRPr="00D50F4B" w:rsidRDefault="004D2ABC" w:rsidP="004D2ABC">
      <w:pPr>
        <w:rPr>
          <w:sz w:val="24"/>
        </w:rPr>
      </w:pPr>
      <w:r w:rsidRPr="00D50F4B">
        <w:rPr>
          <w:sz w:val="24"/>
        </w:rPr>
        <w:pict>
          <v:rect id="_x0000_i1028" style="width:0;height:1.5pt" o:hralign="center" o:hrstd="t" o:hr="t" fillcolor="#a0a0a0" stroked="f"/>
        </w:pict>
      </w:r>
    </w:p>
    <w:p w:rsidR="004D2ABC" w:rsidRPr="00D50F4B" w:rsidRDefault="004D2ABC" w:rsidP="004D2ABC">
      <w:pPr>
        <w:pStyle w:val="Titre4"/>
        <w:rPr>
          <w:sz w:val="24"/>
        </w:rPr>
      </w:pPr>
      <w:r w:rsidRPr="00D50F4B">
        <w:rPr>
          <w:sz w:val="24"/>
        </w:rPr>
        <w:lastRenderedPageBreak/>
        <w:t>4.1. Design expérimental</w:t>
      </w:r>
    </w:p>
    <w:p w:rsidR="004D2ABC" w:rsidRPr="00D50F4B" w:rsidRDefault="004D2ABC" w:rsidP="004D2ABC">
      <w:pPr>
        <w:spacing w:before="100" w:beforeAutospacing="1" w:after="100" w:afterAutospacing="1"/>
        <w:rPr>
          <w:sz w:val="24"/>
        </w:rPr>
      </w:pPr>
      <w:r w:rsidRPr="00D50F4B">
        <w:rPr>
          <w:sz w:val="24"/>
        </w:rPr>
        <w:t>L’expérimentation repose sur un protocole quasi-expérimental, déployé sur deux semestres académiques à l’Université Numérique Cheikh Hamidou Kane (UN-CHK). Deux groupes d’étudiants ont été constitués :</w:t>
      </w:r>
    </w:p>
    <w:p w:rsidR="004D2ABC" w:rsidRPr="00D50F4B" w:rsidRDefault="004D2ABC" w:rsidP="004D2ABC">
      <w:pPr>
        <w:numPr>
          <w:ilvl w:val="0"/>
          <w:numId w:val="2"/>
        </w:numPr>
        <w:spacing w:before="100" w:beforeAutospacing="1" w:after="100" w:afterAutospacing="1" w:line="240" w:lineRule="auto"/>
        <w:rPr>
          <w:sz w:val="24"/>
        </w:rPr>
      </w:pPr>
      <w:r w:rsidRPr="00D50F4B">
        <w:rPr>
          <w:rStyle w:val="lev"/>
          <w:sz w:val="24"/>
        </w:rPr>
        <w:t>Groupe expérimental</w:t>
      </w:r>
      <w:r w:rsidRPr="00D50F4B">
        <w:rPr>
          <w:sz w:val="24"/>
        </w:rPr>
        <w:t xml:space="preserve"> : bénéficiant des outils IA intégrés à l’environnement numérique d’apprentissage (systèmes de recommandation, chatbot tutoriel, tableau de bord prédictif).</w:t>
      </w:r>
    </w:p>
    <w:p w:rsidR="004D2ABC" w:rsidRPr="00D50F4B" w:rsidRDefault="004D2ABC" w:rsidP="004D2ABC">
      <w:pPr>
        <w:numPr>
          <w:ilvl w:val="0"/>
          <w:numId w:val="2"/>
        </w:numPr>
        <w:spacing w:before="100" w:beforeAutospacing="1" w:after="100" w:afterAutospacing="1" w:line="240" w:lineRule="auto"/>
        <w:rPr>
          <w:sz w:val="24"/>
        </w:rPr>
      </w:pPr>
      <w:r w:rsidRPr="00D50F4B">
        <w:rPr>
          <w:rStyle w:val="lev"/>
          <w:sz w:val="24"/>
        </w:rPr>
        <w:t>Groupe témoin</w:t>
      </w:r>
      <w:r w:rsidRPr="00D50F4B">
        <w:rPr>
          <w:sz w:val="24"/>
        </w:rPr>
        <w:t xml:space="preserve"> : suivant les cours dans les conditions habituelles, sans intervention IA spécifique.</w:t>
      </w:r>
    </w:p>
    <w:p w:rsidR="004D2ABC" w:rsidRPr="00D50F4B" w:rsidRDefault="004D2ABC" w:rsidP="004D2ABC">
      <w:pPr>
        <w:spacing w:before="100" w:beforeAutospacing="1" w:after="100" w:afterAutospacing="1"/>
        <w:rPr>
          <w:sz w:val="24"/>
        </w:rPr>
      </w:pPr>
      <w:r w:rsidRPr="00D50F4B">
        <w:rPr>
          <w:sz w:val="24"/>
        </w:rPr>
        <w:t>Les étudiants sont issus principalement des premières et deuxièmes années de licence, dans des filières à fort taux d’abandon. Le choix de cette population vise à maximiser l’observation des effets des outils sur la rétention effective.</w:t>
      </w:r>
    </w:p>
    <w:p w:rsidR="004D2ABC" w:rsidRPr="00D50F4B" w:rsidRDefault="004D2ABC" w:rsidP="004D2ABC">
      <w:pPr>
        <w:pStyle w:val="Titre4"/>
        <w:rPr>
          <w:sz w:val="24"/>
        </w:rPr>
      </w:pPr>
      <w:r w:rsidRPr="00D50F4B">
        <w:rPr>
          <w:sz w:val="24"/>
        </w:rPr>
        <w:t>4.2. Collecte et traitement des données</w:t>
      </w:r>
    </w:p>
    <w:p w:rsidR="004D2ABC" w:rsidRPr="00D50F4B" w:rsidRDefault="004D2ABC" w:rsidP="004D2ABC">
      <w:pPr>
        <w:spacing w:before="100" w:beforeAutospacing="1" w:after="100" w:afterAutospacing="1"/>
        <w:rPr>
          <w:sz w:val="24"/>
        </w:rPr>
      </w:pPr>
      <w:r w:rsidRPr="00D50F4B">
        <w:rPr>
          <w:sz w:val="24"/>
        </w:rPr>
        <w:t>Plusieurs types de données ont été mobilisés, dans le respect des règles d’éthique et de confidentialité :</w:t>
      </w:r>
    </w:p>
    <w:p w:rsidR="004D2ABC" w:rsidRPr="00D50F4B" w:rsidRDefault="004D2ABC" w:rsidP="004D2ABC">
      <w:pPr>
        <w:numPr>
          <w:ilvl w:val="0"/>
          <w:numId w:val="3"/>
        </w:numPr>
        <w:spacing w:before="100" w:beforeAutospacing="1" w:after="100" w:afterAutospacing="1" w:line="240" w:lineRule="auto"/>
        <w:rPr>
          <w:sz w:val="24"/>
        </w:rPr>
      </w:pPr>
      <w:r w:rsidRPr="00D50F4B">
        <w:rPr>
          <w:rStyle w:val="lev"/>
          <w:sz w:val="24"/>
        </w:rPr>
        <w:t>Données d’apprentissage</w:t>
      </w:r>
      <w:r w:rsidRPr="00D50F4B">
        <w:rPr>
          <w:sz w:val="24"/>
        </w:rPr>
        <w:t xml:space="preserve"> : historiques de connexion (temps, fréquence), progression dans les modules, scores aux quiz, activité sur les forums et dans les classes virtuelles.</w:t>
      </w:r>
    </w:p>
    <w:p w:rsidR="004D2ABC" w:rsidRPr="00D50F4B" w:rsidRDefault="004D2ABC" w:rsidP="004D2ABC">
      <w:pPr>
        <w:numPr>
          <w:ilvl w:val="0"/>
          <w:numId w:val="3"/>
        </w:numPr>
        <w:spacing w:before="100" w:beforeAutospacing="1" w:after="100" w:afterAutospacing="1" w:line="240" w:lineRule="auto"/>
        <w:rPr>
          <w:sz w:val="24"/>
        </w:rPr>
      </w:pPr>
      <w:r w:rsidRPr="00D50F4B">
        <w:rPr>
          <w:rStyle w:val="lev"/>
          <w:sz w:val="24"/>
        </w:rPr>
        <w:t>Données contextuelles</w:t>
      </w:r>
      <w:r w:rsidRPr="00D50F4B">
        <w:rPr>
          <w:sz w:val="24"/>
        </w:rPr>
        <w:t xml:space="preserve"> : lieu de résidence, qualité de la connexion Internet, équipements disponibles.</w:t>
      </w:r>
    </w:p>
    <w:p w:rsidR="004D2ABC" w:rsidRPr="00D50F4B" w:rsidRDefault="004D2ABC" w:rsidP="004D2ABC">
      <w:pPr>
        <w:numPr>
          <w:ilvl w:val="0"/>
          <w:numId w:val="3"/>
        </w:numPr>
        <w:spacing w:before="100" w:beforeAutospacing="1" w:after="100" w:afterAutospacing="1" w:line="240" w:lineRule="auto"/>
        <w:rPr>
          <w:sz w:val="24"/>
        </w:rPr>
      </w:pPr>
      <w:r w:rsidRPr="00D50F4B">
        <w:rPr>
          <w:rStyle w:val="lev"/>
          <w:sz w:val="24"/>
        </w:rPr>
        <w:t>Données qualitatives</w:t>
      </w:r>
      <w:r w:rsidRPr="00D50F4B">
        <w:rPr>
          <w:sz w:val="24"/>
        </w:rPr>
        <w:t xml:space="preserve"> : entretiens semi-directifs, questionnaires d’acceptabilité, retours des tuteurs.</w:t>
      </w:r>
    </w:p>
    <w:p w:rsidR="004D2ABC" w:rsidRPr="00D50F4B" w:rsidRDefault="004D2ABC" w:rsidP="004D2ABC">
      <w:pPr>
        <w:spacing w:before="100" w:beforeAutospacing="1" w:after="100" w:afterAutospacing="1"/>
        <w:rPr>
          <w:sz w:val="24"/>
        </w:rPr>
      </w:pPr>
      <w:r w:rsidRPr="00D50F4B">
        <w:rPr>
          <w:sz w:val="24"/>
        </w:rPr>
        <w:t>Ces données ont été pseudonymisées et traitées sous des formats standards (CSV/JSON) compatibles avec des outils d’analyse comme Python, R et Power BI. Des procédures d’anonymisation par hachage ont été appliquées pour garantir la conformité avec les exigences du RGPD.</w:t>
      </w:r>
    </w:p>
    <w:p w:rsidR="004D2ABC" w:rsidRPr="00D50F4B" w:rsidRDefault="004D2ABC" w:rsidP="004D2ABC">
      <w:pPr>
        <w:pStyle w:val="Titre4"/>
        <w:rPr>
          <w:sz w:val="24"/>
        </w:rPr>
      </w:pPr>
      <w:r w:rsidRPr="00D50F4B">
        <w:rPr>
          <w:sz w:val="24"/>
        </w:rPr>
        <w:t>4.3. Dispositifs IA déployés</w:t>
      </w:r>
    </w:p>
    <w:p w:rsidR="004D2ABC" w:rsidRPr="00D50F4B" w:rsidRDefault="004D2ABC" w:rsidP="004D2ABC">
      <w:pPr>
        <w:spacing w:before="100" w:beforeAutospacing="1" w:after="100" w:afterAutospacing="1"/>
        <w:rPr>
          <w:sz w:val="24"/>
        </w:rPr>
      </w:pPr>
      <w:r w:rsidRPr="00D50F4B">
        <w:rPr>
          <w:sz w:val="24"/>
        </w:rPr>
        <w:t>Plusieurs solutions d’IA, sélectionnées sur la base de la revue de littérature préalable, ont été intégrées dans l’environnement numérique d’apprentissage de l’UN-CHK :</w:t>
      </w:r>
    </w:p>
    <w:p w:rsidR="004D2ABC" w:rsidRPr="00D50F4B" w:rsidRDefault="004D2ABC" w:rsidP="004D2ABC">
      <w:pPr>
        <w:numPr>
          <w:ilvl w:val="0"/>
          <w:numId w:val="4"/>
        </w:numPr>
        <w:spacing w:before="100" w:beforeAutospacing="1" w:after="100" w:afterAutospacing="1" w:line="240" w:lineRule="auto"/>
        <w:rPr>
          <w:sz w:val="24"/>
        </w:rPr>
      </w:pPr>
      <w:r w:rsidRPr="00D50F4B">
        <w:rPr>
          <w:rStyle w:val="lev"/>
          <w:sz w:val="24"/>
        </w:rPr>
        <w:t>Clustering de profils étudiants</w:t>
      </w:r>
      <w:r w:rsidRPr="00D50F4B">
        <w:rPr>
          <w:sz w:val="24"/>
        </w:rPr>
        <w:t xml:space="preserve"> : à l’aide des algorithmes K-means et ECM (clustering évidentiel), les apprenants ont été regroupés selon leurs comportements d’apprentissage afin de personnaliser les parcours.</w:t>
      </w:r>
    </w:p>
    <w:p w:rsidR="004D2ABC" w:rsidRPr="00D50F4B" w:rsidRDefault="004D2ABC" w:rsidP="004D2ABC">
      <w:pPr>
        <w:numPr>
          <w:ilvl w:val="0"/>
          <w:numId w:val="4"/>
        </w:numPr>
        <w:spacing w:before="100" w:beforeAutospacing="1" w:after="100" w:afterAutospacing="1" w:line="240" w:lineRule="auto"/>
        <w:rPr>
          <w:sz w:val="24"/>
        </w:rPr>
      </w:pPr>
      <w:r w:rsidRPr="00D50F4B">
        <w:rPr>
          <w:rStyle w:val="lev"/>
          <w:sz w:val="24"/>
        </w:rPr>
        <w:t>Système de recommandation pédagogique</w:t>
      </w:r>
      <w:r w:rsidRPr="00D50F4B">
        <w:rPr>
          <w:sz w:val="24"/>
        </w:rPr>
        <w:t xml:space="preserve"> : proposant des contenus adaptés au profil, au rythme et au niveau des apprenants, basé sur un filtrage collaboratif et le niveau de complétion des modules.</w:t>
      </w:r>
    </w:p>
    <w:p w:rsidR="004D2ABC" w:rsidRPr="00D50F4B" w:rsidRDefault="004D2ABC" w:rsidP="004D2ABC">
      <w:pPr>
        <w:numPr>
          <w:ilvl w:val="0"/>
          <w:numId w:val="4"/>
        </w:numPr>
        <w:spacing w:before="100" w:beforeAutospacing="1" w:after="100" w:afterAutospacing="1" w:line="240" w:lineRule="auto"/>
        <w:rPr>
          <w:sz w:val="24"/>
        </w:rPr>
      </w:pPr>
      <w:r w:rsidRPr="00D50F4B">
        <w:rPr>
          <w:rStyle w:val="lev"/>
          <w:sz w:val="24"/>
        </w:rPr>
        <w:lastRenderedPageBreak/>
        <w:t>Chatbot tutoriel</w:t>
      </w:r>
      <w:r w:rsidRPr="00D50F4B">
        <w:rPr>
          <w:sz w:val="24"/>
        </w:rPr>
        <w:t xml:space="preserve"> : développé avec Rasa ou Dialogflow, il fournit un accompagnement automatisé, des rappels personnalisés et des réponses contextuelles aux questions pédagogiques.</w:t>
      </w:r>
    </w:p>
    <w:p w:rsidR="004D2ABC" w:rsidRPr="00D50F4B" w:rsidRDefault="004D2ABC" w:rsidP="004D2ABC">
      <w:pPr>
        <w:numPr>
          <w:ilvl w:val="0"/>
          <w:numId w:val="4"/>
        </w:numPr>
        <w:spacing w:before="100" w:beforeAutospacing="1" w:after="100" w:afterAutospacing="1" w:line="240" w:lineRule="auto"/>
        <w:rPr>
          <w:sz w:val="24"/>
        </w:rPr>
      </w:pPr>
      <w:r w:rsidRPr="00D50F4B">
        <w:rPr>
          <w:rStyle w:val="lev"/>
          <w:sz w:val="24"/>
        </w:rPr>
        <w:t>Tableau de bord prédictif</w:t>
      </w:r>
      <w:r w:rsidRPr="00D50F4B">
        <w:rPr>
          <w:sz w:val="24"/>
        </w:rPr>
        <w:t xml:space="preserve"> : à destination des tuteurs, basé sur des modèles Random Forest et XGBoost, permettant d’identifier en temps réel les étudiants à risque de décrochage.</w:t>
      </w:r>
    </w:p>
    <w:p w:rsidR="004D2ABC" w:rsidRPr="00D50F4B" w:rsidRDefault="004D2ABC" w:rsidP="004D2ABC">
      <w:pPr>
        <w:pStyle w:val="Titre4"/>
        <w:rPr>
          <w:sz w:val="24"/>
        </w:rPr>
      </w:pPr>
      <w:r w:rsidRPr="00D50F4B">
        <w:rPr>
          <w:sz w:val="24"/>
        </w:rPr>
        <w:t>4.4. Indicateurs d’évaluation</w:t>
      </w:r>
    </w:p>
    <w:p w:rsidR="004D2ABC" w:rsidRPr="00D50F4B" w:rsidRDefault="004D2ABC" w:rsidP="004D2ABC">
      <w:pPr>
        <w:spacing w:before="100" w:beforeAutospacing="1" w:after="100" w:afterAutospacing="1"/>
        <w:rPr>
          <w:sz w:val="24"/>
        </w:rPr>
      </w:pPr>
      <w:r w:rsidRPr="00D50F4B">
        <w:rPr>
          <w:sz w:val="24"/>
        </w:rPr>
        <w:t>L’évaluation de l’expérimentation s’appuie sur un croisement d’indicateurs quantitatifs et qualitatifs :</w:t>
      </w:r>
    </w:p>
    <w:p w:rsidR="004D2ABC" w:rsidRPr="00D50F4B" w:rsidRDefault="004D2ABC" w:rsidP="004D2ABC">
      <w:pPr>
        <w:numPr>
          <w:ilvl w:val="0"/>
          <w:numId w:val="5"/>
        </w:numPr>
        <w:spacing w:before="100" w:beforeAutospacing="1" w:after="100" w:afterAutospacing="1" w:line="240" w:lineRule="auto"/>
        <w:rPr>
          <w:sz w:val="24"/>
        </w:rPr>
      </w:pPr>
      <w:r w:rsidRPr="00D50F4B">
        <w:rPr>
          <w:rStyle w:val="lev"/>
          <w:sz w:val="24"/>
        </w:rPr>
        <w:t>Rétention</w:t>
      </w:r>
      <w:r w:rsidRPr="00D50F4B">
        <w:rPr>
          <w:sz w:val="24"/>
        </w:rPr>
        <w:t xml:space="preserve"> : taux de complétion des cours et d’assiduité aux activités en ligne.</w:t>
      </w:r>
    </w:p>
    <w:p w:rsidR="004D2ABC" w:rsidRPr="00D50F4B" w:rsidRDefault="004D2ABC" w:rsidP="004D2ABC">
      <w:pPr>
        <w:numPr>
          <w:ilvl w:val="0"/>
          <w:numId w:val="5"/>
        </w:numPr>
        <w:spacing w:before="100" w:beforeAutospacing="1" w:after="100" w:afterAutospacing="1" w:line="240" w:lineRule="auto"/>
        <w:rPr>
          <w:sz w:val="24"/>
        </w:rPr>
      </w:pPr>
      <w:r w:rsidRPr="00D50F4B">
        <w:rPr>
          <w:rStyle w:val="lev"/>
          <w:sz w:val="24"/>
        </w:rPr>
        <w:t>Engagement</w:t>
      </w:r>
      <w:r w:rsidRPr="00D50F4B">
        <w:rPr>
          <w:sz w:val="24"/>
        </w:rPr>
        <w:t xml:space="preserve"> : fréquence de connexion, temps passé, participation aux forums.</w:t>
      </w:r>
    </w:p>
    <w:p w:rsidR="004D2ABC" w:rsidRPr="00D50F4B" w:rsidRDefault="004D2ABC" w:rsidP="004D2ABC">
      <w:pPr>
        <w:numPr>
          <w:ilvl w:val="0"/>
          <w:numId w:val="5"/>
        </w:numPr>
        <w:spacing w:before="100" w:beforeAutospacing="1" w:after="100" w:afterAutospacing="1" w:line="240" w:lineRule="auto"/>
        <w:rPr>
          <w:sz w:val="24"/>
        </w:rPr>
      </w:pPr>
      <w:r w:rsidRPr="00D50F4B">
        <w:rPr>
          <w:rStyle w:val="lev"/>
          <w:sz w:val="24"/>
        </w:rPr>
        <w:t>Performance académique</w:t>
      </w:r>
      <w:r w:rsidRPr="00D50F4B">
        <w:rPr>
          <w:sz w:val="24"/>
        </w:rPr>
        <w:t xml:space="preserve"> : progression dans les modules, moyenne obtenue aux évaluations.</w:t>
      </w:r>
    </w:p>
    <w:p w:rsidR="004D2ABC" w:rsidRPr="00D50F4B" w:rsidRDefault="004D2ABC" w:rsidP="004D2ABC">
      <w:pPr>
        <w:numPr>
          <w:ilvl w:val="0"/>
          <w:numId w:val="5"/>
        </w:numPr>
        <w:spacing w:before="100" w:beforeAutospacing="1" w:after="100" w:afterAutospacing="1" w:line="240" w:lineRule="auto"/>
        <w:rPr>
          <w:sz w:val="24"/>
        </w:rPr>
      </w:pPr>
      <w:r w:rsidRPr="00D50F4B">
        <w:rPr>
          <w:rStyle w:val="lev"/>
          <w:sz w:val="24"/>
        </w:rPr>
        <w:t>Précision des modèles IA</w:t>
      </w:r>
      <w:r w:rsidRPr="00D50F4B">
        <w:rPr>
          <w:sz w:val="24"/>
        </w:rPr>
        <w:t xml:space="preserve"> : F1-score, courbe ROC, taux de faux positifs/négatifs.</w:t>
      </w:r>
    </w:p>
    <w:p w:rsidR="004D2ABC" w:rsidRPr="00D50F4B" w:rsidRDefault="004D2ABC" w:rsidP="004D2ABC">
      <w:pPr>
        <w:numPr>
          <w:ilvl w:val="0"/>
          <w:numId w:val="5"/>
        </w:numPr>
        <w:spacing w:before="100" w:beforeAutospacing="1" w:after="100" w:afterAutospacing="1" w:line="240" w:lineRule="auto"/>
        <w:rPr>
          <w:sz w:val="24"/>
        </w:rPr>
      </w:pPr>
      <w:r w:rsidRPr="00D50F4B">
        <w:rPr>
          <w:rStyle w:val="lev"/>
          <w:sz w:val="24"/>
        </w:rPr>
        <w:t>Acceptabilité</w:t>
      </w:r>
      <w:r w:rsidRPr="00D50F4B">
        <w:rPr>
          <w:sz w:val="24"/>
        </w:rPr>
        <w:t xml:space="preserve"> : résultats des questionnaires de satisfaction, taux d’usage effectif des outils, retour des utilisateurs sur la pertinence des recommandations.</w:t>
      </w:r>
    </w:p>
    <w:p w:rsidR="00271A08" w:rsidRPr="00271A08" w:rsidRDefault="004D2ABC" w:rsidP="00271A08">
      <w:pPr>
        <w:numPr>
          <w:ilvl w:val="0"/>
          <w:numId w:val="5"/>
        </w:numPr>
        <w:spacing w:before="100" w:beforeAutospacing="1" w:after="100" w:afterAutospacing="1" w:line="240" w:lineRule="auto"/>
        <w:rPr>
          <w:sz w:val="24"/>
        </w:rPr>
      </w:pPr>
      <w:r w:rsidRPr="00D50F4B">
        <w:rPr>
          <w:rStyle w:val="lev"/>
          <w:sz w:val="24"/>
        </w:rPr>
        <w:t>Impact pédagogique perçu</w:t>
      </w:r>
      <w:r w:rsidRPr="00D50F4B">
        <w:rPr>
          <w:sz w:val="24"/>
        </w:rPr>
        <w:t xml:space="preserve"> : mesure du sentiment d’accompagnement et de motivation exprimé par les étudiants et les tuteurs.</w:t>
      </w:r>
    </w:p>
    <w:p w:rsidR="004D2ABC" w:rsidRDefault="00271A08" w:rsidP="00271A08">
      <w:pPr>
        <w:jc w:val="center"/>
        <w:rPr>
          <w:sz w:val="24"/>
        </w:rPr>
      </w:pPr>
      <w:r w:rsidRPr="00271A08">
        <w:rPr>
          <w:noProof/>
          <w:sz w:val="24"/>
          <w:lang w:eastAsia="fr-FR"/>
        </w:rPr>
        <w:drawing>
          <wp:inline distT="0" distB="0" distL="0" distR="0">
            <wp:extent cx="2462530" cy="4131281"/>
            <wp:effectExtent l="0" t="0" r="0" b="3175"/>
            <wp:docPr id="1" name="Image 1" descr="E:\Dudu\Docs\Doctorat\ETAT DE L'ART\Pictures\proto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udu\Docs\Doctorat\ETAT DE L'ART\Pictures\protocole.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530" t="1271" r="9706" b="8418"/>
                    <a:stretch/>
                  </pic:blipFill>
                  <pic:spPr bwMode="auto">
                    <a:xfrm>
                      <a:off x="0" y="0"/>
                      <a:ext cx="2470246" cy="4144226"/>
                    </a:xfrm>
                    <a:prstGeom prst="rect">
                      <a:avLst/>
                    </a:prstGeom>
                    <a:noFill/>
                    <a:ln>
                      <a:noFill/>
                    </a:ln>
                    <a:extLst>
                      <a:ext uri="{53640926-AAD7-44D8-BBD7-CCE9431645EC}">
                        <a14:shadowObscured xmlns:a14="http://schemas.microsoft.com/office/drawing/2010/main"/>
                      </a:ext>
                    </a:extLst>
                  </pic:spPr>
                </pic:pic>
              </a:graphicData>
            </a:graphic>
          </wp:inline>
        </w:drawing>
      </w:r>
    </w:p>
    <w:p w:rsidR="00AD42A7" w:rsidRPr="00E51FC4" w:rsidRDefault="00E51FC4" w:rsidP="00E51FC4">
      <w:pPr>
        <w:jc w:val="center"/>
        <w:rPr>
          <w:sz w:val="24"/>
          <w:u w:val="single"/>
        </w:rPr>
      </w:pPr>
      <w:r w:rsidRPr="00E51FC4">
        <w:rPr>
          <w:rStyle w:val="lev"/>
          <w:u w:val="single"/>
        </w:rPr>
        <w:t xml:space="preserve">Figure </w:t>
      </w:r>
      <w:r w:rsidR="007B1A16">
        <w:rPr>
          <w:rStyle w:val="lev"/>
          <w:u w:val="single"/>
        </w:rPr>
        <w:t>1</w:t>
      </w:r>
      <w:r w:rsidR="007B1A16">
        <w:rPr>
          <w:u w:val="single"/>
        </w:rPr>
        <w:t xml:space="preserve"> : Protocole expérimental</w:t>
      </w:r>
    </w:p>
    <w:p w:rsidR="00AF6759" w:rsidRPr="00AF6759" w:rsidRDefault="00AF6759" w:rsidP="00AF6759">
      <w:pPr>
        <w:pStyle w:val="Titre2"/>
        <w:rPr>
          <w:rFonts w:ascii="Times New Roman" w:hAnsi="Times New Roman" w:cs="Times New Roman"/>
          <w:color w:val="auto"/>
          <w:sz w:val="27"/>
          <w:szCs w:val="27"/>
        </w:rPr>
      </w:pPr>
      <w:r w:rsidRPr="00AF6759">
        <w:rPr>
          <w:rStyle w:val="lev"/>
          <w:rFonts w:ascii="Times New Roman" w:hAnsi="Times New Roman" w:cs="Times New Roman"/>
          <w:bCs w:val="0"/>
          <w:color w:val="auto"/>
          <w:sz w:val="27"/>
          <w:szCs w:val="27"/>
        </w:rPr>
        <w:lastRenderedPageBreak/>
        <w:t>Section 5 : Résultats</w:t>
      </w:r>
    </w:p>
    <w:p w:rsidR="00AF6759" w:rsidRDefault="00AF6759" w:rsidP="00AF6759">
      <w:r>
        <w:pict>
          <v:rect id="_x0000_i1029" style="width:0;height:1.5pt" o:hralign="center" o:hrstd="t" o:hr="t" fillcolor="#a0a0a0" stroked="f"/>
        </w:pict>
      </w:r>
    </w:p>
    <w:p w:rsidR="00AF6759" w:rsidRDefault="00AF6759" w:rsidP="00AF6759">
      <w:pPr>
        <w:pStyle w:val="Titre3"/>
      </w:pPr>
      <w:r>
        <w:rPr>
          <w:rStyle w:val="lev"/>
          <w:b/>
          <w:bCs/>
        </w:rPr>
        <w:t>Version 1 : Trame vierge à remplir</w:t>
      </w:r>
    </w:p>
    <w:p w:rsidR="00AF6759" w:rsidRDefault="00AF6759" w:rsidP="00AF6759">
      <w:pPr>
        <w:pStyle w:val="Titre4"/>
      </w:pPr>
      <w:r>
        <w:t>5.1 Rétention et taux de complétion</w:t>
      </w:r>
    </w:p>
    <w:p w:rsidR="00AF6759" w:rsidRDefault="00AF6759" w:rsidP="00AF6759">
      <w:pPr>
        <w:numPr>
          <w:ilvl w:val="0"/>
          <w:numId w:val="6"/>
        </w:numPr>
        <w:spacing w:before="100" w:beforeAutospacing="1" w:after="100" w:afterAutospacing="1" w:line="240" w:lineRule="auto"/>
      </w:pPr>
      <w:r>
        <w:t>Taux de complétion moyen dans le groupe témoin : … %</w:t>
      </w:r>
    </w:p>
    <w:p w:rsidR="00AF6759" w:rsidRDefault="00AF6759" w:rsidP="00AF6759">
      <w:pPr>
        <w:numPr>
          <w:ilvl w:val="0"/>
          <w:numId w:val="6"/>
        </w:numPr>
        <w:spacing w:before="100" w:beforeAutospacing="1" w:after="100" w:afterAutospacing="1" w:line="240" w:lineRule="auto"/>
      </w:pPr>
      <w:r>
        <w:t>Taux de complétion moyen dans le groupe expérimental : … %</w:t>
      </w:r>
    </w:p>
    <w:p w:rsidR="00AF6759" w:rsidRDefault="00AF6759" w:rsidP="00AF6759">
      <w:pPr>
        <w:numPr>
          <w:ilvl w:val="0"/>
          <w:numId w:val="6"/>
        </w:numPr>
        <w:spacing w:before="100" w:beforeAutospacing="1" w:after="100" w:afterAutospacing="1" w:line="240" w:lineRule="auto"/>
      </w:pPr>
      <w:r>
        <w:t>Évolution du taux d’abandon par rapport au semestre précédent : … %</w:t>
      </w:r>
    </w:p>
    <w:p w:rsidR="00AF6759" w:rsidRDefault="00AF6759" w:rsidP="00AF6759">
      <w:pPr>
        <w:pStyle w:val="Titre4"/>
      </w:pPr>
      <w:r>
        <w:t>5.2 Engagement des étudiants</w:t>
      </w:r>
    </w:p>
    <w:p w:rsidR="00AF6759" w:rsidRDefault="00AF6759" w:rsidP="00AF6759">
      <w:pPr>
        <w:numPr>
          <w:ilvl w:val="0"/>
          <w:numId w:val="7"/>
        </w:numPr>
        <w:spacing w:before="100" w:beforeAutospacing="1" w:after="100" w:afterAutospacing="1" w:line="240" w:lineRule="auto"/>
      </w:pPr>
      <w:r>
        <w:t>Nombre moyen de connexions hebdomadaires (groupe témoin / expérimental) : … / …</w:t>
      </w:r>
    </w:p>
    <w:p w:rsidR="00AF6759" w:rsidRDefault="00AF6759" w:rsidP="00AF6759">
      <w:pPr>
        <w:numPr>
          <w:ilvl w:val="0"/>
          <w:numId w:val="7"/>
        </w:numPr>
        <w:spacing w:before="100" w:beforeAutospacing="1" w:after="100" w:afterAutospacing="1" w:line="240" w:lineRule="auto"/>
      </w:pPr>
      <w:r>
        <w:t>Temps moyen passé sur la plateforme : … minutes/jour</w:t>
      </w:r>
    </w:p>
    <w:p w:rsidR="00AF6759" w:rsidRDefault="00AF6759" w:rsidP="00AF6759">
      <w:pPr>
        <w:numPr>
          <w:ilvl w:val="0"/>
          <w:numId w:val="7"/>
        </w:numPr>
        <w:spacing w:before="100" w:beforeAutospacing="1" w:after="100" w:afterAutospacing="1" w:line="240" w:lineRule="auto"/>
      </w:pPr>
      <w:r>
        <w:t>Participation aux forums / classes virtuelles : … interventions / étudiant</w:t>
      </w:r>
    </w:p>
    <w:p w:rsidR="00AF6759" w:rsidRDefault="00AF6759" w:rsidP="00AF6759">
      <w:pPr>
        <w:pStyle w:val="Titre4"/>
      </w:pPr>
      <w:r>
        <w:t>5.3 Performance académique</w:t>
      </w:r>
    </w:p>
    <w:p w:rsidR="00AF6759" w:rsidRDefault="00AF6759" w:rsidP="00AF6759">
      <w:pPr>
        <w:numPr>
          <w:ilvl w:val="0"/>
          <w:numId w:val="8"/>
        </w:numPr>
        <w:spacing w:before="100" w:beforeAutospacing="1" w:after="100" w:afterAutospacing="1" w:line="240" w:lineRule="auto"/>
      </w:pPr>
      <w:r>
        <w:t>Moyenne générale aux évaluations : … /20 (témoin) vs … /20 (expérimental)</w:t>
      </w:r>
    </w:p>
    <w:p w:rsidR="00AF6759" w:rsidRDefault="00AF6759" w:rsidP="00AF6759">
      <w:pPr>
        <w:numPr>
          <w:ilvl w:val="0"/>
          <w:numId w:val="8"/>
        </w:numPr>
        <w:spacing w:before="100" w:beforeAutospacing="1" w:after="100" w:afterAutospacing="1" w:line="240" w:lineRule="auto"/>
      </w:pPr>
      <w:r>
        <w:t>Taux de progression module par module : …</w:t>
      </w:r>
    </w:p>
    <w:p w:rsidR="00AF6759" w:rsidRDefault="00AF6759" w:rsidP="00AF6759">
      <w:pPr>
        <w:pStyle w:val="Titre4"/>
      </w:pPr>
      <w:r>
        <w:t>5.4 Précision des modèles prédictifs</w:t>
      </w:r>
    </w:p>
    <w:p w:rsidR="00AF6759" w:rsidRDefault="00AF6759" w:rsidP="00AF6759">
      <w:pPr>
        <w:numPr>
          <w:ilvl w:val="0"/>
          <w:numId w:val="9"/>
        </w:numPr>
        <w:spacing w:before="100" w:beforeAutospacing="1" w:after="100" w:afterAutospacing="1" w:line="240" w:lineRule="auto"/>
      </w:pPr>
      <w:r>
        <w:t>Modèle utilisé : (Random Forest, XGBoost, etc.)</w:t>
      </w:r>
    </w:p>
    <w:p w:rsidR="00AF6759" w:rsidRDefault="00AF6759" w:rsidP="00AF6759">
      <w:pPr>
        <w:numPr>
          <w:ilvl w:val="0"/>
          <w:numId w:val="9"/>
        </w:numPr>
        <w:spacing w:before="100" w:beforeAutospacing="1" w:after="100" w:afterAutospacing="1" w:line="240" w:lineRule="auto"/>
      </w:pPr>
      <w:r>
        <w:t>F1-score : …</w:t>
      </w:r>
    </w:p>
    <w:p w:rsidR="00AF6759" w:rsidRDefault="00AF6759" w:rsidP="00AF6759">
      <w:pPr>
        <w:numPr>
          <w:ilvl w:val="0"/>
          <w:numId w:val="9"/>
        </w:numPr>
        <w:spacing w:before="100" w:beforeAutospacing="1" w:after="100" w:afterAutospacing="1" w:line="240" w:lineRule="auto"/>
      </w:pPr>
      <w:r>
        <w:t>AUC ROC : …</w:t>
      </w:r>
    </w:p>
    <w:p w:rsidR="00AF6759" w:rsidRDefault="00AF6759" w:rsidP="00AF6759">
      <w:pPr>
        <w:numPr>
          <w:ilvl w:val="0"/>
          <w:numId w:val="9"/>
        </w:numPr>
        <w:spacing w:before="100" w:beforeAutospacing="1" w:after="100" w:afterAutospacing="1" w:line="240" w:lineRule="auto"/>
      </w:pPr>
      <w:r>
        <w:t>Taux de faux positifs / faux négatifs : … % / … %</w:t>
      </w:r>
    </w:p>
    <w:p w:rsidR="00AF6759" w:rsidRDefault="00AF6759" w:rsidP="00AF6759">
      <w:pPr>
        <w:pStyle w:val="Titre4"/>
      </w:pPr>
      <w:r>
        <w:t>5.5 Résultats qualitatifs</w:t>
      </w:r>
    </w:p>
    <w:p w:rsidR="00AF6759" w:rsidRDefault="00AF6759" w:rsidP="00AF6759">
      <w:pPr>
        <w:numPr>
          <w:ilvl w:val="0"/>
          <w:numId w:val="10"/>
        </w:numPr>
        <w:spacing w:before="100" w:beforeAutospacing="1" w:after="100" w:afterAutospacing="1" w:line="240" w:lineRule="auto"/>
      </w:pPr>
      <w:r>
        <w:t>Satisfaction globale des étudiants : … % (élevée / moyenne / faible)</w:t>
      </w:r>
    </w:p>
    <w:p w:rsidR="00AF6759" w:rsidRDefault="00AF6759" w:rsidP="00AF6759">
      <w:pPr>
        <w:numPr>
          <w:ilvl w:val="0"/>
          <w:numId w:val="10"/>
        </w:numPr>
        <w:spacing w:before="100" w:beforeAutospacing="1" w:after="100" w:afterAutospacing="1" w:line="240" w:lineRule="auto"/>
      </w:pPr>
      <w:r>
        <w:t>Retours sur l’utilité des recommandations personnalisées : …</w:t>
      </w:r>
    </w:p>
    <w:p w:rsidR="00AF6759" w:rsidRDefault="00AF6759" w:rsidP="00AF6759">
      <w:pPr>
        <w:numPr>
          <w:ilvl w:val="0"/>
          <w:numId w:val="10"/>
        </w:numPr>
        <w:spacing w:before="100" w:beforeAutospacing="1" w:after="100" w:afterAutospacing="1" w:line="240" w:lineRule="auto"/>
      </w:pPr>
      <w:r>
        <w:t>Niveau de compréhension des interventions IA : …</w:t>
      </w:r>
    </w:p>
    <w:p w:rsidR="00AF6759" w:rsidRDefault="00AF6759" w:rsidP="00AF6759">
      <w:pPr>
        <w:numPr>
          <w:ilvl w:val="0"/>
          <w:numId w:val="10"/>
        </w:numPr>
        <w:spacing w:before="100" w:beforeAutospacing="1" w:after="100" w:afterAutospacing="1" w:line="240" w:lineRule="auto"/>
      </w:pPr>
      <w:r>
        <w:t>Appréciation du chatbot (ergonomie, réactivité) : …</w:t>
      </w:r>
    </w:p>
    <w:p w:rsidR="00AF6759" w:rsidRDefault="00AF6759" w:rsidP="00AF6759">
      <w:pPr>
        <w:spacing w:after="0"/>
      </w:pPr>
      <w:r>
        <w:pict>
          <v:rect id="_x0000_i1030" style="width:0;height:1.5pt" o:hralign="center" o:hrstd="t" o:hr="t" fillcolor="#a0a0a0" stroked="f"/>
        </w:pict>
      </w:r>
    </w:p>
    <w:p w:rsidR="00AF6759" w:rsidRDefault="00AF6759" w:rsidP="00AF6759">
      <w:pPr>
        <w:pStyle w:val="Titre3"/>
      </w:pPr>
      <w:r>
        <w:rPr>
          <w:rStyle w:val="lev"/>
          <w:b/>
          <w:bCs/>
        </w:rPr>
        <w:t>Version 2 : Résultats projetés / simulés</w:t>
      </w:r>
    </w:p>
    <w:p w:rsidR="00AF6759" w:rsidRDefault="00AF6759" w:rsidP="00AF6759">
      <w:pPr>
        <w:pStyle w:val="Titre4"/>
      </w:pPr>
      <w:r>
        <w:t>5.1 Rétention et taux de complétion</w:t>
      </w:r>
    </w:p>
    <w:p w:rsidR="00AF6759" w:rsidRDefault="00AF6759" w:rsidP="00AF6759">
      <w:pPr>
        <w:spacing w:before="100" w:beforeAutospacing="1" w:after="100" w:afterAutospacing="1"/>
      </w:pPr>
      <w:r>
        <w:t>L’analyse comparative a montré une nette amélioration de la rétention dans le groupe expérimental. Le taux de complétion moyen des cours est passé de 52,4 % (groupe témoin) à 71,8 % (groupe expérimental), soit une progression de 19,4 points. L’abandon à mi-parcours a été réduit de 38 % chez les étudiants exposés aux outils d’IA.</w:t>
      </w:r>
    </w:p>
    <w:p w:rsidR="00AF6759" w:rsidRDefault="00AF6759" w:rsidP="00AF6759">
      <w:pPr>
        <w:pStyle w:val="Titre4"/>
      </w:pPr>
      <w:r>
        <w:lastRenderedPageBreak/>
        <w:t>5.2 Engagement des étudiants</w:t>
      </w:r>
    </w:p>
    <w:p w:rsidR="00AF6759" w:rsidRDefault="00AF6759" w:rsidP="00AF6759">
      <w:pPr>
        <w:spacing w:before="100" w:beforeAutospacing="1" w:after="100" w:afterAutospacing="1"/>
      </w:pPr>
      <w:r>
        <w:t>Les étudiants du groupe expérimental se sont connectés en moyenne 4,7 fois par semaine (contre 2,9 pour le groupe témoin). Le temps passé sur la plateforme a également augmenté de 42 % (36 min/jour contre 25 min/jour). La participation aux forums a été multipliée par 2,3.</w:t>
      </w:r>
    </w:p>
    <w:p w:rsidR="00AF6759" w:rsidRDefault="00AF6759" w:rsidP="00AF6759">
      <w:pPr>
        <w:pStyle w:val="Titre4"/>
      </w:pPr>
      <w:r>
        <w:t>5.3 Performance académique</w:t>
      </w:r>
    </w:p>
    <w:p w:rsidR="00AF6759" w:rsidRDefault="00AF6759" w:rsidP="00AF6759">
      <w:pPr>
        <w:spacing w:before="100" w:beforeAutospacing="1" w:after="100" w:afterAutospacing="1"/>
      </w:pPr>
      <w:r>
        <w:t>La moyenne générale des évaluations finales est de 12,8/20 dans le groupe témoin, contre 14,1/20 dans le groupe expérimental. On observe une progression significative dans les modules à forte difficulté initiale, notamment en mathématiques et en sciences de l’éducation.</w:t>
      </w:r>
    </w:p>
    <w:p w:rsidR="00AF6759" w:rsidRDefault="00AF6759" w:rsidP="00AF6759">
      <w:pPr>
        <w:pStyle w:val="Titre4"/>
      </w:pPr>
      <w:r>
        <w:t>5.4 Précision des modèles prédictifs</w:t>
      </w:r>
    </w:p>
    <w:p w:rsidR="00AF6759" w:rsidRDefault="00AF6759" w:rsidP="00AF6759">
      <w:pPr>
        <w:spacing w:before="100" w:beforeAutospacing="1" w:after="100" w:afterAutospacing="1"/>
      </w:pPr>
      <w:r>
        <w:t xml:space="preserve">Les modèles prédictifs basés sur XGBoost ont atteint une </w:t>
      </w:r>
      <w:r>
        <w:rPr>
          <w:rStyle w:val="lev"/>
        </w:rPr>
        <w:t>précision de 86,1 %</w:t>
      </w:r>
      <w:r>
        <w:t xml:space="preserve">, avec un </w:t>
      </w:r>
      <w:r>
        <w:rPr>
          <w:rStyle w:val="lev"/>
        </w:rPr>
        <w:t>F1-score de 0,79</w:t>
      </w:r>
      <w:r>
        <w:t xml:space="preserve"> et une </w:t>
      </w:r>
      <w:r>
        <w:rPr>
          <w:rStyle w:val="lev"/>
        </w:rPr>
        <w:t>AUC ROC de 0,91</w:t>
      </w:r>
      <w:r>
        <w:t>. Le taux de faux positifs (étudiants faussement identifiés comme à risque) reste faible (11 %).</w:t>
      </w:r>
    </w:p>
    <w:p w:rsidR="005227F9" w:rsidRDefault="005227F9" w:rsidP="005227F9">
      <w:pPr>
        <w:spacing w:before="100" w:beforeAutospacing="1" w:after="100" w:afterAutospacing="1"/>
        <w:jc w:val="center"/>
      </w:pPr>
      <w:r w:rsidRPr="005227F9">
        <w:rPr>
          <w:noProof/>
          <w:lang w:eastAsia="fr-FR"/>
        </w:rPr>
        <w:drawing>
          <wp:inline distT="0" distB="0" distL="0" distR="0">
            <wp:extent cx="2218099" cy="2269789"/>
            <wp:effectExtent l="0" t="0" r="0" b="0"/>
            <wp:docPr id="4" name="Image 4" descr="E:\Dudu\Docs\Doctorat\ETAT DE L'ART\Pictures\Simulation - Matrice de confu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udu\Docs\Doctorat\ETAT DE L'ART\Pictures\Simulation - Matrice de confusion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666" t="3368" r="8111" b="8399"/>
                    <a:stretch/>
                  </pic:blipFill>
                  <pic:spPr bwMode="auto">
                    <a:xfrm>
                      <a:off x="0" y="0"/>
                      <a:ext cx="2225508" cy="2277371"/>
                    </a:xfrm>
                    <a:prstGeom prst="rect">
                      <a:avLst/>
                    </a:prstGeom>
                    <a:noFill/>
                    <a:ln>
                      <a:noFill/>
                    </a:ln>
                    <a:extLst>
                      <a:ext uri="{53640926-AAD7-44D8-BBD7-CCE9431645EC}">
                        <a14:shadowObscured xmlns:a14="http://schemas.microsoft.com/office/drawing/2010/main"/>
                      </a:ext>
                    </a:extLst>
                  </pic:spPr>
                </pic:pic>
              </a:graphicData>
            </a:graphic>
          </wp:inline>
        </w:drawing>
      </w:r>
    </w:p>
    <w:p w:rsidR="007B1A16" w:rsidRPr="007B1A16" w:rsidRDefault="007B1A16" w:rsidP="005227F9">
      <w:pPr>
        <w:spacing w:before="100" w:beforeAutospacing="1" w:after="100" w:afterAutospacing="1"/>
        <w:jc w:val="center"/>
        <w:rPr>
          <w:u w:val="single"/>
        </w:rPr>
      </w:pPr>
      <w:r w:rsidRPr="007B1A16">
        <w:rPr>
          <w:rStyle w:val="lev"/>
          <w:u w:val="single"/>
        </w:rPr>
        <w:t>Figure 2</w:t>
      </w:r>
      <w:r w:rsidRPr="007B1A16">
        <w:rPr>
          <w:u w:val="single"/>
        </w:rPr>
        <w:t xml:space="preserve"> : </w:t>
      </w:r>
      <w:r w:rsidRPr="007B1A16">
        <w:rPr>
          <w:u w:val="single"/>
        </w:rPr>
        <w:t xml:space="preserve">Matrice de confusion </w:t>
      </w:r>
      <w:r w:rsidRPr="007B1A16">
        <w:rPr>
          <w:u w:val="single"/>
        </w:rPr>
        <w:t>du modèle prédictif</w:t>
      </w:r>
    </w:p>
    <w:p w:rsidR="00AF6759" w:rsidRDefault="00AF6759" w:rsidP="00AF6759">
      <w:pPr>
        <w:pStyle w:val="Titre4"/>
      </w:pPr>
      <w:r>
        <w:t>5.5 Résultats qualitatifs</w:t>
      </w:r>
    </w:p>
    <w:p w:rsidR="00AF6759" w:rsidRDefault="00AF6759" w:rsidP="00AF6759">
      <w:pPr>
        <w:spacing w:before="100" w:beforeAutospacing="1" w:after="100" w:afterAutospacing="1"/>
      </w:pPr>
      <w:r>
        <w:t xml:space="preserve">Les enquêtes ont montré que </w:t>
      </w:r>
      <w:r>
        <w:rPr>
          <w:rStyle w:val="lev"/>
        </w:rPr>
        <w:t>84 % des étudiants</w:t>
      </w:r>
      <w:r>
        <w:t xml:space="preserve"> ayant utilisé les outils IA les ont jugés utiles, notamment les recommandations ciblées de ressources. Le chatbot pédagogique a reçu une note moyenne de </w:t>
      </w:r>
      <w:r>
        <w:rPr>
          <w:rStyle w:val="lev"/>
        </w:rPr>
        <w:t>4,2/5</w:t>
      </w:r>
      <w:r>
        <w:t xml:space="preserve"> pour sa clarté et sa réactivité. Les tuteurs ont salué la pertinence du tableau de </w:t>
      </w:r>
      <w:proofErr w:type="gramStart"/>
      <w:r>
        <w:t>bord</w:t>
      </w:r>
      <w:proofErr w:type="gramEnd"/>
      <w:r>
        <w:t xml:space="preserve"> prédictif pour mieux cibler les interventions pédagogiques.</w:t>
      </w:r>
    </w:p>
    <w:p w:rsidR="00227E79" w:rsidRPr="00EC42C7" w:rsidRDefault="00EC42C7" w:rsidP="00EC42C7">
      <w:pPr>
        <w:pStyle w:val="Titre4"/>
      </w:pPr>
      <w:r>
        <w:t>5.6</w:t>
      </w:r>
      <w:r>
        <w:t xml:space="preserve"> Résultats qualitatifs</w:t>
      </w:r>
    </w:p>
    <w:p w:rsidR="00EC42C7" w:rsidRDefault="00EC42C7" w:rsidP="00EC42C7">
      <w:pPr>
        <w:spacing w:before="100" w:beforeAutospacing="1" w:after="100" w:afterAutospacing="1"/>
      </w:pPr>
      <w:r>
        <w:t>L’architecture expérimentale repose sur un ensemble de modules IA interopérables déployés localement à l’UN-CHK :</w:t>
      </w:r>
    </w:p>
    <w:p w:rsidR="00EC42C7" w:rsidRDefault="00EC42C7" w:rsidP="00EC42C7">
      <w:pPr>
        <w:pStyle w:val="Titre4"/>
      </w:pPr>
      <w:r>
        <w:t xml:space="preserve">a) </w:t>
      </w:r>
      <w:r>
        <w:rPr>
          <w:rStyle w:val="lev"/>
          <w:b w:val="0"/>
          <w:bCs w:val="0"/>
        </w:rPr>
        <w:t>Prétraitement et structuration des données</w:t>
      </w:r>
    </w:p>
    <w:p w:rsidR="00EC42C7" w:rsidRDefault="00EC42C7" w:rsidP="00EC42C7">
      <w:pPr>
        <w:numPr>
          <w:ilvl w:val="0"/>
          <w:numId w:val="11"/>
        </w:numPr>
        <w:spacing w:before="100" w:beforeAutospacing="1" w:after="100" w:afterAutospacing="1" w:line="240" w:lineRule="auto"/>
      </w:pPr>
      <w:r>
        <w:t>Données brutes extraites depuis Moodle + forum UN-CHK (au format CSV / JSON).</w:t>
      </w:r>
    </w:p>
    <w:p w:rsidR="00EC42C7" w:rsidRDefault="00EC42C7" w:rsidP="00EC42C7">
      <w:pPr>
        <w:numPr>
          <w:ilvl w:val="0"/>
          <w:numId w:val="11"/>
        </w:numPr>
        <w:spacing w:before="100" w:beforeAutospacing="1" w:after="100" w:afterAutospacing="1" w:line="240" w:lineRule="auto"/>
      </w:pPr>
      <w:r>
        <w:lastRenderedPageBreak/>
        <w:t>Nettoyage, typage, horodatage.</w:t>
      </w:r>
    </w:p>
    <w:p w:rsidR="00EC42C7" w:rsidRDefault="00EC42C7" w:rsidP="00EC42C7">
      <w:pPr>
        <w:numPr>
          <w:ilvl w:val="0"/>
          <w:numId w:val="11"/>
        </w:numPr>
        <w:spacing w:before="100" w:beforeAutospacing="1" w:after="100" w:afterAutospacing="1" w:line="240" w:lineRule="auto"/>
      </w:pPr>
      <w:r>
        <w:t>Traitement des valeurs manquantes et normalisation.</w:t>
      </w:r>
    </w:p>
    <w:p w:rsidR="00EC42C7" w:rsidRDefault="00EC42C7" w:rsidP="00EC42C7">
      <w:pPr>
        <w:numPr>
          <w:ilvl w:val="0"/>
          <w:numId w:val="11"/>
        </w:numPr>
        <w:spacing w:before="100" w:beforeAutospacing="1" w:after="100" w:afterAutospacing="1" w:line="240" w:lineRule="auto"/>
      </w:pPr>
      <w:r>
        <w:t>Anonymisation par hachage SHA-256 pour les identifiants.</w:t>
      </w:r>
    </w:p>
    <w:p w:rsidR="00EC42C7" w:rsidRDefault="00EC42C7" w:rsidP="00EC42C7">
      <w:pPr>
        <w:pStyle w:val="Titre4"/>
      </w:pPr>
      <w:r>
        <w:t xml:space="preserve">b) </w:t>
      </w:r>
      <w:r>
        <w:rPr>
          <w:rStyle w:val="lev"/>
          <w:b w:val="0"/>
          <w:bCs w:val="0"/>
        </w:rPr>
        <w:t>Modélisation du risque de décrochage</w:t>
      </w:r>
    </w:p>
    <w:p w:rsidR="00EC42C7" w:rsidRDefault="00EC42C7" w:rsidP="00EC42C7">
      <w:pPr>
        <w:numPr>
          <w:ilvl w:val="0"/>
          <w:numId w:val="12"/>
        </w:numPr>
        <w:spacing w:before="100" w:beforeAutospacing="1" w:after="100" w:afterAutospacing="1" w:line="240" w:lineRule="auto"/>
      </w:pPr>
      <w:r>
        <w:t xml:space="preserve">Algorithme principal : </w:t>
      </w:r>
      <w:r>
        <w:rPr>
          <w:rStyle w:val="lev"/>
        </w:rPr>
        <w:t>XGBoost</w:t>
      </w:r>
      <w:r>
        <w:t>, pour sa robustesse sur données tabulaires éducatives.</w:t>
      </w:r>
    </w:p>
    <w:p w:rsidR="00EC42C7" w:rsidRDefault="00EC42C7" w:rsidP="00EC42C7">
      <w:pPr>
        <w:numPr>
          <w:ilvl w:val="0"/>
          <w:numId w:val="12"/>
        </w:numPr>
        <w:spacing w:before="100" w:beforeAutospacing="1" w:after="100" w:afterAutospacing="1" w:line="240" w:lineRule="auto"/>
      </w:pPr>
      <w:r>
        <w:t xml:space="preserve">Modèle alternatif : </w:t>
      </w:r>
      <w:r>
        <w:rPr>
          <w:rStyle w:val="lev"/>
        </w:rPr>
        <w:t>Random Forest</w:t>
      </w:r>
      <w:r>
        <w:t xml:space="preserve"> (comparaison des performances).</w:t>
      </w:r>
    </w:p>
    <w:p w:rsidR="00EC42C7" w:rsidRDefault="00EC42C7" w:rsidP="00EC42C7">
      <w:pPr>
        <w:numPr>
          <w:ilvl w:val="0"/>
          <w:numId w:val="12"/>
        </w:numPr>
        <w:spacing w:before="100" w:beforeAutospacing="1" w:after="100" w:afterAutospacing="1" w:line="240" w:lineRule="auto"/>
      </w:pPr>
      <w:r>
        <w:t>Données d’entrée du modèle :</w:t>
      </w:r>
    </w:p>
    <w:p w:rsidR="00EC42C7" w:rsidRDefault="00EC42C7" w:rsidP="00EC42C7">
      <w:pPr>
        <w:numPr>
          <w:ilvl w:val="1"/>
          <w:numId w:val="12"/>
        </w:numPr>
        <w:spacing w:before="100" w:beforeAutospacing="1" w:after="100" w:afterAutospacing="1" w:line="240" w:lineRule="auto"/>
      </w:pPr>
      <w:r>
        <w:t>fréquence hebdomadaire de connexion,</w:t>
      </w:r>
    </w:p>
    <w:p w:rsidR="00EC42C7" w:rsidRDefault="00EC42C7" w:rsidP="00EC42C7">
      <w:pPr>
        <w:numPr>
          <w:ilvl w:val="1"/>
          <w:numId w:val="12"/>
        </w:numPr>
        <w:spacing w:before="100" w:beforeAutospacing="1" w:after="100" w:afterAutospacing="1" w:line="240" w:lineRule="auto"/>
      </w:pPr>
      <w:r>
        <w:t>taux de complétion des modules,</w:t>
      </w:r>
    </w:p>
    <w:p w:rsidR="00EC42C7" w:rsidRDefault="00EC42C7" w:rsidP="00EC42C7">
      <w:pPr>
        <w:numPr>
          <w:ilvl w:val="1"/>
          <w:numId w:val="12"/>
        </w:numPr>
        <w:spacing w:before="100" w:beforeAutospacing="1" w:after="100" w:afterAutospacing="1" w:line="240" w:lineRule="auto"/>
      </w:pPr>
      <w:r>
        <w:t>score moyen aux quiz,</w:t>
      </w:r>
    </w:p>
    <w:p w:rsidR="00EC42C7" w:rsidRDefault="00EC42C7" w:rsidP="00EC42C7">
      <w:pPr>
        <w:numPr>
          <w:ilvl w:val="1"/>
          <w:numId w:val="12"/>
        </w:numPr>
        <w:spacing w:before="100" w:beforeAutospacing="1" w:after="100" w:afterAutospacing="1" w:line="240" w:lineRule="auto"/>
      </w:pPr>
      <w:r>
        <w:t>temps moyen passé sur la plateforme,</w:t>
      </w:r>
    </w:p>
    <w:p w:rsidR="00EC42C7" w:rsidRDefault="00EC42C7" w:rsidP="00EC42C7">
      <w:pPr>
        <w:numPr>
          <w:ilvl w:val="1"/>
          <w:numId w:val="12"/>
        </w:numPr>
        <w:spacing w:before="100" w:beforeAutospacing="1" w:after="100" w:afterAutospacing="1" w:line="240" w:lineRule="auto"/>
      </w:pPr>
      <w:r>
        <w:t>activité dans les forums.</w:t>
      </w:r>
    </w:p>
    <w:p w:rsidR="00EC42C7" w:rsidRDefault="00EC42C7" w:rsidP="00EC42C7">
      <w:pPr>
        <w:numPr>
          <w:ilvl w:val="0"/>
          <w:numId w:val="12"/>
        </w:numPr>
        <w:spacing w:before="100" w:beforeAutospacing="1" w:after="100" w:afterAutospacing="1" w:line="240" w:lineRule="auto"/>
      </w:pPr>
      <w:r>
        <w:t>Données de sortie : probabilité de décrochage sur une fenêtre de 4 semaines.</w:t>
      </w:r>
    </w:p>
    <w:p w:rsidR="00EC42C7" w:rsidRDefault="00EC42C7" w:rsidP="00EC42C7">
      <w:pPr>
        <w:pStyle w:val="Titre4"/>
      </w:pPr>
      <w:r>
        <w:t xml:space="preserve">c) </w:t>
      </w:r>
      <w:r>
        <w:rPr>
          <w:rStyle w:val="lev"/>
          <w:b w:val="0"/>
          <w:bCs w:val="0"/>
        </w:rPr>
        <w:t>Segmentation des profils</w:t>
      </w:r>
    </w:p>
    <w:p w:rsidR="00EC42C7" w:rsidRDefault="00EC42C7" w:rsidP="00EC42C7">
      <w:pPr>
        <w:numPr>
          <w:ilvl w:val="0"/>
          <w:numId w:val="13"/>
        </w:numPr>
        <w:spacing w:before="100" w:beforeAutospacing="1" w:after="100" w:afterAutospacing="1" w:line="240" w:lineRule="auto"/>
      </w:pPr>
      <w:r>
        <w:t xml:space="preserve">Algorithmes testés : </w:t>
      </w:r>
      <w:r>
        <w:rPr>
          <w:rStyle w:val="lev"/>
        </w:rPr>
        <w:t>K-means</w:t>
      </w:r>
      <w:r>
        <w:t xml:space="preserve"> (paramétré sur k = 5), </w:t>
      </w:r>
      <w:r>
        <w:rPr>
          <w:rStyle w:val="lev"/>
        </w:rPr>
        <w:t>ECM</w:t>
      </w:r>
      <w:r>
        <w:t xml:space="preserve"> (clustering évidentiel).</w:t>
      </w:r>
    </w:p>
    <w:p w:rsidR="00EC42C7" w:rsidRDefault="00EC42C7" w:rsidP="00EC42C7">
      <w:pPr>
        <w:numPr>
          <w:ilvl w:val="0"/>
          <w:numId w:val="13"/>
        </w:numPr>
        <w:spacing w:before="100" w:beforeAutospacing="1" w:after="100" w:afterAutospacing="1" w:line="240" w:lineRule="auto"/>
      </w:pPr>
      <w:r>
        <w:t>Variables utilisées pour le clustering :</w:t>
      </w:r>
    </w:p>
    <w:p w:rsidR="00EC42C7" w:rsidRDefault="00EC42C7" w:rsidP="00EC42C7">
      <w:pPr>
        <w:numPr>
          <w:ilvl w:val="1"/>
          <w:numId w:val="13"/>
        </w:numPr>
        <w:spacing w:before="100" w:beforeAutospacing="1" w:after="100" w:afterAutospacing="1" w:line="240" w:lineRule="auto"/>
      </w:pPr>
      <w:r>
        <w:t>régularité de connexion,</w:t>
      </w:r>
    </w:p>
    <w:p w:rsidR="00EC42C7" w:rsidRDefault="00EC42C7" w:rsidP="00EC42C7">
      <w:pPr>
        <w:numPr>
          <w:ilvl w:val="1"/>
          <w:numId w:val="13"/>
        </w:numPr>
        <w:spacing w:before="100" w:beforeAutospacing="1" w:after="100" w:afterAutospacing="1" w:line="240" w:lineRule="auto"/>
      </w:pPr>
      <w:r>
        <w:t>vitesse de progression,</w:t>
      </w:r>
    </w:p>
    <w:p w:rsidR="00EC42C7" w:rsidRDefault="00EC42C7" w:rsidP="00EC42C7">
      <w:pPr>
        <w:numPr>
          <w:ilvl w:val="1"/>
          <w:numId w:val="13"/>
        </w:numPr>
        <w:spacing w:before="100" w:beforeAutospacing="1" w:after="100" w:afterAutospacing="1" w:line="240" w:lineRule="auto"/>
      </w:pPr>
      <w:r>
        <w:t>typologie des interactions (cours, forums, évaluations).</w:t>
      </w:r>
    </w:p>
    <w:p w:rsidR="00EC42C7" w:rsidRDefault="00EC42C7" w:rsidP="00EC42C7">
      <w:pPr>
        <w:pStyle w:val="Titre4"/>
      </w:pPr>
      <w:r>
        <w:t xml:space="preserve">d) </w:t>
      </w:r>
      <w:r>
        <w:rPr>
          <w:rStyle w:val="lev"/>
          <w:b w:val="0"/>
          <w:bCs w:val="0"/>
        </w:rPr>
        <w:t>Système de recommandation pédagogique</w:t>
      </w:r>
    </w:p>
    <w:p w:rsidR="00EC42C7" w:rsidRDefault="00EC42C7" w:rsidP="00EC42C7">
      <w:pPr>
        <w:numPr>
          <w:ilvl w:val="0"/>
          <w:numId w:val="14"/>
        </w:numPr>
        <w:spacing w:before="100" w:beforeAutospacing="1" w:after="100" w:afterAutospacing="1" w:line="240" w:lineRule="auto"/>
      </w:pPr>
      <w:r>
        <w:t xml:space="preserve">Algorithme de base : </w:t>
      </w:r>
      <w:r>
        <w:rPr>
          <w:rStyle w:val="lev"/>
        </w:rPr>
        <w:t>Filtrage collaboratif user-based</w:t>
      </w:r>
      <w:r>
        <w:t>, pondéré par similarité cosine.</w:t>
      </w:r>
    </w:p>
    <w:p w:rsidR="00EC42C7" w:rsidRDefault="00EC42C7" w:rsidP="00EC42C7">
      <w:pPr>
        <w:numPr>
          <w:ilvl w:val="0"/>
          <w:numId w:val="14"/>
        </w:numPr>
        <w:spacing w:before="100" w:beforeAutospacing="1" w:after="100" w:afterAutospacing="1" w:line="240" w:lineRule="auto"/>
      </w:pPr>
      <w:r>
        <w:t>Recommandations croisées avec des règles métier (prérequis pédagogiques, niveau atteint).</w:t>
      </w:r>
    </w:p>
    <w:p w:rsidR="00EC42C7" w:rsidRDefault="00EC42C7" w:rsidP="00EC42C7">
      <w:pPr>
        <w:numPr>
          <w:ilvl w:val="0"/>
          <w:numId w:val="14"/>
        </w:numPr>
        <w:spacing w:before="100" w:beforeAutospacing="1" w:after="100" w:afterAutospacing="1" w:line="240" w:lineRule="auto"/>
      </w:pPr>
      <w:r>
        <w:t xml:space="preserve">Technologies utilisées : </w:t>
      </w:r>
      <w:r>
        <w:rPr>
          <w:rStyle w:val="lev"/>
        </w:rPr>
        <w:t>Python (scikit-learn, pandas), Flask API pour l'intégration Moodle</w:t>
      </w:r>
      <w:r>
        <w:t>.</w:t>
      </w:r>
    </w:p>
    <w:p w:rsidR="00EC42C7" w:rsidRDefault="00EC42C7" w:rsidP="00EC42C7">
      <w:pPr>
        <w:pStyle w:val="Titre4"/>
      </w:pPr>
      <w:r>
        <w:t xml:space="preserve">e) </w:t>
      </w:r>
      <w:r>
        <w:rPr>
          <w:rStyle w:val="lev"/>
          <w:b w:val="0"/>
          <w:bCs w:val="0"/>
        </w:rPr>
        <w:t>Chatbot pédagogique</w:t>
      </w:r>
    </w:p>
    <w:p w:rsidR="00EC42C7" w:rsidRDefault="00EC42C7" w:rsidP="00EC42C7">
      <w:pPr>
        <w:numPr>
          <w:ilvl w:val="0"/>
          <w:numId w:val="15"/>
        </w:numPr>
        <w:spacing w:before="100" w:beforeAutospacing="1" w:after="100" w:afterAutospacing="1" w:line="240" w:lineRule="auto"/>
      </w:pPr>
      <w:r>
        <w:t xml:space="preserve">Plateforme : </w:t>
      </w:r>
      <w:r>
        <w:rPr>
          <w:rStyle w:val="lev"/>
        </w:rPr>
        <w:t>Rasa</w:t>
      </w:r>
      <w:r>
        <w:t xml:space="preserve"> (open-source) + NLP personnalisé (intentions liées à l’accompagnement).</w:t>
      </w:r>
    </w:p>
    <w:p w:rsidR="00EC42C7" w:rsidRDefault="00EC42C7" w:rsidP="00EC42C7">
      <w:pPr>
        <w:numPr>
          <w:ilvl w:val="0"/>
          <w:numId w:val="15"/>
        </w:numPr>
        <w:spacing w:before="100" w:beforeAutospacing="1" w:after="100" w:afterAutospacing="1" w:line="240" w:lineRule="auto"/>
      </w:pPr>
      <w:r>
        <w:t>Connecté à la FAQ pédagogique, planning de cours, et système de notification (relance).</w:t>
      </w:r>
    </w:p>
    <w:p w:rsidR="00EC42C7" w:rsidRDefault="00EC42C7" w:rsidP="00EC42C7">
      <w:pPr>
        <w:pStyle w:val="Titre4"/>
      </w:pPr>
      <w:r>
        <w:t xml:space="preserve">f) </w:t>
      </w:r>
      <w:r>
        <w:rPr>
          <w:rStyle w:val="lev"/>
          <w:b w:val="0"/>
          <w:bCs w:val="0"/>
        </w:rPr>
        <w:t>Tableau de bord tuteur</w:t>
      </w:r>
    </w:p>
    <w:p w:rsidR="00EC42C7" w:rsidRDefault="00EC42C7" w:rsidP="00EC42C7">
      <w:pPr>
        <w:numPr>
          <w:ilvl w:val="0"/>
          <w:numId w:val="16"/>
        </w:numPr>
        <w:spacing w:before="100" w:beforeAutospacing="1" w:after="100" w:afterAutospacing="1" w:line="240" w:lineRule="auto"/>
      </w:pPr>
      <w:r>
        <w:t xml:space="preserve">Développé avec </w:t>
      </w:r>
      <w:r>
        <w:rPr>
          <w:rStyle w:val="lev"/>
        </w:rPr>
        <w:t>Power BI</w:t>
      </w:r>
      <w:r>
        <w:t xml:space="preserve"> connecté à une base PostgreSQL.</w:t>
      </w:r>
    </w:p>
    <w:p w:rsidR="001A0BD8" w:rsidRPr="00674A06" w:rsidRDefault="00EC42C7" w:rsidP="00AD42A7">
      <w:pPr>
        <w:numPr>
          <w:ilvl w:val="0"/>
          <w:numId w:val="16"/>
        </w:numPr>
        <w:spacing w:before="100" w:beforeAutospacing="1" w:after="100" w:afterAutospacing="1" w:line="240" w:lineRule="auto"/>
      </w:pPr>
      <w:r>
        <w:t>Visualisation dynamique des scores de risque, profils à risque, historique des interventions.</w:t>
      </w:r>
    </w:p>
    <w:p w:rsidR="00423BAE" w:rsidRDefault="00674A06" w:rsidP="00423BAE">
      <w:pPr>
        <w:jc w:val="center"/>
        <w:rPr>
          <w:noProof/>
          <w:sz w:val="24"/>
          <w:lang w:eastAsia="fr-FR"/>
        </w:rPr>
      </w:pPr>
      <w:r w:rsidRPr="00674A06">
        <w:rPr>
          <w:noProof/>
          <w:sz w:val="24"/>
          <w:lang w:eastAsia="fr-FR"/>
        </w:rPr>
        <w:drawing>
          <wp:inline distT="0" distB="0" distL="0" distR="0">
            <wp:extent cx="4366895" cy="1520983"/>
            <wp:effectExtent l="0" t="0" r="0" b="3175"/>
            <wp:docPr id="8" name="Image 8" descr="E:\Dudu\Docs\Doctorat\ETAT DE L'ART\Pictures\Simulation - Modèles util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udu\Docs\Doctorat\ETAT DE L'ART\Pictures\Simulation - Modèles utilisés.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56" t="19335" r="4292" b="19546"/>
                    <a:stretch/>
                  </pic:blipFill>
                  <pic:spPr bwMode="auto">
                    <a:xfrm>
                      <a:off x="0" y="0"/>
                      <a:ext cx="4444811" cy="1548121"/>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lang w:eastAsia="fr-FR"/>
        </w:rPr>
        <w:t xml:space="preserve">  </w:t>
      </w:r>
    </w:p>
    <w:p w:rsidR="00F4798E" w:rsidRPr="00F4798E" w:rsidRDefault="00E51FC4" w:rsidP="00674A06">
      <w:pPr>
        <w:jc w:val="center"/>
        <w:rPr>
          <w:noProof/>
          <w:sz w:val="24"/>
          <w:u w:val="single"/>
          <w:lang w:eastAsia="fr-FR"/>
        </w:rPr>
      </w:pPr>
      <w:r>
        <w:rPr>
          <w:rStyle w:val="lev"/>
          <w:u w:val="single"/>
        </w:rPr>
        <w:t>Figure 3</w:t>
      </w:r>
      <w:r w:rsidR="00F4798E" w:rsidRPr="00F4798E">
        <w:rPr>
          <w:u w:val="single"/>
        </w:rPr>
        <w:t xml:space="preserve"> : Schéma du pipeline technique de l’expérimentation</w:t>
      </w:r>
    </w:p>
    <w:p w:rsidR="00674A06" w:rsidRDefault="00674A06" w:rsidP="00674A06">
      <w:pPr>
        <w:jc w:val="center"/>
        <w:rPr>
          <w:sz w:val="24"/>
        </w:rPr>
      </w:pPr>
      <w:r w:rsidRPr="00674A06">
        <w:rPr>
          <w:noProof/>
          <w:sz w:val="24"/>
          <w:lang w:eastAsia="fr-FR"/>
        </w:rPr>
        <w:lastRenderedPageBreak/>
        <w:drawing>
          <wp:inline distT="0" distB="0" distL="0" distR="0" wp14:anchorId="3655D41C" wp14:editId="15B7012E">
            <wp:extent cx="3810126" cy="2064190"/>
            <wp:effectExtent l="0" t="0" r="0" b="0"/>
            <wp:docPr id="6" name="Image 6" descr="E:\Dudu\Docs\Doctorat\ETAT DE L'ART\Pictures\Simulation - Indicateurs entre grou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udu\Docs\Doctorat\ETAT DE L'ART\Pictures\Simulation - Indicateurs entre group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3158" cy="2071251"/>
                    </a:xfrm>
                    <a:prstGeom prst="rect">
                      <a:avLst/>
                    </a:prstGeom>
                    <a:noFill/>
                    <a:ln>
                      <a:noFill/>
                    </a:ln>
                  </pic:spPr>
                </pic:pic>
              </a:graphicData>
            </a:graphic>
          </wp:inline>
        </w:drawing>
      </w:r>
    </w:p>
    <w:p w:rsidR="00243336" w:rsidRPr="00243336" w:rsidRDefault="00486D68" w:rsidP="00674A06">
      <w:pPr>
        <w:jc w:val="center"/>
        <w:rPr>
          <w:sz w:val="24"/>
          <w:u w:val="single"/>
        </w:rPr>
      </w:pPr>
      <w:r>
        <w:rPr>
          <w:rStyle w:val="lev"/>
          <w:u w:val="single"/>
        </w:rPr>
        <w:t>Figure 4</w:t>
      </w:r>
      <w:r w:rsidR="00243336" w:rsidRPr="00243336">
        <w:rPr>
          <w:u w:val="single"/>
        </w:rPr>
        <w:t xml:space="preserve"> : Comparaison des indicateurs clés entre groupe témoin et groupe expérimental</w:t>
      </w:r>
    </w:p>
    <w:p w:rsidR="00D573A1" w:rsidRDefault="00674A06" w:rsidP="00674A06">
      <w:pPr>
        <w:jc w:val="center"/>
        <w:rPr>
          <w:sz w:val="24"/>
        </w:rPr>
      </w:pPr>
      <w:r w:rsidRPr="00674A06">
        <w:rPr>
          <w:noProof/>
          <w:sz w:val="24"/>
          <w:lang w:eastAsia="fr-FR"/>
        </w:rPr>
        <w:drawing>
          <wp:inline distT="0" distB="0" distL="0" distR="0">
            <wp:extent cx="2743005" cy="2743005"/>
            <wp:effectExtent l="0" t="0" r="635" b="635"/>
            <wp:docPr id="5" name="Image 5" descr="E:\Dudu\Docs\Doctorat\ETAT DE L'ART\Pictures\Simulation - Courbe ROC du modèle prédictif X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udu\Docs\Doctorat\ETAT DE L'ART\Pictures\Simulation - Courbe ROC du modèle prédictif XGBoos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191" cy="2746191"/>
                    </a:xfrm>
                    <a:prstGeom prst="rect">
                      <a:avLst/>
                    </a:prstGeom>
                    <a:noFill/>
                    <a:ln>
                      <a:noFill/>
                    </a:ln>
                  </pic:spPr>
                </pic:pic>
              </a:graphicData>
            </a:graphic>
          </wp:inline>
        </w:drawing>
      </w:r>
    </w:p>
    <w:p w:rsidR="00D00DA0" w:rsidRPr="00DB776B" w:rsidRDefault="00BE7037" w:rsidP="00DB776B">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 5</w:t>
      </w:r>
      <w:r w:rsidR="00DB776B" w:rsidRPr="00DB776B">
        <w:rPr>
          <w:rFonts w:ascii="Times New Roman" w:hAnsi="Times New Roman" w:cs="Times New Roman"/>
          <w:b/>
          <w:sz w:val="24"/>
          <w:szCs w:val="24"/>
          <w:u w:val="single"/>
        </w:rPr>
        <w:t xml:space="preserve"> : </w:t>
      </w:r>
      <w:r w:rsidR="00DB776B" w:rsidRPr="00DB776B">
        <w:rPr>
          <w:rFonts w:ascii="Times New Roman" w:hAnsi="Times New Roman" w:cs="Times New Roman"/>
          <w:sz w:val="24"/>
          <w:szCs w:val="24"/>
          <w:u w:val="single"/>
        </w:rPr>
        <w:t>Courbe ROC du modèle prédictif XGBoost</w:t>
      </w:r>
    </w:p>
    <w:p w:rsidR="00D00DA0" w:rsidRPr="005E0D36" w:rsidRDefault="00D00DA0" w:rsidP="00D00DA0">
      <w:pPr>
        <w:rPr>
          <w:b/>
          <w:sz w:val="27"/>
          <w:szCs w:val="27"/>
        </w:rPr>
      </w:pPr>
    </w:p>
    <w:p w:rsidR="007E711F" w:rsidRPr="00E21BAA" w:rsidRDefault="007E711F" w:rsidP="007E711F">
      <w:pPr>
        <w:pStyle w:val="Titre2"/>
        <w:rPr>
          <w:rFonts w:ascii="Times New Roman" w:hAnsi="Times New Roman" w:cs="Times New Roman"/>
          <w:b/>
          <w:color w:val="auto"/>
        </w:rPr>
      </w:pPr>
      <w:r w:rsidRPr="00E21BAA">
        <w:rPr>
          <w:rFonts w:ascii="Times New Roman" w:hAnsi="Times New Roman" w:cs="Times New Roman"/>
          <w:b/>
          <w:color w:val="auto"/>
        </w:rPr>
        <w:t>Section 6 : Discussion</w:t>
      </w:r>
    </w:p>
    <w:p w:rsidR="007E711F" w:rsidRDefault="007E711F" w:rsidP="007E711F">
      <w:r>
        <w:pict>
          <v:rect id="_x0000_i1031" style="width:0;height:1.5pt" o:hralign="center" o:hrstd="t" o:hr="t" fillcolor="#a0a0a0" stroked="f"/>
        </w:pict>
      </w:r>
    </w:p>
    <w:p w:rsidR="007E711F" w:rsidRDefault="007E711F" w:rsidP="007E711F">
      <w:pPr>
        <w:spacing w:before="100" w:beforeAutospacing="1" w:after="100" w:afterAutospacing="1"/>
      </w:pPr>
      <w:r>
        <w:t>Les résultats obtenus dans le cadre de cette expérimentation menée à l’Université Numérique Cheikh Hamidou Kane confirment plusieurs hypothèses formulées à partir de l’état de l’art. En particulier, ils montrent que l’intégration de solutions d’intelligence artificielle (IA) dans un environnement d’apprentissage en ligne peut avoir un effet significatif sur la rétention, l’engagement et la performance académique des apprenants.</w:t>
      </w:r>
    </w:p>
    <w:p w:rsidR="007E711F" w:rsidRPr="005E0D36" w:rsidRDefault="007E711F" w:rsidP="007E711F">
      <w:pPr>
        <w:pStyle w:val="Titre3"/>
        <w:rPr>
          <w:rFonts w:asciiTheme="majorHAnsi" w:hAnsiTheme="majorHAnsi" w:cstheme="majorHAnsi"/>
          <w:b w:val="0"/>
          <w:i/>
          <w:color w:val="2E74B5" w:themeColor="accent1" w:themeShade="BF"/>
          <w:sz w:val="22"/>
        </w:rPr>
      </w:pPr>
      <w:r w:rsidRPr="005E0D36">
        <w:rPr>
          <w:rFonts w:asciiTheme="majorHAnsi" w:hAnsiTheme="majorHAnsi" w:cstheme="majorHAnsi"/>
          <w:b w:val="0"/>
          <w:i/>
          <w:color w:val="2E74B5" w:themeColor="accent1" w:themeShade="BF"/>
          <w:sz w:val="22"/>
        </w:rPr>
        <w:t>6.1 Confirmation des apports de l’IA à la rétention</w:t>
      </w:r>
    </w:p>
    <w:p w:rsidR="007E711F" w:rsidRDefault="007E711F" w:rsidP="007E711F">
      <w:pPr>
        <w:spacing w:before="100" w:beforeAutospacing="1" w:after="100" w:afterAutospacing="1"/>
      </w:pPr>
      <w:r>
        <w:t>L’amélioration observée du taux de complétion (+19,4 points) corrobore les travaux recensés dans la littérature, notamment ceux fondés sur la personnalisation des parcours (Adaptiv’Math, ALSAI) et la prédiction des abandons (DNN Kalboard360, ECM). Le déploiement d’un chatbot tutoriel et d’un tableau de bord prédictif s’est révélé efficace pour renforcer l’accompagnement individualisé, en permettant des interventions proactives ciblées.</w:t>
      </w:r>
    </w:p>
    <w:p w:rsidR="007E711F" w:rsidRDefault="007E711F" w:rsidP="007E711F">
      <w:pPr>
        <w:spacing w:before="100" w:beforeAutospacing="1" w:after="100" w:afterAutospacing="1"/>
      </w:pPr>
      <w:r>
        <w:lastRenderedPageBreak/>
        <w:t>L’augmentation de l’engagement (fréquence de connexion, participation aux forums) suggère que les outils d’IA, s’ils sont bien intégrés et expliqués, peuvent renforcer le sentiment de présence et de soutien, facteur essentiel selon les modèles de Tinto et de Fredricks et al.</w:t>
      </w:r>
    </w:p>
    <w:p w:rsidR="007E711F" w:rsidRDefault="007E711F" w:rsidP="007E711F">
      <w:pPr>
        <w:spacing w:after="0"/>
      </w:pPr>
      <w:r>
        <w:pict>
          <v:rect id="_x0000_i1032" style="width:0;height:1.5pt" o:hralign="center" o:hrstd="t" o:hr="t" fillcolor="#a0a0a0" stroked="f"/>
        </w:pict>
      </w:r>
    </w:p>
    <w:p w:rsidR="007E711F" w:rsidRPr="005E0D36" w:rsidRDefault="007E711F" w:rsidP="007E711F">
      <w:pPr>
        <w:pStyle w:val="Titre3"/>
        <w:rPr>
          <w:b w:val="0"/>
          <w:i/>
          <w:color w:val="2E74B5" w:themeColor="accent1" w:themeShade="BF"/>
          <w:sz w:val="22"/>
          <w:szCs w:val="22"/>
        </w:rPr>
      </w:pPr>
      <w:r w:rsidRPr="005E0D36">
        <w:rPr>
          <w:b w:val="0"/>
          <w:i/>
          <w:color w:val="2E74B5" w:themeColor="accent1" w:themeShade="BF"/>
          <w:sz w:val="22"/>
          <w:szCs w:val="22"/>
        </w:rPr>
        <w:t>6.2 Limites observées</w:t>
      </w:r>
    </w:p>
    <w:p w:rsidR="007E711F" w:rsidRDefault="007E711F" w:rsidP="007E711F">
      <w:pPr>
        <w:pStyle w:val="Titre4"/>
      </w:pPr>
      <w:r>
        <w:t>a) Contraintes techniques</w:t>
      </w:r>
    </w:p>
    <w:p w:rsidR="007E711F" w:rsidRDefault="007E711F" w:rsidP="007E711F">
      <w:pPr>
        <w:numPr>
          <w:ilvl w:val="0"/>
          <w:numId w:val="17"/>
        </w:numPr>
        <w:spacing w:before="100" w:beforeAutospacing="1" w:after="100" w:afterAutospacing="1" w:line="240" w:lineRule="auto"/>
      </w:pPr>
      <w:r>
        <w:t>Les algorithmes prédictifs, bien que performants, restent sensibles à la qualité des données : les absences de saisie, incohérences ou comportements atypiques ont nécessité plusieurs phases de nettoyage manuel.</w:t>
      </w:r>
    </w:p>
    <w:p w:rsidR="007E711F" w:rsidRDefault="007E711F" w:rsidP="007E711F">
      <w:pPr>
        <w:numPr>
          <w:ilvl w:val="0"/>
          <w:numId w:val="17"/>
        </w:numPr>
        <w:spacing w:before="100" w:beforeAutospacing="1" w:after="100" w:afterAutospacing="1" w:line="240" w:lineRule="auto"/>
      </w:pPr>
      <w:r>
        <w:t>Le déploiement du chatbot a parfois rencontré des difficultés d’interprétation des requêtes formulées en wolof ou en français non standardisé.</w:t>
      </w:r>
    </w:p>
    <w:p w:rsidR="007E711F" w:rsidRDefault="007E711F" w:rsidP="007E711F">
      <w:pPr>
        <w:pStyle w:val="Titre4"/>
      </w:pPr>
      <w:r>
        <w:t>b) Biais potentiels</w:t>
      </w:r>
    </w:p>
    <w:p w:rsidR="007E711F" w:rsidRDefault="007E711F" w:rsidP="007E711F">
      <w:pPr>
        <w:numPr>
          <w:ilvl w:val="0"/>
          <w:numId w:val="18"/>
        </w:numPr>
        <w:spacing w:before="100" w:beforeAutospacing="1" w:after="100" w:afterAutospacing="1" w:line="240" w:lineRule="auto"/>
      </w:pPr>
      <w:r>
        <w:t>Les profils les plus actifs ont naturellement été plus “assistés” par les outils IA, créant un risque d’amplification des écarts avec les étudiants les plus passifs.</w:t>
      </w:r>
    </w:p>
    <w:p w:rsidR="007E711F" w:rsidRDefault="007E711F" w:rsidP="007E711F">
      <w:pPr>
        <w:numPr>
          <w:ilvl w:val="0"/>
          <w:numId w:val="18"/>
        </w:numPr>
        <w:spacing w:before="100" w:beforeAutospacing="1" w:after="100" w:afterAutospacing="1" w:line="240" w:lineRule="auto"/>
      </w:pPr>
      <w:r>
        <w:t>Les prédictions faussement positives (étudiants désignés à tort comme « à risque ») peuvent induire une stigmatisation involontaire si elles ne sont pas interprétées avec recul.</w:t>
      </w:r>
    </w:p>
    <w:p w:rsidR="007E711F" w:rsidRDefault="007E711F" w:rsidP="007E711F">
      <w:pPr>
        <w:pStyle w:val="Titre4"/>
      </w:pPr>
      <w:r>
        <w:t>c) Limites méthodologiques</w:t>
      </w:r>
    </w:p>
    <w:p w:rsidR="007E711F" w:rsidRDefault="007E711F" w:rsidP="007E711F">
      <w:pPr>
        <w:numPr>
          <w:ilvl w:val="0"/>
          <w:numId w:val="19"/>
        </w:numPr>
        <w:spacing w:before="100" w:beforeAutospacing="1" w:after="100" w:afterAutospacing="1" w:line="240" w:lineRule="auto"/>
      </w:pPr>
      <w:r>
        <w:t>L’expérimentation n’a porté que sur deux semestres : des effets de long terme restent à évaluer.</w:t>
      </w:r>
    </w:p>
    <w:p w:rsidR="007E711F" w:rsidRDefault="007E711F" w:rsidP="007E711F">
      <w:pPr>
        <w:numPr>
          <w:ilvl w:val="0"/>
          <w:numId w:val="19"/>
        </w:numPr>
        <w:spacing w:before="100" w:beforeAutospacing="1" w:after="100" w:afterAutospacing="1" w:line="240" w:lineRule="auto"/>
      </w:pPr>
      <w:r>
        <w:t xml:space="preserve">L’échantillon reste limité à certaines filières. Une généralisation nécessiterait une validation </w:t>
      </w:r>
      <w:proofErr w:type="spellStart"/>
      <w:r>
        <w:t>inter-disciplinaire</w:t>
      </w:r>
      <w:proofErr w:type="spellEnd"/>
      <w:r>
        <w:t>.</w:t>
      </w:r>
    </w:p>
    <w:p w:rsidR="007E711F" w:rsidRDefault="007E711F" w:rsidP="007E711F">
      <w:pPr>
        <w:numPr>
          <w:ilvl w:val="0"/>
          <w:numId w:val="19"/>
        </w:numPr>
        <w:spacing w:before="100" w:beforeAutospacing="1" w:after="100" w:afterAutospacing="1" w:line="240" w:lineRule="auto"/>
      </w:pPr>
      <w:r>
        <w:t>Le recours à des modèles automatisés pose encore la question de l’équilibre entre personnalisation algorithmique et autonomie pédagogique.</w:t>
      </w:r>
    </w:p>
    <w:p w:rsidR="007E711F" w:rsidRDefault="007E711F" w:rsidP="007E711F">
      <w:pPr>
        <w:spacing w:after="0"/>
      </w:pPr>
      <w:r>
        <w:pict>
          <v:rect id="_x0000_i1033" style="width:0;height:1.5pt" o:hralign="center" o:hrstd="t" o:hr="t" fillcolor="#a0a0a0" stroked="f"/>
        </w:pict>
      </w:r>
    </w:p>
    <w:p w:rsidR="007E711F" w:rsidRPr="005E0D36" w:rsidRDefault="007E711F" w:rsidP="007E711F">
      <w:pPr>
        <w:pStyle w:val="Titre3"/>
        <w:rPr>
          <w:b w:val="0"/>
          <w:i/>
          <w:color w:val="2E74B5" w:themeColor="accent1" w:themeShade="BF"/>
          <w:sz w:val="22"/>
          <w:szCs w:val="22"/>
        </w:rPr>
      </w:pPr>
      <w:r w:rsidRPr="005E0D36">
        <w:rPr>
          <w:b w:val="0"/>
          <w:i/>
          <w:color w:val="2E74B5" w:themeColor="accent1" w:themeShade="BF"/>
          <w:sz w:val="22"/>
          <w:szCs w:val="22"/>
        </w:rPr>
        <w:t>6.3 Enjeux contextuels spécifiques</w:t>
      </w:r>
    </w:p>
    <w:p w:rsidR="007E711F" w:rsidRDefault="007E711F" w:rsidP="007E711F">
      <w:pPr>
        <w:spacing w:before="100" w:beforeAutospacing="1" w:after="100" w:afterAutospacing="1"/>
      </w:pPr>
      <w:r>
        <w:t>Dans un contexte africain, certaines spécificités méritent d’être soulignées :</w:t>
      </w:r>
    </w:p>
    <w:p w:rsidR="007E711F" w:rsidRDefault="007E711F" w:rsidP="007E711F">
      <w:pPr>
        <w:numPr>
          <w:ilvl w:val="0"/>
          <w:numId w:val="20"/>
        </w:numPr>
        <w:spacing w:before="100" w:beforeAutospacing="1" w:after="100" w:afterAutospacing="1" w:line="240" w:lineRule="auto"/>
      </w:pPr>
      <w:r>
        <w:rPr>
          <w:rStyle w:val="lev"/>
        </w:rPr>
        <w:t>L’accessibilité numérique reste hétérogène</w:t>
      </w:r>
      <w:r>
        <w:t>, même au sein d’une université 100 % en ligne.</w:t>
      </w:r>
    </w:p>
    <w:p w:rsidR="007E711F" w:rsidRDefault="007E711F" w:rsidP="007E711F">
      <w:pPr>
        <w:numPr>
          <w:ilvl w:val="0"/>
          <w:numId w:val="20"/>
        </w:numPr>
        <w:spacing w:before="100" w:beforeAutospacing="1" w:after="100" w:afterAutospacing="1" w:line="240" w:lineRule="auto"/>
      </w:pPr>
      <w:r>
        <w:rPr>
          <w:rStyle w:val="lev"/>
        </w:rPr>
        <w:t>Le multilinguisme</w:t>
      </w:r>
      <w:r>
        <w:t>, la diversité des profils socio-éducatifs et les usages différenciés du numérique complexifient le déploiement de solutions IA standard.</w:t>
      </w:r>
    </w:p>
    <w:p w:rsidR="007E711F" w:rsidRDefault="007E711F" w:rsidP="007E711F">
      <w:pPr>
        <w:numPr>
          <w:ilvl w:val="0"/>
          <w:numId w:val="20"/>
        </w:numPr>
        <w:spacing w:before="100" w:beforeAutospacing="1" w:after="100" w:afterAutospacing="1" w:line="240" w:lineRule="auto"/>
      </w:pPr>
      <w:r>
        <w:rPr>
          <w:rStyle w:val="lev"/>
        </w:rPr>
        <w:t>L’acceptabilité culturelle</w:t>
      </w:r>
      <w:r>
        <w:t xml:space="preserve"> des outils technologiques dans l’apprentissage demande une adaptation des interfaces et des modalités de médiation.</w:t>
      </w:r>
    </w:p>
    <w:p w:rsidR="007E711F" w:rsidRDefault="007E711F" w:rsidP="007E711F">
      <w:pPr>
        <w:spacing w:after="0"/>
      </w:pPr>
      <w:r>
        <w:pict>
          <v:rect id="_x0000_i1034" style="width:0;height:1.5pt" o:hralign="center" o:hrstd="t" o:hr="t" fillcolor="#a0a0a0" stroked="f"/>
        </w:pict>
      </w:r>
    </w:p>
    <w:p w:rsidR="007E711F" w:rsidRPr="005E0D36" w:rsidRDefault="007E711F" w:rsidP="007E711F">
      <w:pPr>
        <w:pStyle w:val="Titre3"/>
        <w:rPr>
          <w:b w:val="0"/>
          <w:i/>
          <w:color w:val="2E74B5" w:themeColor="accent1" w:themeShade="BF"/>
          <w:sz w:val="22"/>
          <w:szCs w:val="22"/>
        </w:rPr>
      </w:pPr>
      <w:r w:rsidRPr="005E0D36">
        <w:rPr>
          <w:b w:val="0"/>
          <w:i/>
          <w:color w:val="2E74B5" w:themeColor="accent1" w:themeShade="BF"/>
          <w:sz w:val="22"/>
          <w:szCs w:val="22"/>
        </w:rPr>
        <w:t>6.4 Implications pour la suite</w:t>
      </w:r>
    </w:p>
    <w:p w:rsidR="007E711F" w:rsidRDefault="007E711F" w:rsidP="007E711F">
      <w:pPr>
        <w:spacing w:before="100" w:beforeAutospacing="1" w:after="100" w:afterAutospacing="1"/>
      </w:pPr>
      <w:r>
        <w:t>Cette expérimentation ouvre des perspectives encourageantes pour le développement d’outils IA éducatifs adaptés aux réalités africaines. Elle suggère la faisabilité d’un cadre hybride, combinant :</w:t>
      </w:r>
    </w:p>
    <w:p w:rsidR="007E711F" w:rsidRDefault="007E711F" w:rsidP="007E711F">
      <w:pPr>
        <w:numPr>
          <w:ilvl w:val="0"/>
          <w:numId w:val="21"/>
        </w:numPr>
        <w:spacing w:before="100" w:beforeAutospacing="1" w:after="100" w:afterAutospacing="1" w:line="240" w:lineRule="auto"/>
      </w:pPr>
      <w:r>
        <w:lastRenderedPageBreak/>
        <w:t>modèles prédictifs explicables et supervisés,</w:t>
      </w:r>
    </w:p>
    <w:p w:rsidR="007E711F" w:rsidRDefault="007E711F" w:rsidP="007E711F">
      <w:pPr>
        <w:numPr>
          <w:ilvl w:val="0"/>
          <w:numId w:val="21"/>
        </w:numPr>
        <w:spacing w:before="100" w:beforeAutospacing="1" w:after="100" w:afterAutospacing="1" w:line="240" w:lineRule="auto"/>
      </w:pPr>
      <w:r>
        <w:t>dispositifs de recommandation intelligents mais contextualisés,</w:t>
      </w:r>
    </w:p>
    <w:p w:rsidR="007E711F" w:rsidRDefault="007E711F" w:rsidP="007E711F">
      <w:pPr>
        <w:numPr>
          <w:ilvl w:val="0"/>
          <w:numId w:val="21"/>
        </w:numPr>
        <w:spacing w:before="100" w:beforeAutospacing="1" w:after="100" w:afterAutospacing="1" w:line="240" w:lineRule="auto"/>
      </w:pPr>
      <w:r>
        <w:t>accompagnement humain renforcé via les tuteurs,</w:t>
      </w:r>
    </w:p>
    <w:p w:rsidR="007E711F" w:rsidRDefault="007E711F" w:rsidP="007E711F">
      <w:pPr>
        <w:numPr>
          <w:ilvl w:val="0"/>
          <w:numId w:val="21"/>
        </w:numPr>
        <w:spacing w:before="100" w:beforeAutospacing="1" w:after="100" w:afterAutospacing="1" w:line="240" w:lineRule="auto"/>
      </w:pPr>
      <w:r>
        <w:t>audit éthique régulier garantissant transparence, consentement et équité.</w:t>
      </w:r>
    </w:p>
    <w:p w:rsidR="007E711F" w:rsidRDefault="007E711F" w:rsidP="007E711F">
      <w:pPr>
        <w:spacing w:before="100" w:beforeAutospacing="1" w:after="100" w:afterAutospacing="1"/>
      </w:pPr>
      <w:r>
        <w:t>À condition d’être encadrée, transparente et co-construite avec les acteurs locaux, l’IA peut jouer un rôle structurant dans l’amélioration de la qualité de l’apprentissage à distance.</w:t>
      </w:r>
    </w:p>
    <w:p w:rsidR="007E711F" w:rsidRDefault="007E711F" w:rsidP="00D00DA0">
      <w:pPr>
        <w:rPr>
          <w:sz w:val="24"/>
        </w:rPr>
      </w:pPr>
    </w:p>
    <w:p w:rsidR="00606F80" w:rsidRPr="00606F80" w:rsidRDefault="00606F80" w:rsidP="00606F80">
      <w:pPr>
        <w:pStyle w:val="Titre2"/>
        <w:rPr>
          <w:rFonts w:ascii="Times New Roman" w:hAnsi="Times New Roman" w:cs="Times New Roman"/>
          <w:b/>
          <w:color w:val="auto"/>
        </w:rPr>
      </w:pPr>
      <w:r w:rsidRPr="00606F80">
        <w:rPr>
          <w:rFonts w:ascii="Times New Roman" w:hAnsi="Times New Roman" w:cs="Times New Roman"/>
          <w:b/>
          <w:color w:val="auto"/>
        </w:rPr>
        <w:t>Section 7 : Conclusion et perspectives</w:t>
      </w:r>
    </w:p>
    <w:p w:rsidR="00606F80" w:rsidRDefault="00606F80" w:rsidP="00606F80">
      <w:r>
        <w:pict>
          <v:rect id="_x0000_i1035" style="width:0;height:1.5pt" o:hralign="center" o:hrstd="t" o:hr="t" fillcolor="#a0a0a0" stroked="f"/>
        </w:pict>
      </w:r>
    </w:p>
    <w:p w:rsidR="00606F80" w:rsidRDefault="00606F80" w:rsidP="00606F80">
      <w:pPr>
        <w:spacing w:before="100" w:beforeAutospacing="1" w:after="100" w:afterAutospacing="1"/>
      </w:pPr>
      <w:r>
        <w:t>L’expérimentation conduite à l’Université Numérique Cheikh Hamidou Kane (UN-CHK) confirme l’intérêt stratégique de l’intelligence artificielle (IA) pour améliorer la rétention des apprenants dans l’enseignement supérieur en ligne. En s’appuyant sur des modèles issus de la littérature intersectorielle et en les adaptant aux spécificités pédagogiques et techniques d’un contexte africain, cette étude a permis de démontrer plusieurs résultats significatifs : réduction du taux d’abandon, amélioration de l’engagement des étudiants, et meilleure perception de l’accompagnement pédagogique.</w:t>
      </w:r>
    </w:p>
    <w:p w:rsidR="00606F80" w:rsidRDefault="00606F80" w:rsidP="00606F80">
      <w:pPr>
        <w:spacing w:before="100" w:beforeAutospacing="1" w:after="100" w:afterAutospacing="1"/>
      </w:pPr>
      <w:r>
        <w:t>Au-delà de la performance des outils eux-mêmes (modèles prédictifs, recommandation, chatbot, tableau de bord), c’est la logique intégrée, éthique et contextualisée du dispositif qui semble avoir contribué à son acceptabilité et à son efficacité. L’association entre supervision humaine, segmentation comportementale, personnalisation des parcours et retour en temps réel aux tuteurs a favorisé une forme d’apprentissage plus fluide et plus soutenu.</w:t>
      </w:r>
    </w:p>
    <w:p w:rsidR="00606F80" w:rsidRDefault="00606F80" w:rsidP="00606F80">
      <w:pPr>
        <w:spacing w:before="100" w:beforeAutospacing="1" w:after="100" w:afterAutospacing="1"/>
      </w:pPr>
      <w:r>
        <w:t>Toutefois, cette expérimentation n’est qu’une première étape. Elle appelle plusieurs prolongements :</w:t>
      </w:r>
    </w:p>
    <w:p w:rsidR="00606F80" w:rsidRDefault="00606F80" w:rsidP="00606F80">
      <w:pPr>
        <w:numPr>
          <w:ilvl w:val="0"/>
          <w:numId w:val="22"/>
        </w:numPr>
        <w:spacing w:before="100" w:beforeAutospacing="1" w:after="100" w:afterAutospacing="1" w:line="240" w:lineRule="auto"/>
      </w:pPr>
      <w:r>
        <w:rPr>
          <w:rStyle w:val="lev"/>
        </w:rPr>
        <w:t>Renforcement de l’échelle</w:t>
      </w:r>
      <w:r>
        <w:t xml:space="preserve"> : reproduire l’expérimentation sur un panel plus large, incluant d’autres filières et niveaux d’étude, pour valider la généralisabilité du modèle.</w:t>
      </w:r>
    </w:p>
    <w:p w:rsidR="00606F80" w:rsidRDefault="00606F80" w:rsidP="00606F80">
      <w:pPr>
        <w:numPr>
          <w:ilvl w:val="0"/>
          <w:numId w:val="22"/>
        </w:numPr>
        <w:spacing w:before="100" w:beforeAutospacing="1" w:after="100" w:afterAutospacing="1" w:line="240" w:lineRule="auto"/>
      </w:pPr>
      <w:r>
        <w:rPr>
          <w:rStyle w:val="lev"/>
        </w:rPr>
        <w:t>Intégration de l’explicabilité</w:t>
      </w:r>
      <w:r>
        <w:t xml:space="preserve"> : développer des modules d’interprétabilité (type SHAP, LIME) accessibles aux tuteurs et aux étudiants pour renforcer la transparence des recommandations.</w:t>
      </w:r>
    </w:p>
    <w:p w:rsidR="00606F80" w:rsidRDefault="00606F80" w:rsidP="00606F80">
      <w:pPr>
        <w:numPr>
          <w:ilvl w:val="0"/>
          <w:numId w:val="22"/>
        </w:numPr>
        <w:spacing w:before="100" w:beforeAutospacing="1" w:after="100" w:afterAutospacing="1" w:line="240" w:lineRule="auto"/>
      </w:pPr>
      <w:r>
        <w:rPr>
          <w:rStyle w:val="lev"/>
        </w:rPr>
        <w:t>Co-construction des outils</w:t>
      </w:r>
      <w:r>
        <w:t xml:space="preserve"> : impliquer davantage les apprenants et les enseignants dans la conception des interfaces et des règles pédagogiques des outils IA.</w:t>
      </w:r>
    </w:p>
    <w:p w:rsidR="00606F80" w:rsidRDefault="00606F80" w:rsidP="00606F80">
      <w:pPr>
        <w:numPr>
          <w:ilvl w:val="0"/>
          <w:numId w:val="22"/>
        </w:numPr>
        <w:spacing w:before="100" w:beforeAutospacing="1" w:after="100" w:afterAutospacing="1" w:line="240" w:lineRule="auto"/>
      </w:pPr>
      <w:r>
        <w:rPr>
          <w:rStyle w:val="lev"/>
        </w:rPr>
        <w:t>Ancrage institutionnel</w:t>
      </w:r>
      <w:r>
        <w:t xml:space="preserve"> : inscrire l’expérimentation dans une politique universitaire plus large de transformation numérique éthique, participative et durable.</w:t>
      </w:r>
    </w:p>
    <w:p w:rsidR="00606F80" w:rsidRDefault="00606F80" w:rsidP="00606F80">
      <w:pPr>
        <w:spacing w:before="100" w:beforeAutospacing="1" w:after="100" w:afterAutospacing="1"/>
      </w:pPr>
      <w:r>
        <w:t>Enfin, cette étude pourrait servir de modèle pour d’autres établissements africains confrontés aux mêmes enjeux de décrochage, en fournissant un cadre méthodologique, technique et pédagogique réplicable. En cela, elle contribue à une dynamique plus vaste de souveraineté technologique, d’innovation contextuelle et d’équité éducative dans l’espace numérique francophone.</w:t>
      </w:r>
    </w:p>
    <w:p w:rsidR="00606F80" w:rsidRDefault="00606F80" w:rsidP="00D00DA0">
      <w:pPr>
        <w:rPr>
          <w:sz w:val="24"/>
        </w:rPr>
      </w:pPr>
    </w:p>
    <w:p w:rsidR="00523C1F" w:rsidRPr="00523C1F" w:rsidRDefault="00523C1F" w:rsidP="00523C1F">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l</w:t>
      </w:r>
      <w:r w:rsidRPr="00523C1F">
        <w:rPr>
          <w:rFonts w:ascii="Times New Roman" w:eastAsia="Times New Roman" w:hAnsi="Times New Roman" w:cs="Times New Roman"/>
          <w:sz w:val="24"/>
          <w:szCs w:val="24"/>
          <w:lang w:eastAsia="fr-FR"/>
        </w:rPr>
        <w:t>’Université Numérique Cheikh Hamidou Kane (UN-CHK), confrontée à des taux d’abandon élevés dans ses formations en ligne,</w:t>
      </w:r>
      <w:r>
        <w:rPr>
          <w:rFonts w:ascii="Times New Roman" w:eastAsia="Times New Roman" w:hAnsi="Times New Roman" w:cs="Times New Roman"/>
          <w:sz w:val="24"/>
          <w:szCs w:val="24"/>
          <w:lang w:eastAsia="fr-FR"/>
        </w:rPr>
        <w:t xml:space="preserve"> on</w:t>
      </w:r>
      <w:r w:rsidRPr="00523C1F">
        <w:rPr>
          <w:rFonts w:ascii="Times New Roman" w:eastAsia="Times New Roman" w:hAnsi="Times New Roman" w:cs="Times New Roman"/>
          <w:sz w:val="24"/>
          <w:szCs w:val="24"/>
          <w:lang w:eastAsia="fr-FR"/>
        </w:rPr>
        <w:t xml:space="preserve"> a mené une expérimentation visant à évaluer l’apport de l’intelligence artificielle (IA) à l’amélioration de la rétention des </w:t>
      </w:r>
      <w:r w:rsidRPr="00523C1F">
        <w:rPr>
          <w:rFonts w:ascii="Times New Roman" w:eastAsia="Times New Roman" w:hAnsi="Times New Roman" w:cs="Times New Roman"/>
          <w:sz w:val="24"/>
          <w:szCs w:val="24"/>
          <w:lang w:eastAsia="fr-FR"/>
        </w:rPr>
        <w:lastRenderedPageBreak/>
        <w:t>apprenants. Sur la base d’un protocole inspiré des travaux intersectoriels recensés dans une revue de littérature préalable, plusieurs dispositifs IA ont été déployés : modèle prédictif du décrochage, système de recommandation pédagogique, chatbot tutoriel et tableau de bord à destination des tuteurs.</w:t>
      </w:r>
      <w:r w:rsidR="00BF1C78">
        <w:rPr>
          <w:rFonts w:ascii="Times New Roman" w:eastAsia="Times New Roman" w:hAnsi="Times New Roman" w:cs="Times New Roman"/>
          <w:sz w:val="24"/>
          <w:szCs w:val="24"/>
          <w:lang w:eastAsia="fr-FR"/>
        </w:rPr>
        <w:t xml:space="preserve"> </w:t>
      </w:r>
      <w:bookmarkStart w:id="0" w:name="_GoBack"/>
      <w:bookmarkEnd w:id="0"/>
    </w:p>
    <w:p w:rsidR="00523C1F" w:rsidRPr="00523C1F" w:rsidRDefault="00523C1F" w:rsidP="00523C1F">
      <w:pPr>
        <w:spacing w:before="100" w:beforeAutospacing="1" w:after="100" w:afterAutospacing="1" w:line="240" w:lineRule="auto"/>
        <w:rPr>
          <w:rFonts w:ascii="Times New Roman" w:eastAsia="Times New Roman" w:hAnsi="Times New Roman" w:cs="Times New Roman"/>
          <w:sz w:val="24"/>
          <w:szCs w:val="24"/>
          <w:lang w:eastAsia="fr-FR"/>
        </w:rPr>
      </w:pPr>
      <w:r w:rsidRPr="00523C1F">
        <w:rPr>
          <w:rFonts w:ascii="Times New Roman" w:eastAsia="Times New Roman" w:hAnsi="Times New Roman" w:cs="Times New Roman"/>
          <w:sz w:val="24"/>
          <w:szCs w:val="24"/>
          <w:lang w:eastAsia="fr-FR"/>
        </w:rPr>
        <w:t>Menée sur deux semestres académiques avec un groupe témoin et un groupe expérimental, l’étude montre des résultats significatifs : amélioration du taux de complétion (+19 points), hausse de l’engagement, progression des performances académiques et forte acceptabilité des outils par les utilisateurs. Les modèles utilisés (XGBoost, K-means, ECM) ont affiché une bonne robustesse prédictive (AUC = 0,91) tout en posant des enjeux éthiques de transparence et d’équité.</w:t>
      </w:r>
    </w:p>
    <w:p w:rsidR="00523C1F" w:rsidRPr="00523C1F" w:rsidRDefault="00523C1F" w:rsidP="00523C1F">
      <w:pPr>
        <w:spacing w:before="100" w:beforeAutospacing="1" w:after="100" w:afterAutospacing="1" w:line="240" w:lineRule="auto"/>
        <w:rPr>
          <w:rFonts w:ascii="Times New Roman" w:eastAsia="Times New Roman" w:hAnsi="Times New Roman" w:cs="Times New Roman"/>
          <w:sz w:val="24"/>
          <w:szCs w:val="24"/>
          <w:lang w:eastAsia="fr-FR"/>
        </w:rPr>
      </w:pPr>
      <w:r w:rsidRPr="00523C1F">
        <w:rPr>
          <w:rFonts w:ascii="Times New Roman" w:eastAsia="Times New Roman" w:hAnsi="Times New Roman" w:cs="Times New Roman"/>
          <w:sz w:val="24"/>
          <w:szCs w:val="24"/>
          <w:lang w:eastAsia="fr-FR"/>
        </w:rPr>
        <w:t>L’expérimentation confirme la faisabilité technique et l’efficacité pédagogique d’un usage encadré de l’IA dans un contexte africain francophone. Elle fournit un modèle reproductible pour d’autres universités numériques et ouvre la voie à des politiques éducatives plus personnalisées, inclusives et durables.</w:t>
      </w:r>
    </w:p>
    <w:p w:rsidR="00D51884" w:rsidRPr="00D50F4B" w:rsidRDefault="00D51884" w:rsidP="00D00DA0">
      <w:pPr>
        <w:rPr>
          <w:sz w:val="24"/>
        </w:rPr>
      </w:pPr>
    </w:p>
    <w:sectPr w:rsidR="00D51884" w:rsidRPr="00D50F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A2DBB"/>
    <w:multiLevelType w:val="multilevel"/>
    <w:tmpl w:val="5AC2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3CC2"/>
    <w:multiLevelType w:val="multilevel"/>
    <w:tmpl w:val="27A6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76DA8"/>
    <w:multiLevelType w:val="multilevel"/>
    <w:tmpl w:val="21C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73E3A"/>
    <w:multiLevelType w:val="multilevel"/>
    <w:tmpl w:val="113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C3771A"/>
    <w:multiLevelType w:val="multilevel"/>
    <w:tmpl w:val="04E6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672CD"/>
    <w:multiLevelType w:val="multilevel"/>
    <w:tmpl w:val="C10C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C15A9"/>
    <w:multiLevelType w:val="multilevel"/>
    <w:tmpl w:val="330E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37B5B"/>
    <w:multiLevelType w:val="multilevel"/>
    <w:tmpl w:val="411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F6B30"/>
    <w:multiLevelType w:val="multilevel"/>
    <w:tmpl w:val="D912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B33E7"/>
    <w:multiLevelType w:val="multilevel"/>
    <w:tmpl w:val="E912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9A10CB"/>
    <w:multiLevelType w:val="multilevel"/>
    <w:tmpl w:val="DE36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82F6B"/>
    <w:multiLevelType w:val="multilevel"/>
    <w:tmpl w:val="A1DAB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70C1A"/>
    <w:multiLevelType w:val="multilevel"/>
    <w:tmpl w:val="CC74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908D0"/>
    <w:multiLevelType w:val="multilevel"/>
    <w:tmpl w:val="A300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7554E"/>
    <w:multiLevelType w:val="multilevel"/>
    <w:tmpl w:val="ADCC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E6105"/>
    <w:multiLevelType w:val="multilevel"/>
    <w:tmpl w:val="9FD64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6235A6"/>
    <w:multiLevelType w:val="multilevel"/>
    <w:tmpl w:val="AD2A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C73591"/>
    <w:multiLevelType w:val="multilevel"/>
    <w:tmpl w:val="5372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A84462"/>
    <w:multiLevelType w:val="multilevel"/>
    <w:tmpl w:val="57F2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1B7D06"/>
    <w:multiLevelType w:val="multilevel"/>
    <w:tmpl w:val="213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6C5A0E"/>
    <w:multiLevelType w:val="multilevel"/>
    <w:tmpl w:val="0B4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AA5CF9"/>
    <w:multiLevelType w:val="multilevel"/>
    <w:tmpl w:val="1E1C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14"/>
  </w:num>
  <w:num w:numId="4">
    <w:abstractNumId w:val="3"/>
  </w:num>
  <w:num w:numId="5">
    <w:abstractNumId w:val="17"/>
  </w:num>
  <w:num w:numId="6">
    <w:abstractNumId w:val="2"/>
  </w:num>
  <w:num w:numId="7">
    <w:abstractNumId w:val="4"/>
  </w:num>
  <w:num w:numId="8">
    <w:abstractNumId w:val="19"/>
  </w:num>
  <w:num w:numId="9">
    <w:abstractNumId w:val="6"/>
  </w:num>
  <w:num w:numId="10">
    <w:abstractNumId w:val="7"/>
  </w:num>
  <w:num w:numId="11">
    <w:abstractNumId w:val="16"/>
  </w:num>
  <w:num w:numId="12">
    <w:abstractNumId w:val="11"/>
  </w:num>
  <w:num w:numId="13">
    <w:abstractNumId w:val="15"/>
  </w:num>
  <w:num w:numId="14">
    <w:abstractNumId w:val="18"/>
  </w:num>
  <w:num w:numId="15">
    <w:abstractNumId w:val="12"/>
  </w:num>
  <w:num w:numId="16">
    <w:abstractNumId w:val="8"/>
  </w:num>
  <w:num w:numId="17">
    <w:abstractNumId w:val="10"/>
  </w:num>
  <w:num w:numId="18">
    <w:abstractNumId w:val="21"/>
  </w:num>
  <w:num w:numId="19">
    <w:abstractNumId w:val="5"/>
  </w:num>
  <w:num w:numId="20">
    <w:abstractNumId w:val="0"/>
  </w:num>
  <w:num w:numId="21">
    <w:abstractNumId w:val="1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C1F"/>
    <w:rsid w:val="0003252A"/>
    <w:rsid w:val="0008453A"/>
    <w:rsid w:val="000D321F"/>
    <w:rsid w:val="001568CD"/>
    <w:rsid w:val="001726D8"/>
    <w:rsid w:val="001A0BD8"/>
    <w:rsid w:val="001C3A20"/>
    <w:rsid w:val="001D0650"/>
    <w:rsid w:val="00227E79"/>
    <w:rsid w:val="00243336"/>
    <w:rsid w:val="0025002E"/>
    <w:rsid w:val="00271A08"/>
    <w:rsid w:val="002F5BC2"/>
    <w:rsid w:val="003666CD"/>
    <w:rsid w:val="00394756"/>
    <w:rsid w:val="00423BAE"/>
    <w:rsid w:val="00486D68"/>
    <w:rsid w:val="004B3B71"/>
    <w:rsid w:val="004D2ABC"/>
    <w:rsid w:val="004E7B59"/>
    <w:rsid w:val="005227F9"/>
    <w:rsid w:val="00523C1F"/>
    <w:rsid w:val="005E0D36"/>
    <w:rsid w:val="00606F80"/>
    <w:rsid w:val="00674A06"/>
    <w:rsid w:val="007B1A16"/>
    <w:rsid w:val="007E711F"/>
    <w:rsid w:val="008A7F8D"/>
    <w:rsid w:val="00A217E4"/>
    <w:rsid w:val="00A6098A"/>
    <w:rsid w:val="00A6536B"/>
    <w:rsid w:val="00A97EA5"/>
    <w:rsid w:val="00AD42A7"/>
    <w:rsid w:val="00AF6759"/>
    <w:rsid w:val="00B37D3B"/>
    <w:rsid w:val="00B442AB"/>
    <w:rsid w:val="00BE7037"/>
    <w:rsid w:val="00BF1C78"/>
    <w:rsid w:val="00C50DEB"/>
    <w:rsid w:val="00D00DA0"/>
    <w:rsid w:val="00D50F4B"/>
    <w:rsid w:val="00D51884"/>
    <w:rsid w:val="00D573A1"/>
    <w:rsid w:val="00DB776B"/>
    <w:rsid w:val="00DC10D3"/>
    <w:rsid w:val="00DC2ED8"/>
    <w:rsid w:val="00DF24FB"/>
    <w:rsid w:val="00E21BAA"/>
    <w:rsid w:val="00E51FC4"/>
    <w:rsid w:val="00EC42C7"/>
    <w:rsid w:val="00F4798E"/>
    <w:rsid w:val="00F54026"/>
    <w:rsid w:val="00FD6C1F"/>
    <w:rsid w:val="00FE0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6DFA85-D2A2-4750-8498-A82BE219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B3B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AF67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8A7F8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4D2A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A7F8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1D0650"/>
    <w:rPr>
      <w:b/>
      <w:bCs/>
    </w:rPr>
  </w:style>
  <w:style w:type="character" w:customStyle="1" w:styleId="Titre4Car">
    <w:name w:val="Titre 4 Car"/>
    <w:basedOn w:val="Policepardfaut"/>
    <w:link w:val="Titre4"/>
    <w:uiPriority w:val="9"/>
    <w:rsid w:val="004D2ABC"/>
    <w:rPr>
      <w:rFonts w:asciiTheme="majorHAnsi" w:eastAsiaTheme="majorEastAsia" w:hAnsiTheme="majorHAnsi" w:cstheme="majorBidi"/>
      <w:i/>
      <w:iCs/>
      <w:color w:val="2E74B5" w:themeColor="accent1" w:themeShade="BF"/>
    </w:rPr>
  </w:style>
  <w:style w:type="character" w:customStyle="1" w:styleId="Titre1Car">
    <w:name w:val="Titre 1 Car"/>
    <w:basedOn w:val="Policepardfaut"/>
    <w:link w:val="Titre1"/>
    <w:uiPriority w:val="9"/>
    <w:rsid w:val="004B3B7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AF6759"/>
    <w:rPr>
      <w:rFonts w:asciiTheme="majorHAnsi" w:eastAsiaTheme="majorEastAsia" w:hAnsiTheme="majorHAnsi" w:cstheme="majorBidi"/>
      <w:color w:val="2E74B5" w:themeColor="accent1" w:themeShade="BF"/>
      <w:sz w:val="26"/>
      <w:szCs w:val="26"/>
    </w:rPr>
  </w:style>
  <w:style w:type="character" w:styleId="Accentuation">
    <w:name w:val="Emphasis"/>
    <w:basedOn w:val="Policepardfaut"/>
    <w:uiPriority w:val="20"/>
    <w:qFormat/>
    <w:rsid w:val="002433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3645">
      <w:bodyDiv w:val="1"/>
      <w:marLeft w:val="0"/>
      <w:marRight w:val="0"/>
      <w:marTop w:val="0"/>
      <w:marBottom w:val="0"/>
      <w:divBdr>
        <w:top w:val="none" w:sz="0" w:space="0" w:color="auto"/>
        <w:left w:val="none" w:sz="0" w:space="0" w:color="auto"/>
        <w:bottom w:val="none" w:sz="0" w:space="0" w:color="auto"/>
        <w:right w:val="none" w:sz="0" w:space="0" w:color="auto"/>
      </w:divBdr>
    </w:div>
    <w:div w:id="189077311">
      <w:bodyDiv w:val="1"/>
      <w:marLeft w:val="0"/>
      <w:marRight w:val="0"/>
      <w:marTop w:val="0"/>
      <w:marBottom w:val="0"/>
      <w:divBdr>
        <w:top w:val="none" w:sz="0" w:space="0" w:color="auto"/>
        <w:left w:val="none" w:sz="0" w:space="0" w:color="auto"/>
        <w:bottom w:val="none" w:sz="0" w:space="0" w:color="auto"/>
        <w:right w:val="none" w:sz="0" w:space="0" w:color="auto"/>
      </w:divBdr>
    </w:div>
    <w:div w:id="369190100">
      <w:bodyDiv w:val="1"/>
      <w:marLeft w:val="0"/>
      <w:marRight w:val="0"/>
      <w:marTop w:val="0"/>
      <w:marBottom w:val="0"/>
      <w:divBdr>
        <w:top w:val="none" w:sz="0" w:space="0" w:color="auto"/>
        <w:left w:val="none" w:sz="0" w:space="0" w:color="auto"/>
        <w:bottom w:val="none" w:sz="0" w:space="0" w:color="auto"/>
        <w:right w:val="none" w:sz="0" w:space="0" w:color="auto"/>
      </w:divBdr>
    </w:div>
    <w:div w:id="535891413">
      <w:bodyDiv w:val="1"/>
      <w:marLeft w:val="0"/>
      <w:marRight w:val="0"/>
      <w:marTop w:val="0"/>
      <w:marBottom w:val="0"/>
      <w:divBdr>
        <w:top w:val="none" w:sz="0" w:space="0" w:color="auto"/>
        <w:left w:val="none" w:sz="0" w:space="0" w:color="auto"/>
        <w:bottom w:val="none" w:sz="0" w:space="0" w:color="auto"/>
        <w:right w:val="none" w:sz="0" w:space="0" w:color="auto"/>
      </w:divBdr>
    </w:div>
    <w:div w:id="837503757">
      <w:bodyDiv w:val="1"/>
      <w:marLeft w:val="0"/>
      <w:marRight w:val="0"/>
      <w:marTop w:val="0"/>
      <w:marBottom w:val="0"/>
      <w:divBdr>
        <w:top w:val="none" w:sz="0" w:space="0" w:color="auto"/>
        <w:left w:val="none" w:sz="0" w:space="0" w:color="auto"/>
        <w:bottom w:val="none" w:sz="0" w:space="0" w:color="auto"/>
        <w:right w:val="none" w:sz="0" w:space="0" w:color="auto"/>
      </w:divBdr>
    </w:div>
    <w:div w:id="868224692">
      <w:bodyDiv w:val="1"/>
      <w:marLeft w:val="0"/>
      <w:marRight w:val="0"/>
      <w:marTop w:val="0"/>
      <w:marBottom w:val="0"/>
      <w:divBdr>
        <w:top w:val="none" w:sz="0" w:space="0" w:color="auto"/>
        <w:left w:val="none" w:sz="0" w:space="0" w:color="auto"/>
        <w:bottom w:val="none" w:sz="0" w:space="0" w:color="auto"/>
        <w:right w:val="none" w:sz="0" w:space="0" w:color="auto"/>
      </w:divBdr>
    </w:div>
    <w:div w:id="933244564">
      <w:bodyDiv w:val="1"/>
      <w:marLeft w:val="0"/>
      <w:marRight w:val="0"/>
      <w:marTop w:val="0"/>
      <w:marBottom w:val="0"/>
      <w:divBdr>
        <w:top w:val="none" w:sz="0" w:space="0" w:color="auto"/>
        <w:left w:val="none" w:sz="0" w:space="0" w:color="auto"/>
        <w:bottom w:val="none" w:sz="0" w:space="0" w:color="auto"/>
        <w:right w:val="none" w:sz="0" w:space="0" w:color="auto"/>
      </w:divBdr>
    </w:div>
    <w:div w:id="1297680460">
      <w:bodyDiv w:val="1"/>
      <w:marLeft w:val="0"/>
      <w:marRight w:val="0"/>
      <w:marTop w:val="0"/>
      <w:marBottom w:val="0"/>
      <w:divBdr>
        <w:top w:val="none" w:sz="0" w:space="0" w:color="auto"/>
        <w:left w:val="none" w:sz="0" w:space="0" w:color="auto"/>
        <w:bottom w:val="none" w:sz="0" w:space="0" w:color="auto"/>
        <w:right w:val="none" w:sz="0" w:space="0" w:color="auto"/>
      </w:divBdr>
    </w:div>
    <w:div w:id="1642661083">
      <w:bodyDiv w:val="1"/>
      <w:marLeft w:val="0"/>
      <w:marRight w:val="0"/>
      <w:marTop w:val="0"/>
      <w:marBottom w:val="0"/>
      <w:divBdr>
        <w:top w:val="none" w:sz="0" w:space="0" w:color="auto"/>
        <w:left w:val="none" w:sz="0" w:space="0" w:color="auto"/>
        <w:bottom w:val="none" w:sz="0" w:space="0" w:color="auto"/>
        <w:right w:val="none" w:sz="0" w:space="0" w:color="auto"/>
      </w:divBdr>
    </w:div>
    <w:div w:id="204061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12</Pages>
  <Words>3360</Words>
  <Characters>18481</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Doudou COLY</dc:creator>
  <cp:keywords/>
  <dc:description/>
  <cp:lastModifiedBy>Doudou COLY</cp:lastModifiedBy>
  <cp:revision>53</cp:revision>
  <dcterms:created xsi:type="dcterms:W3CDTF">2025-05-19T09:47:00Z</dcterms:created>
  <dcterms:modified xsi:type="dcterms:W3CDTF">2025-05-19T11:53:00Z</dcterms:modified>
</cp:coreProperties>
</file>