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AAC3D4" wp14:paraId="7D51F7C3" wp14:textId="36B63757">
      <w:pPr>
        <w:spacing w:before="0" w:beforeAutospacing="off" w:after="240" w:afterAutospacing="off"/>
        <w:jc w:val="center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21AAC3D4" w:rsidR="0CDBE40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MECE Breakdown Analysis – Northwind Traders</w:t>
      </w:r>
      <w:r w:rsidRPr="21AAC3D4" w:rsidR="0CDBE40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</w:t>
      </w:r>
    </w:p>
    <w:p xmlns:wp14="http://schemas.microsoft.com/office/word/2010/wordml" w:rsidP="21AAC3D4" wp14:paraId="6751D9D1" wp14:textId="08C211CB">
      <w:pPr>
        <w:pStyle w:val="Heading2"/>
        <w:spacing w:before="24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1AAC3D4" w:rsidR="0E993CE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</w:p>
    <w:p xmlns:wp14="http://schemas.microsoft.com/office/word/2010/wordml" w:rsidP="21AAC3D4" wp14:paraId="7B6248EB" wp14:textId="30A4E74A">
      <w:pPr>
        <w:spacing w:before="12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1AAC3D4" w:rsidR="0E993CE4">
        <w:rPr>
          <w:rFonts w:ascii="Calibri" w:hAnsi="Calibri" w:eastAsia="Calibri" w:cs="Calibri"/>
          <w:noProof w:val="0"/>
          <w:sz w:val="22"/>
          <w:szCs w:val="22"/>
          <w:lang w:val="en-US"/>
        </w:rPr>
        <w:t>To provide a structured and interactive Power BI report for Northwind Traders that enables data-driven decision-making across sales, customers, inventory, employees, and suppliers.</w:t>
      </w:r>
    </w:p>
    <w:p xmlns:wp14="http://schemas.microsoft.com/office/word/2010/wordml" w:rsidP="21AAC3D4" wp14:paraId="526284DF" wp14:textId="3EC820AC">
      <w:pPr>
        <w:pStyle w:val="Heading2"/>
        <w:spacing w:before="24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1AAC3D4" w:rsidR="0E993CE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Introduction</w:t>
      </w:r>
    </w:p>
    <w:p xmlns:wp14="http://schemas.microsoft.com/office/word/2010/wordml" w:rsidP="21AAC3D4" wp14:paraId="2A3F5392" wp14:textId="674157ED">
      <w:pPr>
        <w:spacing w:before="12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1AAC3D4" w:rsidR="0E993CE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Northwind Traders dataset </w:t>
      </w:r>
      <w:r w:rsidRPr="21AAC3D4" w:rsidR="0E993CE4">
        <w:rPr>
          <w:rFonts w:ascii="Calibri" w:hAnsi="Calibri" w:eastAsia="Calibri" w:cs="Calibri"/>
          <w:noProof w:val="0"/>
          <w:sz w:val="22"/>
          <w:szCs w:val="22"/>
          <w:lang w:val="en-US"/>
        </w:rPr>
        <w:t>represents</w:t>
      </w:r>
      <w:r w:rsidRPr="21AAC3D4" w:rsidR="0E993CE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fictional retail company with detailed records of customers, products, suppliers, employees, orders, and inventory.</w:t>
      </w:r>
    </w:p>
    <w:p w:rsidR="1F1F3250" w:rsidP="21AAC3D4" w:rsidRDefault="1F1F3250" w14:paraId="25D0E96B" w14:textId="53A753DD">
      <w:pPr>
        <w:pStyle w:val="Heading3"/>
        <w:spacing w:before="24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1AAC3D4" w:rsidR="1F1F32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Sales Performance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70"/>
        <w:gridCol w:w="3120"/>
        <w:gridCol w:w="3570"/>
      </w:tblGrid>
      <w:tr w:rsidR="21AAC3D4" w:rsidTr="21AAC3D4" w14:paraId="768CA0C5">
        <w:trPr>
          <w:trHeight w:val="390"/>
        </w:trPr>
        <w:tc>
          <w:tcPr>
            <w:tcW w:w="2670" w:type="dxa"/>
            <w:shd w:val="clear" w:color="auto" w:fill="3B6FB6"/>
            <w:tcMar/>
            <w:vAlign w:val="center"/>
          </w:tcPr>
          <w:p w:rsidR="21AAC3D4" w:rsidP="21AAC3D4" w:rsidRDefault="21AAC3D4" w14:paraId="57B0BCE2" w14:textId="27D2C3CB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  <w:color w:val="auto"/>
              </w:rPr>
              <w:t>Analytical Scope</w:t>
            </w:r>
          </w:p>
        </w:tc>
        <w:tc>
          <w:tcPr>
            <w:tcW w:w="3120" w:type="dxa"/>
            <w:shd w:val="clear" w:color="auto" w:fill="3B6FB6"/>
            <w:tcMar/>
            <w:vAlign w:val="center"/>
          </w:tcPr>
          <w:p w:rsidR="21AAC3D4" w:rsidP="21AAC3D4" w:rsidRDefault="21AAC3D4" w14:paraId="7077FFE2" w14:textId="70B59099">
            <w:pPr>
              <w:spacing w:before="0" w:beforeAutospacing="off" w:after="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  <w:color w:val="auto"/>
              </w:rPr>
              <w:t>Performance</w:t>
            </w:r>
            <w:r w:rsidRPr="21AAC3D4" w:rsidR="321558EA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 </w:t>
            </w:r>
            <w:r w:rsidRPr="21AAC3D4" w:rsidR="21AAC3D4">
              <w:rPr>
                <w:rFonts w:ascii="Calibri" w:hAnsi="Calibri" w:eastAsia="Calibri" w:cs="Calibri"/>
                <w:b w:val="1"/>
                <w:bCs w:val="1"/>
                <w:color w:val="auto"/>
              </w:rPr>
              <w:t>Indicators</w:t>
            </w:r>
          </w:p>
        </w:tc>
        <w:tc>
          <w:tcPr>
            <w:tcW w:w="3570" w:type="dxa"/>
            <w:shd w:val="clear" w:color="auto" w:fill="3B6FB6"/>
            <w:tcMar/>
            <w:vAlign w:val="center"/>
          </w:tcPr>
          <w:p w:rsidR="21AAC3D4" w:rsidP="21AAC3D4" w:rsidRDefault="21AAC3D4" w14:paraId="5EF75C5B" w14:textId="275260A5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  <w:color w:val="auto"/>
              </w:rPr>
              <w:t>Strategic Value</w:t>
            </w:r>
          </w:p>
        </w:tc>
      </w:tr>
      <w:tr w:rsidR="21AAC3D4" w:rsidTr="21AAC3D4" w14:paraId="3818DDAC">
        <w:trPr>
          <w:trHeight w:val="1140"/>
        </w:trPr>
        <w:tc>
          <w:tcPr>
            <w:tcW w:w="2670" w:type="dxa"/>
            <w:tcMar/>
            <w:vAlign w:val="center"/>
          </w:tcPr>
          <w:p w:rsidR="21AAC3D4" w:rsidP="21AAC3D4" w:rsidRDefault="21AAC3D4" w14:paraId="35195BCF" w14:textId="663F248B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Revenue trends across time, category, product, and region</w:t>
            </w:r>
          </w:p>
        </w:tc>
        <w:tc>
          <w:tcPr>
            <w:tcW w:w="3120" w:type="dxa"/>
            <w:tcMar/>
            <w:vAlign w:val="center"/>
          </w:tcPr>
          <w:p w:rsidR="21AAC3D4" w:rsidP="21AAC3D4" w:rsidRDefault="21AAC3D4" w14:paraId="6A84A214" w14:textId="0129611A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Total Revenue, Revenue Growth %, Units Sold, Revenue per Order</w:t>
            </w:r>
          </w:p>
        </w:tc>
        <w:tc>
          <w:tcPr>
            <w:tcW w:w="3570" w:type="dxa"/>
            <w:tcMar/>
            <w:vAlign w:val="center"/>
          </w:tcPr>
          <w:p w:rsidR="21AAC3D4" w:rsidP="21AAC3D4" w:rsidRDefault="21AAC3D4" w14:paraId="4AD26D08" w14:textId="70CAFBBB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Enables identification of high-performing categories, growth patterns, and sales efficiency drivers.</w:t>
            </w:r>
          </w:p>
        </w:tc>
      </w:tr>
    </w:tbl>
    <w:p w:rsidR="580AB28A" w:rsidP="21AAC3D4" w:rsidRDefault="580AB28A" w14:paraId="06896359" w14:textId="5B458695">
      <w:pPr>
        <w:pStyle w:val="Normal"/>
        <w:spacing w:before="24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1AAC3D4" w:rsidR="580AB28A">
        <w:rPr>
          <w:rFonts w:ascii="Calibri" w:hAnsi="Calibri" w:eastAsia="Calibri" w:cs="Calibri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Customer Delivery Performance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63"/>
        <w:gridCol w:w="3125"/>
        <w:gridCol w:w="3571"/>
      </w:tblGrid>
      <w:tr w:rsidR="21AAC3D4" w:rsidTr="21AAC3D4" w14:paraId="6B42299A">
        <w:trPr>
          <w:trHeight w:val="389"/>
        </w:trPr>
        <w:tc>
          <w:tcPr>
            <w:tcW w:w="2663" w:type="dxa"/>
            <w:shd w:val="clear" w:color="auto" w:fill="3B6FB6"/>
            <w:tcMar/>
            <w:vAlign w:val="center"/>
          </w:tcPr>
          <w:p w:rsidR="21AAC3D4" w:rsidP="21AAC3D4" w:rsidRDefault="21AAC3D4" w14:paraId="0BCC661F" w14:textId="2FE3FDC4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Analytical Scope</w:t>
            </w:r>
          </w:p>
        </w:tc>
        <w:tc>
          <w:tcPr>
            <w:tcW w:w="3125" w:type="dxa"/>
            <w:shd w:val="clear" w:color="auto" w:fill="3B6FB6"/>
            <w:tcMar/>
            <w:vAlign w:val="center"/>
          </w:tcPr>
          <w:p w:rsidR="21AAC3D4" w:rsidP="21AAC3D4" w:rsidRDefault="21AAC3D4" w14:paraId="6E07142A" w14:textId="72F4B3E0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Performance Indicators</w:t>
            </w:r>
          </w:p>
        </w:tc>
        <w:tc>
          <w:tcPr>
            <w:tcW w:w="3571" w:type="dxa"/>
            <w:shd w:val="clear" w:color="auto" w:fill="3B6FB6"/>
            <w:tcMar/>
            <w:vAlign w:val="center"/>
          </w:tcPr>
          <w:p w:rsidR="21AAC3D4" w:rsidP="21AAC3D4" w:rsidRDefault="21AAC3D4" w14:paraId="7FF66CA7" w14:textId="3973B534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Strategic Value</w:t>
            </w:r>
          </w:p>
        </w:tc>
      </w:tr>
      <w:tr w:rsidR="21AAC3D4" w:rsidTr="21AAC3D4" w14:paraId="1CE67523">
        <w:trPr>
          <w:trHeight w:val="1138"/>
        </w:trPr>
        <w:tc>
          <w:tcPr>
            <w:tcW w:w="2663" w:type="dxa"/>
            <w:tcMar/>
            <w:vAlign w:val="center"/>
          </w:tcPr>
          <w:p w:rsidR="21AAC3D4" w:rsidP="21AAC3D4" w:rsidRDefault="21AAC3D4" w14:paraId="1B781CF7" w14:textId="1C635514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Shipping efficiency and order processing performance</w:t>
            </w:r>
          </w:p>
        </w:tc>
        <w:tc>
          <w:tcPr>
            <w:tcW w:w="3125" w:type="dxa"/>
            <w:tcMar/>
            <w:vAlign w:val="center"/>
          </w:tcPr>
          <w:p w:rsidR="21AAC3D4" w:rsidP="21AAC3D4" w:rsidRDefault="21AAC3D4" w14:paraId="710FA9F0" w14:textId="183CBA72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On-Time Delivery %, Avg Delivery Delay, Processing Time</w:t>
            </w:r>
          </w:p>
        </w:tc>
        <w:tc>
          <w:tcPr>
            <w:tcW w:w="3571" w:type="dxa"/>
            <w:tcMar/>
            <w:vAlign w:val="center"/>
          </w:tcPr>
          <w:p w:rsidR="21AAC3D4" w:rsidP="21AAC3D4" w:rsidRDefault="21AAC3D4" w14:paraId="374E21C6" w14:textId="178EFF62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 xml:space="preserve">Monitors customer fulfillment quality and </w:t>
            </w: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identifies</w:t>
            </w: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 xml:space="preserve"> operational bottlenecks.</w:t>
            </w:r>
          </w:p>
        </w:tc>
      </w:tr>
    </w:tbl>
    <w:p w:rsidR="7D0D6E51" w:rsidP="21AAC3D4" w:rsidRDefault="7D0D6E51" w14:paraId="6AE2CF55" w14:textId="5E96B8D2">
      <w:pPr>
        <w:pStyle w:val="Heading3"/>
        <w:spacing w:before="24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1AAC3D4" w:rsidR="7D0D6E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Inventory Management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64"/>
        <w:gridCol w:w="3125"/>
        <w:gridCol w:w="3571"/>
      </w:tblGrid>
      <w:tr w:rsidR="21AAC3D4" w:rsidTr="21AAC3D4" w14:paraId="3528CABD">
        <w:trPr>
          <w:trHeight w:val="389"/>
        </w:trPr>
        <w:tc>
          <w:tcPr>
            <w:tcW w:w="2664" w:type="dxa"/>
            <w:shd w:val="clear" w:color="auto" w:fill="3B6FB6"/>
            <w:tcMar/>
            <w:vAlign w:val="center"/>
          </w:tcPr>
          <w:p w:rsidR="21AAC3D4" w:rsidP="21AAC3D4" w:rsidRDefault="21AAC3D4" w14:paraId="302F63B9" w14:textId="161B7914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Analytical Scope</w:t>
            </w:r>
          </w:p>
        </w:tc>
        <w:tc>
          <w:tcPr>
            <w:tcW w:w="3125" w:type="dxa"/>
            <w:shd w:val="clear" w:color="auto" w:fill="3B6FB6"/>
            <w:tcMar/>
            <w:vAlign w:val="center"/>
          </w:tcPr>
          <w:p w:rsidR="21AAC3D4" w:rsidP="21AAC3D4" w:rsidRDefault="21AAC3D4" w14:paraId="1E4CFD88" w14:textId="5F0BAC73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Performance Indicators</w:t>
            </w:r>
          </w:p>
        </w:tc>
        <w:tc>
          <w:tcPr>
            <w:tcW w:w="3571" w:type="dxa"/>
            <w:shd w:val="clear" w:color="auto" w:fill="3B6FB6"/>
            <w:tcMar/>
            <w:vAlign w:val="center"/>
          </w:tcPr>
          <w:p w:rsidR="21AAC3D4" w:rsidP="21AAC3D4" w:rsidRDefault="21AAC3D4" w14:paraId="2577BF01" w14:textId="48C04F0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Strategic Value</w:t>
            </w:r>
          </w:p>
        </w:tc>
      </w:tr>
      <w:tr w:rsidR="21AAC3D4" w:rsidTr="21AAC3D4" w14:paraId="059B96E0">
        <w:trPr>
          <w:trHeight w:val="1138"/>
        </w:trPr>
        <w:tc>
          <w:tcPr>
            <w:tcW w:w="2664" w:type="dxa"/>
            <w:tcMar/>
            <w:vAlign w:val="center"/>
          </w:tcPr>
          <w:p w:rsidR="21AAC3D4" w:rsidP="21AAC3D4" w:rsidRDefault="21AAC3D4" w14:paraId="088E4290" w14:textId="3CED9627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Stock distribution and product movement efficiency</w:t>
            </w:r>
          </w:p>
        </w:tc>
        <w:tc>
          <w:tcPr>
            <w:tcW w:w="3125" w:type="dxa"/>
            <w:tcMar/>
            <w:vAlign w:val="center"/>
          </w:tcPr>
          <w:p w:rsidR="21AAC3D4" w:rsidP="21AAC3D4" w:rsidRDefault="21AAC3D4" w14:paraId="307B9732" w14:textId="076124AC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Units in Stock, Inventory Turnover, Stock Coverage Days</w:t>
            </w:r>
          </w:p>
        </w:tc>
        <w:tc>
          <w:tcPr>
            <w:tcW w:w="3571" w:type="dxa"/>
            <w:tcMar/>
            <w:vAlign w:val="center"/>
          </w:tcPr>
          <w:p w:rsidR="21AAC3D4" w:rsidP="21AAC3D4" w:rsidRDefault="21AAC3D4" w14:paraId="16488C5C" w14:textId="46A8F45A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Supports optimization of stock levels and reduction of overstock or stock-out risk.</w:t>
            </w:r>
          </w:p>
        </w:tc>
      </w:tr>
    </w:tbl>
    <w:p w:rsidR="17EDF1B3" w:rsidP="21AAC3D4" w:rsidRDefault="17EDF1B3" w14:paraId="0DA1F45C" w14:textId="461E6C07">
      <w:pPr>
        <w:pStyle w:val="Normal"/>
        <w:spacing w:before="24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1AAC3D4" w:rsidR="17EDF1B3">
        <w:rPr>
          <w:rFonts w:ascii="Calibri" w:hAnsi="Calibri" w:eastAsia="Calibri" w:cs="Calibri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Employee Performance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64"/>
        <w:gridCol w:w="3125"/>
        <w:gridCol w:w="3571"/>
      </w:tblGrid>
      <w:tr w:rsidR="21AAC3D4" w:rsidTr="21AAC3D4" w14:paraId="4BA39D31">
        <w:trPr>
          <w:trHeight w:val="389"/>
        </w:trPr>
        <w:tc>
          <w:tcPr>
            <w:tcW w:w="2664" w:type="dxa"/>
            <w:shd w:val="clear" w:color="auto" w:fill="3B6FB6"/>
            <w:tcMar/>
            <w:vAlign w:val="center"/>
          </w:tcPr>
          <w:p w:rsidR="21AAC3D4" w:rsidP="21AAC3D4" w:rsidRDefault="21AAC3D4" w14:paraId="4B3E7308" w14:textId="76166726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Analytical Scope</w:t>
            </w:r>
          </w:p>
        </w:tc>
        <w:tc>
          <w:tcPr>
            <w:tcW w:w="3125" w:type="dxa"/>
            <w:shd w:val="clear" w:color="auto" w:fill="3B6FB6"/>
            <w:tcMar/>
            <w:vAlign w:val="center"/>
          </w:tcPr>
          <w:p w:rsidR="21AAC3D4" w:rsidP="21AAC3D4" w:rsidRDefault="21AAC3D4" w14:paraId="494106F1" w14:textId="28061FE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Performance Indicators</w:t>
            </w:r>
          </w:p>
        </w:tc>
        <w:tc>
          <w:tcPr>
            <w:tcW w:w="3571" w:type="dxa"/>
            <w:shd w:val="clear" w:color="auto" w:fill="3B6FB6"/>
            <w:tcMar/>
            <w:vAlign w:val="center"/>
          </w:tcPr>
          <w:p w:rsidR="21AAC3D4" w:rsidP="21AAC3D4" w:rsidRDefault="21AAC3D4" w14:paraId="715C13CA" w14:textId="5FCBC7A5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Strategic Value</w:t>
            </w:r>
          </w:p>
        </w:tc>
      </w:tr>
      <w:tr w:rsidR="21AAC3D4" w:rsidTr="21AAC3D4" w14:paraId="2D47BDAE">
        <w:trPr>
          <w:trHeight w:val="1138"/>
        </w:trPr>
        <w:tc>
          <w:tcPr>
            <w:tcW w:w="2664" w:type="dxa"/>
            <w:tcMar/>
            <w:vAlign w:val="center"/>
          </w:tcPr>
          <w:p w:rsidR="21AAC3D4" w:rsidP="21AAC3D4" w:rsidRDefault="21AAC3D4" w14:paraId="555798C0" w14:textId="3C9672BC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Individual productivity and service efficiency</w:t>
            </w:r>
          </w:p>
        </w:tc>
        <w:tc>
          <w:tcPr>
            <w:tcW w:w="3125" w:type="dxa"/>
            <w:tcMar/>
            <w:vAlign w:val="center"/>
          </w:tcPr>
          <w:p w:rsidR="21AAC3D4" w:rsidP="21AAC3D4" w:rsidRDefault="21AAC3D4" w14:paraId="62C441E1" w14:textId="05D5B76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Revenue Generated, Orders Handled, Avg Delivery Delay</w:t>
            </w:r>
          </w:p>
        </w:tc>
        <w:tc>
          <w:tcPr>
            <w:tcW w:w="3571" w:type="dxa"/>
            <w:tcMar/>
            <w:vAlign w:val="center"/>
          </w:tcPr>
          <w:p w:rsidR="21AAC3D4" w:rsidP="21AAC3D4" w:rsidRDefault="21AAC3D4" w14:paraId="3A191F05" w14:textId="63A9F857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Measures workforce effectiveness and contribution to operational success.</w:t>
            </w:r>
          </w:p>
        </w:tc>
      </w:tr>
    </w:tbl>
    <w:p w:rsidR="21AAC3D4" w:rsidP="21AAC3D4" w:rsidRDefault="21AAC3D4" w14:paraId="2AFB32D4" w14:textId="7472821E">
      <w:pPr>
        <w:jc w:val="both"/>
      </w:pPr>
    </w:p>
    <w:p w:rsidR="56B3590F" w:rsidP="21AAC3D4" w:rsidRDefault="56B3590F" w14:paraId="5ACCFC3E" w14:textId="3C8853A7">
      <w:pPr>
        <w:pStyle w:val="Normal"/>
        <w:spacing w:before="24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1AAC3D4" w:rsidR="56B3590F">
        <w:rPr>
          <w:rFonts w:ascii="Calibri" w:hAnsi="Calibri" w:eastAsia="Calibri" w:cs="Calibri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Supplier Evaluation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64"/>
        <w:gridCol w:w="3125"/>
        <w:gridCol w:w="3571"/>
      </w:tblGrid>
      <w:tr w:rsidR="21AAC3D4" w:rsidTr="21AAC3D4" w14:paraId="1B9B1EA1">
        <w:trPr>
          <w:trHeight w:val="389"/>
        </w:trPr>
        <w:tc>
          <w:tcPr>
            <w:tcW w:w="2664" w:type="dxa"/>
            <w:shd w:val="clear" w:color="auto" w:fill="3B6FB6"/>
            <w:tcMar/>
            <w:vAlign w:val="center"/>
          </w:tcPr>
          <w:p w:rsidR="21AAC3D4" w:rsidP="21AAC3D4" w:rsidRDefault="21AAC3D4" w14:paraId="396C6074" w14:textId="0B5C32A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Analytical Scope</w:t>
            </w:r>
          </w:p>
        </w:tc>
        <w:tc>
          <w:tcPr>
            <w:tcW w:w="3125" w:type="dxa"/>
            <w:shd w:val="clear" w:color="auto" w:fill="3B6FB6"/>
            <w:tcMar/>
            <w:vAlign w:val="center"/>
          </w:tcPr>
          <w:p w:rsidR="21AAC3D4" w:rsidP="21AAC3D4" w:rsidRDefault="21AAC3D4" w14:paraId="271DBE41" w14:textId="7663D15F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Performance Indicators</w:t>
            </w:r>
          </w:p>
        </w:tc>
        <w:tc>
          <w:tcPr>
            <w:tcW w:w="3571" w:type="dxa"/>
            <w:shd w:val="clear" w:color="auto" w:fill="3B6FB6"/>
            <w:tcMar/>
            <w:vAlign w:val="center"/>
          </w:tcPr>
          <w:p w:rsidR="21AAC3D4" w:rsidP="21AAC3D4" w:rsidRDefault="21AAC3D4" w14:paraId="14724D2A" w14:textId="1DA5EA44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21AAC3D4" w:rsidR="21AAC3D4">
              <w:rPr>
                <w:rFonts w:ascii="Calibri" w:hAnsi="Calibri" w:eastAsia="Calibri" w:cs="Calibri"/>
                <w:b w:val="1"/>
                <w:bCs w:val="1"/>
              </w:rPr>
              <w:t>Strategic Value</w:t>
            </w:r>
          </w:p>
        </w:tc>
      </w:tr>
      <w:tr w:rsidR="21AAC3D4" w:rsidTr="21AAC3D4" w14:paraId="3E38456C">
        <w:trPr>
          <w:trHeight w:val="1138"/>
        </w:trPr>
        <w:tc>
          <w:tcPr>
            <w:tcW w:w="2664" w:type="dxa"/>
            <w:tcMar/>
            <w:vAlign w:val="center"/>
          </w:tcPr>
          <w:p w:rsidR="21AAC3D4" w:rsidP="21AAC3D4" w:rsidRDefault="21AAC3D4" w14:paraId="78C05D17" w14:textId="52A6E8E9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Supplier contribution and operational reliability</w:t>
            </w:r>
          </w:p>
        </w:tc>
        <w:tc>
          <w:tcPr>
            <w:tcW w:w="3125" w:type="dxa"/>
            <w:tcMar/>
            <w:vAlign w:val="center"/>
          </w:tcPr>
          <w:p w:rsidR="21AAC3D4" w:rsidP="21AAC3D4" w:rsidRDefault="21AAC3D4" w14:paraId="4165834F" w14:textId="7DE23A60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Units Supplied, Revenue Contribution, Avg Delivery Delay, Max Processing Time</w:t>
            </w:r>
          </w:p>
        </w:tc>
        <w:tc>
          <w:tcPr>
            <w:tcW w:w="3571" w:type="dxa"/>
            <w:tcMar/>
            <w:vAlign w:val="center"/>
          </w:tcPr>
          <w:p w:rsidR="21AAC3D4" w:rsidP="21AAC3D4" w:rsidRDefault="21AAC3D4" w14:paraId="624B7313" w14:textId="0BD73527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21AAC3D4" w:rsidR="21AAC3D4">
              <w:rPr>
                <w:rFonts w:ascii="Calibri" w:hAnsi="Calibri" w:eastAsia="Calibri" w:cs="Calibri"/>
                <w:sz w:val="22"/>
                <w:szCs w:val="22"/>
              </w:rPr>
              <w:t>Assesses supplier impact on revenue and delivery performance consistency.</w:t>
            </w:r>
          </w:p>
        </w:tc>
      </w:tr>
    </w:tbl>
    <w:p w:rsidR="21AAC3D4" w:rsidRDefault="21AAC3D4" w14:paraId="5F4BEBCD" w14:textId="51DC7EE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738a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CD3167"/>
    <w:rsid w:val="0075204B"/>
    <w:rsid w:val="00E2FA3F"/>
    <w:rsid w:val="03088E17"/>
    <w:rsid w:val="03849E7B"/>
    <w:rsid w:val="05469ED1"/>
    <w:rsid w:val="0657B4C2"/>
    <w:rsid w:val="0792CD40"/>
    <w:rsid w:val="07E781F7"/>
    <w:rsid w:val="09F02422"/>
    <w:rsid w:val="0AE4437E"/>
    <w:rsid w:val="0B016075"/>
    <w:rsid w:val="0CDBE40C"/>
    <w:rsid w:val="0E993CE4"/>
    <w:rsid w:val="0F5E4EE9"/>
    <w:rsid w:val="1449E550"/>
    <w:rsid w:val="160F9E8C"/>
    <w:rsid w:val="1629BDBF"/>
    <w:rsid w:val="16BC702D"/>
    <w:rsid w:val="17EDF1B3"/>
    <w:rsid w:val="18997A98"/>
    <w:rsid w:val="19C2F488"/>
    <w:rsid w:val="19E4B1BA"/>
    <w:rsid w:val="1A69CB6E"/>
    <w:rsid w:val="1BC22468"/>
    <w:rsid w:val="1D2437A7"/>
    <w:rsid w:val="1D8FF2EB"/>
    <w:rsid w:val="1DB0FD0A"/>
    <w:rsid w:val="1F1F3250"/>
    <w:rsid w:val="1F924DE6"/>
    <w:rsid w:val="209EB117"/>
    <w:rsid w:val="20D52455"/>
    <w:rsid w:val="21AAC3D4"/>
    <w:rsid w:val="22536A07"/>
    <w:rsid w:val="22F7B202"/>
    <w:rsid w:val="24E45D5A"/>
    <w:rsid w:val="257D1669"/>
    <w:rsid w:val="261EC36E"/>
    <w:rsid w:val="26FE63EE"/>
    <w:rsid w:val="27925A1C"/>
    <w:rsid w:val="29615263"/>
    <w:rsid w:val="29C4B44C"/>
    <w:rsid w:val="2C6733FD"/>
    <w:rsid w:val="2D23BB20"/>
    <w:rsid w:val="302AECE3"/>
    <w:rsid w:val="30F6FC4D"/>
    <w:rsid w:val="31D54E10"/>
    <w:rsid w:val="321558EA"/>
    <w:rsid w:val="374BDDEF"/>
    <w:rsid w:val="39E712F5"/>
    <w:rsid w:val="3A03707E"/>
    <w:rsid w:val="3AC52882"/>
    <w:rsid w:val="3BD5298D"/>
    <w:rsid w:val="3C464C8C"/>
    <w:rsid w:val="3C7F246E"/>
    <w:rsid w:val="3D1F5CE2"/>
    <w:rsid w:val="3D1F5CE2"/>
    <w:rsid w:val="3D234AB4"/>
    <w:rsid w:val="3D234AB4"/>
    <w:rsid w:val="4012860A"/>
    <w:rsid w:val="405770C7"/>
    <w:rsid w:val="41B0AF2A"/>
    <w:rsid w:val="41BFEC0E"/>
    <w:rsid w:val="452CC416"/>
    <w:rsid w:val="4588FDA3"/>
    <w:rsid w:val="4778CE7D"/>
    <w:rsid w:val="477C79D0"/>
    <w:rsid w:val="481E875D"/>
    <w:rsid w:val="49F985A7"/>
    <w:rsid w:val="4A3C2807"/>
    <w:rsid w:val="4ACD3167"/>
    <w:rsid w:val="4BD8BBD6"/>
    <w:rsid w:val="4D0FC190"/>
    <w:rsid w:val="4D629E63"/>
    <w:rsid w:val="4DFB407F"/>
    <w:rsid w:val="4F4D420F"/>
    <w:rsid w:val="5094884B"/>
    <w:rsid w:val="521A96F7"/>
    <w:rsid w:val="526D9DD7"/>
    <w:rsid w:val="53D28D24"/>
    <w:rsid w:val="56B3590F"/>
    <w:rsid w:val="57061C2C"/>
    <w:rsid w:val="580AB28A"/>
    <w:rsid w:val="58B59A23"/>
    <w:rsid w:val="5B396D14"/>
    <w:rsid w:val="5BEE0DAA"/>
    <w:rsid w:val="5CE6D7F5"/>
    <w:rsid w:val="5CF92626"/>
    <w:rsid w:val="5D1E81C3"/>
    <w:rsid w:val="5DB442FC"/>
    <w:rsid w:val="5EF52D66"/>
    <w:rsid w:val="5F1828DE"/>
    <w:rsid w:val="60FE3F5D"/>
    <w:rsid w:val="614D8A78"/>
    <w:rsid w:val="6389F245"/>
    <w:rsid w:val="68570FB5"/>
    <w:rsid w:val="690565E3"/>
    <w:rsid w:val="69CDA6E1"/>
    <w:rsid w:val="6DC59C41"/>
    <w:rsid w:val="6E34DEBC"/>
    <w:rsid w:val="7090DBED"/>
    <w:rsid w:val="70FB9978"/>
    <w:rsid w:val="72FB58B1"/>
    <w:rsid w:val="75F7EDC2"/>
    <w:rsid w:val="76B66322"/>
    <w:rsid w:val="76B66322"/>
    <w:rsid w:val="7703898D"/>
    <w:rsid w:val="78DFDE93"/>
    <w:rsid w:val="7B2073D9"/>
    <w:rsid w:val="7D0D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B157"/>
  <w15:chartTrackingRefBased/>
  <w15:docId w15:val="{D8559CB6-2026-4D64-8D87-F85E3BB1D8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C464C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3C464C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C464C8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1AAC3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1AAC3D4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21AAC3D4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1AAC3D4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1a6283d81d4e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2026-02-13T14:15:16.9971053Z</dcterms:created>
  <dcterms:modified xsi:type="dcterms:W3CDTF">2026-02-20T06:16:00.5918198Z</dcterms:modified>
  <dc:creator>JEVANESWARI.K</dc:creator>
  <lastModifiedBy>JEVANESWARI.K</lastModifiedBy>
</coreProperties>
</file>