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AD 智能手套系统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专家知识库设计方案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—— 面向临床团队汇报 ——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汇报对象：临床医师团队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预计时长：12–15 分钟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日期：2026 年 4 月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一、为什么要重新设计知识库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当前 AI 诊断系统的三个痛点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我们在前期调研中发现，现有的 AI 辅助诊断系统在临床落地时普遍面临三个问题，这些问题直接影响医生对系统的信任度和使用意愿：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知识黑盒：AI 给出的建议没办法追溯到具体的医学文献或临床指南，医生看不到它是依据什么下的判断。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更新滞后：AI 模型训练一次要几周到几个月，新发表的指南、新的药物适应症没法及时进入系统。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医生没法参与：现有系统的知识是工程师预先注入的，医生即使发现问题也改不了。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我们的目标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针对上述痛点，我们对 AD 专家知识库提出三条硬性要求：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可审计：AI 的每一条临床建议都能追溯到它读了哪一页知识、引用了哪篇文献、证据等级是什么。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可编辑：临床医生能够直接修改、添加、删除知识条目，无需工程师介入，改完立刻生效。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循证对齐：每条知识标注证据等级（A/B/C/D），过期内容自动提醒复审。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二、我们选择的技术方案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2.1 一句话概括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我们的专家知识库不是一个黑盒数据库，而是一套由医生直接编写和维护的电子版临床手册，AI 在每次诊断时像住院医查 UpToDate 一样实时查阅。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2.2 和传统 AI 系统的对比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传统 AI 医疗系统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我们的方案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知识来源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训练时预先注入模型，看不见改不了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独立的临床知识库，医生可见可改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更新方式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重新训模型（月/年级别）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医生修改文件，立刻生效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引用追溯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无法追溯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每条结论带文献来源和证据等级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医生参与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仅作为测试者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作为知识库主编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监管审查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难以通过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天然可审计</w:t>
            </w:r>
          </w:p>
        </w:tc>
      </w:tr>
    </w:tbl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2.3 知识库的结构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整个知识库按临床维度组织成 5 个目录，每个条目是一页独立的临床小结：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目录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分期 /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AD 六个阶段的诊断标准与特征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MCI 页、轻度 AD 页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症状 /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BPSD 等行为精神症状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日落综合征、游走、激越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传感器指标 /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每个可量化指标的阈值与临床含义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步态变异性、HRV、皮电昼夜曲线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干预方案 /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药物与非药物干预及证据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光照治疗、曲唑酮、音乐治疗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证据文献 /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引用的原始文献元数据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Iaboni 2022、Buracchio 2010</w:t>
            </w:r>
          </w:p>
        </w:tc>
      </w:tr>
    </w:tbl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2.4 单条知识长什么样（示例：日落综合征）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下面是日落综合征这一条知识在库里的实际格式，医生可以直接编辑：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FA8BF" w:sz="6"/>
              <w:left w:val="single" w:color="8FA8BF" w:sz="6"/>
              <w:bottom w:val="single" w:color="8FA8BF" w:sz="6"/>
              <w:right w:val="single" w:color="8FA8BF" w:sz="6"/>
            </w:tcBorders>
            <w:shd w:fill="FAFB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【元信息】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分期：MCI / 轻度 AD / 中度 AD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相关传感器：EDA / PPG / IMU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证据等级：B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最近复审：2026-04-01    复审到期：2026-10-01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【临床定义】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黄昏至夜间出现的激越、困惑、焦虑加剧现象，见于 20–45% 中度 AD 患者。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【病理机制】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SCN 视交叉上核退化 → 昼夜节律紊乱 → 皮质醇曲线平坦化，叠加黄昏光照减少引发的感觉剥夺。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【传感器标志物】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EDA：SCL 在 16–20 点的上升斜率 &gt; 基线 +1.5 SD（AUC 0.82）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PPG：黄昏时段 HRV LF/HF 比值 &gt; 2.5（AUC 0.74）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• IMU：17–19 点游走步频较日间 +30%（AUC 0.79）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【鉴别诊断】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vs 谵妄：急性起病、意识波动 → 查血氧、感染指标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vs 睡眠障碍：时相不同 → 参见睡眠障碍条目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【干预建议】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一线：光照治疗（10,000 lux，上午 30 min），证据级 B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二线：曲唑酮 25–50 mg 睡前，证据级 C</w:t>
            </w:r>
          </w:p>
          <w:p>
            <w:pPr>
              <w:spacing w:after="80" w:before="1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4E79"/>
                <w:sz w:val="20"/>
                <w:szCs w:val="20"/>
              </w:rPr>
              <w:t xml:space="preserve">【证据来源】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Khachiyants N, et al. Am J Alzheimers Dis. 2011;26(4):271.（综述，B 级）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2. Canevelli M, et al. Am J Geriatr Psychiatry. 2016;24(3):222.（队列 n=431，B 级）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 Iaboni A, et al. 2022.（个性化传感器模型，B 级）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三、AI 如何使用这个知识库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3.1 一次完整诊断流程示例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以一个中度 AD 患者为例，演示 AI 从传感器数据到临床建议的完整流程：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80"/>
        <w:gridCol w:w="37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动作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知识库参与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手套采集到 EDA 信号，傍晚 17:30 SCL 异常升高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AI 自动进入知识库，查传感器指标目录下的皮电昼夜曲线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 1 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匹配到日落综合征症状，跳转到对应条目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打开第 2 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查看鉴别诊断，排除谵妄与睡眠障碍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打开第 3、4 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读取一线干预（光照治疗）及证据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打开第 5 页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生成建议，附带 3 篇文献引用返回给医生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3.2 多个专家 Agent 协作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我们的系统里有 7 个专家 Agent，每个对应一个临床子领域。它们在诊断时访问的是同一个知识库，但各自关注不同的目录：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临床角色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主要查阅目录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临床诊断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负责分期与综合诊断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分期 / 、证据文献 /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情绪行为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BPSD 识别与干预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症状 / 、干预方案 /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运动认知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步态、双任务代价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传感器指标 / IMU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语言认知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语音语言学指标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传感器指标 / 语音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自主神经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HRV、皮电等生理调节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传感器指标 / PPG、EDA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干预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音乐、光照、药物建议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干预方案 /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照护管理 Agent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家属教育与日常照护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症状 / 、干预方案 /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四、医生如何参与知识库维护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4.1 三种参与角色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80"/>
        <w:gridCol w:w="40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权限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典型场景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主编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新建 / 删除条目，审批变更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学科带头人，每月审 1–2 次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编辑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修改现有条目，提交变更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主治医师，发现阈值不合理直接改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评审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评论、打标签、不直接修改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研究生 / 进修医师参与讨论</w:t>
            </w:r>
          </w:p>
        </w:tc>
      </w:tr>
    </w:tbl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4.2 修改流程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医生在编辑界面打开对应的知识条目（Web 或本地编辑器）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直接修改文字、阈值、或引用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写一句修改理由（例如：根据 2025 新指南更新）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点保存，系统自动版本化，AI 下次诊断立即使用新版本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4.3 质量保障机制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复审机制：每条知识有复审到期日，过期自动在主编看板上飘红。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证据等级过滤：AI 在做诊断性判断时只采用 A/B 级证据，避免低质量知识影响临床决策。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变更日志：每次修改都记录作者、时间、原因，完整审计链。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双人复核：涉及药物剂量或禁忌症的修改默认需要第二位医生确认。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五、对比：为什么不用其他方案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2025 年给 AI 系统管理知识主流有 4 种方案，我们做了横向对比：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20"/>
        <w:gridCol w:w="1920"/>
        <w:gridCol w:w="192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本质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优点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缺点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我们的选择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文件库（本方案）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Markdown 文件 + 元信息标签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透明 / 可审计 / 医生可编辑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规模超过千条时检索需辅助索引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✅ 采用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传统 RAG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向量库 + 语义检索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大语料表现好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chunk 丢失上下文，可信度差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实体 - 关系三元组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支持复杂推理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专家编辑成本高，工程复杂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⏳ 未来可升级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纯大模型记忆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全部塞进模型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响应快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不可编辑，不可审计</w:t>
            </w:r>
          </w:p>
        </w:tc>
        <w:tc>
          <w:tcPr>
            <w:tcW w:type="dxa" w:w="1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六、实施路径与时间表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380"/>
        <w:gridCol w:w="30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工作内容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Phase 1 骨架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1–2 周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目录结构 + Schema 定稿，迁移现有 JSON 知识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可读的知识库骨架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Phase 2 内容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3–6 周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临床团队填充叙事内容，补齐引用与证据等级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约 50 条完整知识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Phase 3 接入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5–8 周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 个 Agent 切换到新知识库，构建编辑界面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生产可用的系统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Phase 4 验证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第 9–12 周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回溯病例验证诊断一致性，医生满意度评估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验证报告</w:t>
            </w:r>
          </w:p>
        </w:tc>
      </w:tr>
    </w:tbl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pStyle w:val="Heading1"/>
        <w:spacing w:after="18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七、小结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今天汇报的核心三点，请临床团队记住：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我们的专家知识库等于医生的电子版临床手册，AI 像住院医一样查阅。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每条知识可审计、可追溯、可编辑、有证据等级，对齐循证医学与监管要求。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医生是知识库的主人，不是 AI 的旁观者。</w:t>
      </w:r>
    </w:p>
    <w:p>
      <w:r>
        <w:rPr>
          <w:rFonts w:ascii="Microsoft YaHei" w:cs="Microsoft YaHei" w:eastAsia="Microsoft YaHei" w:hAnsi="Microsoft YaHei"/>
        </w:rPr>
        <w:t xml:space="preserve"> </w:t>
      </w:r>
    </w:p>
    <w:p>
      <w:pPr>
        <w:spacing w:after="10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接下来期待临床团队的问题与反馈，特别是：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知识条目的粒度是否合适？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证据等级 A/B/C/D 的划分是否符合临床实际？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哪些症状 / 指标需要优先建条目？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哪位医生愿意担任主编或编辑角色？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AD 智能手套 · 专家知识库汇报  |  第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专家知识库设计方案</dc:title>
  <dc:creator>AD Project</dc:creator>
  <cp:lastModifiedBy>Un-named</cp:lastModifiedBy>
  <cp:revision>1</cp:revision>
  <dcterms:created xsi:type="dcterms:W3CDTF">2026-04-13T10:00:37.664Z</dcterms:created>
  <dcterms:modified xsi:type="dcterms:W3CDTF">2026-04-13T10:00:37.668Z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