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 AGREEMENT</w:t>
      </w:r>
    </w:p>
    <w:p>
      <w:r>
        <w:t>1. Scope of Services</w:t>
      </w:r>
    </w:p>
    <w:p>
      <w:r>
        <w:t>Consultant shall provide advisory services related to corporate restructuring.</w:t>
      </w:r>
    </w:p>
    <w:p>
      <w:r>
        <w:t>2. Indemnification</w:t>
      </w:r>
    </w:p>
    <w:p>
      <w:r>
        <w:t>Each party shall indemnify the other for losses caused by its own gross negligence.</w:t>
      </w:r>
    </w:p>
    <w:p>
      <w:r>
        <w:t>3. Limitation of Liability</w:t>
      </w:r>
    </w:p>
    <w:p>
      <w:r>
        <w:t>Neither party's aggregate liability under this Agreement shall exceed the total fees paid in the twelve months preceding the claim.</w:t>
      </w:r>
    </w:p>
    <w:p>
      <w:r>
        <w:t>4. Term and Termination</w:t>
      </w:r>
    </w:p>
    <w:p>
      <w:r>
        <w:t>This Agreement shall remain in effect for one year and may be terminated by either party upon thirty days'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