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82B49"/>
          <w:sz w:val="48"/>
        </w:rPr>
        <w:t>Employee Expense, IT Support &amp; Compliance Policy Handbook</w:t>
      </w:r>
    </w:p>
    <w:p>
      <w:pPr>
        <w:spacing w:after="400"/>
        <w:pBrd>
          <w:bottom w:val="single" w:sz="6" w:space="12" w:color="D1D5DB"/>
        </w:pBrd>
      </w:pPr>
      <w:r>
        <w:rPr>
          <w:i/>
          <w:color w:val="5A6978"/>
          <w:sz w:val="20"/>
        </w:rPr>
        <w:t>Version 2.2  |  Comprehensive Ingestion &amp; Dynamic Chunking Test Document</w:t>
      </w:r>
    </w:p>
    <w:p>
      <w:pPr>
        <w:keepNext/>
        <w:spacing w:before="320" w:after="120"/>
      </w:pPr>
      <w:r>
        <w:rPr>
          <w:rFonts w:ascii="Calibri" w:hAnsi="Calibri"/>
          <w:b/>
          <w:color w:val="5A6978"/>
          <w:sz w:val="28"/>
        </w:rPr>
        <w:t>Section 1: Password Reset and Account Security</w:t>
      </w:r>
    </w:p>
    <w:p>
      <w:pPr>
        <w:spacing w:after="200"/>
      </w:pPr>
      <w:r>
        <w:t>To reset your corporate password, select "Forgot password" on the login portal. A link will be sent directly to your verified work email address. Please note that this reset link expires strictly after 15 minutes for security compliance.</w:t>
      </w:r>
    </w:p>
    <w:p>
      <w:pPr>
        <w:keepNext/>
        <w:spacing w:before="320" w:after="120"/>
      </w:pPr>
      <w:r>
        <w:rPr>
          <w:rFonts w:ascii="Calibri" w:hAnsi="Calibri"/>
          <w:b/>
          <w:color w:val="5A6978"/>
          <w:sz w:val="28"/>
        </w:rPr>
        <w:t>Section 2: Exceptions and Recovery Workflow</w:t>
      </w:r>
    </w:p>
    <w:p>
      <w:pPr>
        <w:spacing w:after="280"/>
      </w:pPr>
      <w:r>
        <w:t>If an employee cannot access their work email due to an active outage or device failure, the local identity team must manually verify their identity using the approved offline recovery protocol before issuing a temporary password.</w:t>
      </w:r>
    </w:p>
    <w:p>
      <w:pPr>
        <w:keepNext/>
        <w:spacing w:before="320" w:after="120"/>
      </w:pPr>
      <w:r>
        <w:rPr>
          <w:rFonts w:ascii="Calibri" w:hAnsi="Calibri"/>
          <w:b/>
          <w:color w:val="5A6978"/>
          <w:sz w:val="28"/>
        </w:rPr>
        <w:t>Section 3: Reimbursable Equipment Table</w:t>
      </w:r>
    </w:p>
    <w:p>
      <w:pPr>
        <w:spacing w:after="160"/>
      </w:pPr>
      <w:r>
        <w:t>The table below outlines standard equipment allowances and maximum reimbursement caps for office and tech setups.</w:t>
      </w:r>
    </w:p>
    <w:tbl>
      <w:tblPr>
        <w:tblW w:type="auto" w:w="0"/>
        <w:jc w:val="center"/>
        <w:tblLook w:firstColumn="1" w:firstRow="1" w:lastColumn="0" w:lastRow="0" w:noHBand="0" w:noVBand="1" w:val="04A0"/>
      </w:tblPr>
      <w:tblGrid>
        <w:gridCol w:w="3120"/>
        <w:gridCol w:w="3120"/>
        <w:gridCol w:w="3120"/>
      </w:tblGrid>
      <w:tr>
        <w:tc>
          <w:tcPr>
            <w:tcW w:type="dxa" w:w="3600"/>
            <w:shd w:fill="182B49"/>
          </w:tcPr>
          <w:p>
            <w:r>
              <w:rPr>
                <w:b/>
                <w:color w:val="FFFFFF"/>
                <w:sz w:val="21"/>
              </w:rPr>
              <w:t>Item</w:t>
            </w:r>
          </w:p>
        </w:tc>
        <w:tc>
          <w:tcPr>
            <w:tcW w:type="dxa" w:w="2160"/>
            <w:shd w:fill="182B49"/>
          </w:tcPr>
          <w:p>
            <w:r>
              <w:rPr>
                <w:b/>
                <w:color w:val="FFFFFF"/>
                <w:sz w:val="21"/>
              </w:rPr>
              <w:t>Category</w:t>
            </w:r>
          </w:p>
        </w:tc>
        <w:tc>
          <w:tcPr>
            <w:tcW w:type="dxa" w:w="2160"/>
            <w:shd w:fill="182B49"/>
          </w:tcPr>
          <w:p>
            <w:r>
              <w:rPr>
                <w:b/>
                <w:color w:val="FFFFFF"/>
                <w:sz w:val="21"/>
              </w:rPr>
              <w:t>Max Limit</w:t>
            </w:r>
          </w:p>
        </w:tc>
      </w:tr>
      <w:tr>
        <w:tc>
          <w:tcPr>
            <w:tcW w:type="dxa" w:w="3600"/>
          </w:tcPr>
          <w:p>
            <w:r>
              <w:rPr>
                <w:color w:val="333333"/>
                <w:sz w:val="20"/>
              </w:rPr>
              <w:t>Ergonomic Chair</w:t>
            </w:r>
          </w:p>
        </w:tc>
        <w:tc>
          <w:tcPr>
            <w:tcW w:type="dxa" w:w="2160"/>
          </w:tcPr>
          <w:p>
            <w:r>
              <w:rPr>
                <w:color w:val="333333"/>
                <w:sz w:val="20"/>
              </w:rPr>
              <w:t>Office</w:t>
            </w:r>
          </w:p>
        </w:tc>
        <w:tc>
          <w:tcPr>
            <w:tcW w:type="dxa" w:w="2160"/>
          </w:tcPr>
          <w:p>
            <w:r>
              <w:rPr>
                <w:color w:val="333333"/>
                <w:sz w:val="20"/>
              </w:rPr>
              <w:t>$250</w:t>
            </w:r>
          </w:p>
        </w:tc>
      </w:tr>
      <w:tr>
        <w:tc>
          <w:tcPr>
            <w:tcW w:type="dxa" w:w="3600"/>
            <w:shd w:fill="F4F6F9"/>
          </w:tcPr>
          <w:p>
            <w:r>
              <w:rPr>
                <w:color w:val="333333"/>
                <w:sz w:val="20"/>
              </w:rPr>
              <w:t>Standing Desk</w:t>
            </w:r>
          </w:p>
        </w:tc>
        <w:tc>
          <w:tcPr>
            <w:tcW w:type="dxa" w:w="2160"/>
            <w:shd w:fill="F4F6F9"/>
          </w:tcPr>
          <w:p>
            <w:r>
              <w:rPr>
                <w:color w:val="333333"/>
                <w:sz w:val="20"/>
              </w:rPr>
              <w:t>Office</w:t>
            </w:r>
          </w:p>
        </w:tc>
        <w:tc>
          <w:tcPr>
            <w:tcW w:type="dxa" w:w="2160"/>
            <w:shd w:fill="F4F6F9"/>
          </w:tcPr>
          <w:p>
            <w:r>
              <w:rPr>
                <w:color w:val="333333"/>
                <w:sz w:val="20"/>
              </w:rPr>
              <w:t>$500</w:t>
            </w:r>
          </w:p>
        </w:tc>
      </w:tr>
      <w:tr>
        <w:tc>
          <w:tcPr>
            <w:tcW w:type="dxa" w:w="3600"/>
          </w:tcPr>
          <w:p>
            <w:r>
              <w:rPr>
                <w:color w:val="333333"/>
                <w:sz w:val="20"/>
              </w:rPr>
              <w:t>Wireless Headset</w:t>
            </w:r>
          </w:p>
        </w:tc>
        <w:tc>
          <w:tcPr>
            <w:tcW w:type="dxa" w:w="2160"/>
          </w:tcPr>
          <w:p>
            <w:r>
              <w:rPr>
                <w:color w:val="333333"/>
                <w:sz w:val="20"/>
              </w:rPr>
              <w:t>Tech</w:t>
            </w:r>
          </w:p>
        </w:tc>
        <w:tc>
          <w:tcPr>
            <w:tcW w:type="dxa" w:w="2160"/>
          </w:tcPr>
          <w:p>
            <w:r>
              <w:rPr>
                <w:color w:val="333333"/>
                <w:sz w:val="20"/>
              </w:rPr>
              <w:t>$150</w:t>
            </w:r>
          </w:p>
        </w:tc>
      </w:tr>
    </w:tbl>
    <w:p>
      <w:pPr>
        <w:keepNext/>
        <w:spacing w:before="320" w:after="120"/>
      </w:pPr>
      <w:r>
        <w:rPr>
          <w:rFonts w:ascii="Calibri" w:hAnsi="Calibri"/>
          <w:b/>
          <w:color w:val="5A6978"/>
          <w:sz w:val="28"/>
        </w:rPr>
        <w:t>Section 4: IT Support and Hardware Approval Hierarchy</w:t>
      </w:r>
    </w:p>
    <w:p>
      <w:pPr>
        <w:spacing w:after="160"/>
      </w:pPr>
      <w:r>
        <w:t>For hardware requests exceeding standard budget caps, formal approval must be routed through the departmental hierarchy. Below is the verification matrix required for procurement fulfillment.</w:t>
      </w:r>
    </w:p>
    <w:tbl>
      <w:tblPr>
        <w:tblW w:type="auto" w:w="0"/>
        <w:jc w:val="center"/>
        <w:tblLook w:firstColumn="1" w:firstRow="1" w:lastColumn="0" w:lastRow="0" w:noHBand="0" w:noVBand="1" w:val="04A0"/>
        <w:tblBorders>
          <w:top w:val="single" w:sz="4" w:space="0" w:color="D1D5DB"/>
          <w:left w:val="none" w:sz="0" w:space="0" w:color="auto"/>
          <w:bottom w:val="single" w:sz="4" w:space="0" w:color="D1D5DB"/>
          <w:right w:val="none" w:sz="0" w:space="0" w:color="auto"/>
          <w:insideH w:val="single" w:sz="4" w:space="0" w:color="D1D5DB"/>
          <w:insideV w:val="none" w:sz="0" w:space="0" w:color="auto"/>
        </w:tblBorders>
      </w:tblPr>
      <w:tblGrid>
        <w:gridCol w:w="3120"/>
        <w:gridCol w:w="3120"/>
        <w:gridCol w:w="3120"/>
      </w:tblGrid>
      <w:tr>
        <w:tc>
          <w:tcPr>
            <w:tcW w:type="dxa" w:w="3600"/>
            <w:shd w:fill="182B49"/>
          </w:tcPr>
          <w:p>
            <w:r>
              <w:rPr>
                <w:b/>
                <w:color w:val="FFFFFF"/>
                <w:sz w:val="21"/>
              </w:rPr>
              <w:t>Device Type</w:t>
            </w:r>
          </w:p>
        </w:tc>
        <w:tc>
          <w:tcPr>
            <w:tcW w:type="dxa" w:w="2160"/>
            <w:shd w:fill="182B49"/>
          </w:tcPr>
          <w:p>
            <w:r>
              <w:rPr>
                <w:b/>
                <w:color w:val="FFFFFF"/>
                <w:sz w:val="21"/>
              </w:rPr>
              <w:t>Minimum Role Required</w:t>
            </w:r>
          </w:p>
        </w:tc>
        <w:tc>
          <w:tcPr>
            <w:tcW w:type="dxa" w:w="2160"/>
            <w:shd w:fill="182B49"/>
          </w:tcPr>
          <w:p>
            <w:r>
              <w:rPr>
                <w:b/>
                <w:color w:val="FFFFFF"/>
                <w:sz w:val="21"/>
              </w:rPr>
              <w:t>Approval Needed By</w:t>
            </w:r>
          </w:p>
        </w:tc>
      </w:tr>
      <w:tr>
        <w:tc>
          <w:tcPr>
            <w:tcW w:type="dxa" w:w="3600"/>
          </w:tcPr>
          <w:p>
            <w:r>
              <w:rPr>
                <w:color w:val="333333"/>
                <w:sz w:val="20"/>
              </w:rPr>
              <w:t>Developer Laptop</w:t>
            </w:r>
          </w:p>
        </w:tc>
        <w:tc>
          <w:tcPr>
            <w:tcW w:type="dxa" w:w="2160"/>
          </w:tcPr>
          <w:p>
            <w:r>
              <w:rPr>
                <w:color w:val="333333"/>
                <w:sz w:val="20"/>
              </w:rPr>
              <w:t>Senior Engineer</w:t>
            </w:r>
          </w:p>
        </w:tc>
        <w:tc>
          <w:tcPr>
            <w:tcW w:type="dxa" w:w="2160"/>
          </w:tcPr>
          <w:p>
            <w:r>
              <w:rPr>
                <w:color w:val="333333"/>
                <w:sz w:val="20"/>
              </w:rPr>
              <w:t>VP of Engineering</w:t>
            </w:r>
          </w:p>
        </w:tc>
      </w:tr>
      <w:tr>
        <w:tc>
          <w:tcPr>
            <w:tcW w:type="dxa" w:w="3600"/>
            <w:shd w:fill="F4F6F9"/>
          </w:tcPr>
          <w:p>
            <w:r>
              <w:rPr>
                <w:color w:val="333333"/>
                <w:sz w:val="20"/>
              </w:rPr>
              <w:t>Standard Workstation</w:t>
            </w:r>
          </w:p>
        </w:tc>
        <w:tc>
          <w:tcPr>
            <w:tcW w:type="dxa" w:w="2160"/>
            <w:shd w:fill="F4F6F9"/>
          </w:tcPr>
          <w:p>
            <w:r>
              <w:rPr>
                <w:color w:val="333333"/>
                <w:sz w:val="20"/>
              </w:rPr>
              <w:t>Associate</w:t>
            </w:r>
          </w:p>
        </w:tc>
        <w:tc>
          <w:tcPr>
            <w:tcW w:type="dxa" w:w="2160"/>
            <w:shd w:fill="F4F6F9"/>
          </w:tcPr>
          <w:p>
            <w:r>
              <w:rPr>
                <w:color w:val="333333"/>
                <w:sz w:val="20"/>
              </w:rPr>
              <w:t>Department Manager</w:t>
            </w:r>
          </w:p>
        </w:tc>
      </w:tr>
      <w:tr>
        <w:tc>
          <w:tcPr>
            <w:tcW w:type="dxa" w:w="3600"/>
          </w:tcPr>
          <w:p>
            <w:r>
              <w:rPr>
                <w:color w:val="333333"/>
                <w:sz w:val="20"/>
              </w:rPr>
              <w:t>External Monitor</w:t>
            </w:r>
          </w:p>
        </w:tc>
        <w:tc>
          <w:tcPr>
            <w:tcW w:type="dxa" w:w="2160"/>
          </w:tcPr>
          <w:p>
            <w:r>
              <w:rPr>
                <w:color w:val="333333"/>
                <w:sz w:val="20"/>
              </w:rPr>
              <w:t>All Staff</w:t>
            </w:r>
          </w:p>
        </w:tc>
        <w:tc>
          <w:tcPr>
            <w:tcW w:type="dxa" w:w="2160"/>
          </w:tcPr>
          <w:p>
            <w:r>
              <w:rPr>
                <w:color w:val="333333"/>
                <w:sz w:val="20"/>
              </w:rPr>
              <w:t>Direct Supervisor</w:t>
            </w:r>
          </w:p>
        </w:tc>
      </w:tr>
    </w:tbl>
    <w:p>
      <w:pPr>
        <w:keepNext/>
        <w:spacing w:before="320" w:after="120"/>
      </w:pPr>
      <w:r>
        <w:rPr>
          <w:rFonts w:ascii="Calibri" w:hAnsi="Calibri"/>
          <w:b/>
          <w:color w:val="5A6978"/>
          <w:sz w:val="28"/>
        </w:rPr>
        <w:t>Section 5: Annual Wellness Stipend &amp; Remote Guidelines</w:t>
      </w:r>
    </w:p>
    <w:p>
      <w:pPr>
        <w:spacing w:after="200"/>
      </w:pPr>
      <w:r>
        <w:t>All full-time employees receive an annual wellness stipend of $600 to cover gym memberships, mental health applications, or ergonomic fitness equipment. All receipts must be submitted via the internal HR portal before December 15th of the current fiscal year. Furthermore, if an employee is working remotely from an approved international location, standard local shipping rules do not apply; the logistics team must coordinate direct local procurement through approved regional vendors to prevent customs delays.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