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DLCELPC275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christian.angel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1.-Parametric   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