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E86F1E"/>
          <w:sz w:val="26"/>
        </w:rPr>
        <w:t>IDBI Innovate 2026</w:t>
      </w:r>
    </w:p>
    <w:p>
      <w:pPr>
        <w:spacing w:after="40"/>
        <w:jc w:val="center"/>
      </w:pPr>
      <w:r>
        <w:rPr>
          <w:b/>
          <w:color w:val="006B6B"/>
          <w:sz w:val="80"/>
        </w:rPr>
        <w:t>MITRA</w:t>
      </w:r>
    </w:p>
    <w:p>
      <w:pPr>
        <w:jc w:val="center"/>
      </w:pPr>
      <w:r>
        <w:rPr>
          <w:color w:val="5A6363"/>
          <w:sz w:val="26"/>
        </w:rPr>
        <w:t>Avatar-based AI Digital Wealth Advisor</w:t>
      </w:r>
    </w:p>
    <w:p>
      <w:pPr>
        <w:spacing w:before="520"/>
        <w:jc w:val="center"/>
      </w:pPr>
      <w:r>
        <w:rPr>
          <w:b/>
          <w:color w:val="1A1A1A"/>
          <w:sz w:val="44"/>
        </w:rPr>
        <w:t>Data Field Requirements</w:t>
      </w:r>
    </w:p>
    <w:p>
      <w:pPr>
        <w:spacing w:after="600"/>
        <w:jc w:val="center"/>
      </w:pPr>
      <w:r>
        <w:rPr>
          <w:color w:val="5A6363"/>
          <w:sz w:val="21"/>
        </w:rPr>
        <w:t>API request and response field specification for sandbox integration</w:t>
      </w:r>
    </w:p>
    <w:tbl>
      <w:tblPr>
        <w:tblStyle w:val="TableGrid"/>
        <w:tblW w:type="auto" w:w="0"/>
        <w:jc w:val="center"/>
        <w:tblLook w:firstColumn="1" w:firstRow="1" w:lastColumn="0" w:lastRow="0" w:noHBand="0" w:noVBand="1" w:val="04A0"/>
      </w:tblPr>
      <w:tblGrid>
        <w:gridCol w:w="7056"/>
        <w:gridCol w:w="7056"/>
      </w:tblGrid>
      <w:tr>
        <w:tc>
          <w:tcPr>
            <w:tcW w:type="dxa" w:w="2880"/>
            <w:shd w:val="clear" w:color="auto" w:fill="F2F4F4"/>
          </w:tcPr>
          <w:p>
            <w:pPr>
              <w:spacing w:after="40" w:before="40" w:line="240" w:lineRule="auto"/>
            </w:pPr>
            <w:r/>
            <w:r>
              <w:rPr>
                <w:rFonts w:ascii="Calibri" w:hAnsi="Calibri"/>
                <w:b/>
                <w:i w:val="0"/>
                <w:color w:val="1A1A1A"/>
                <w:sz w:val="19"/>
              </w:rPr>
              <w:t>Document</w:t>
            </w:r>
          </w:p>
        </w:tc>
        <w:tc>
          <w:tcPr>
            <w:tcW w:type="dxa" w:w="8928"/>
          </w:tcPr>
          <w:p>
            <w:pPr>
              <w:spacing w:after="40" w:before="40" w:line="240" w:lineRule="auto"/>
            </w:pPr>
            <w:r/>
            <w:r>
              <w:rPr>
                <w:rFonts w:ascii="Calibri" w:hAnsi="Calibri"/>
                <w:b w:val="0"/>
                <w:i w:val="0"/>
                <w:color w:val="1A1A1A"/>
                <w:sz w:val="19"/>
              </w:rPr>
              <w:t>MITRA — Data Field Requirements</w:t>
            </w:r>
          </w:p>
        </w:tc>
      </w:tr>
      <w:tr>
        <w:tc>
          <w:tcPr>
            <w:tcW w:type="dxa" w:w="2880"/>
            <w:shd w:val="clear" w:color="auto" w:fill="F2F4F4"/>
          </w:tcPr>
          <w:p>
            <w:pPr>
              <w:spacing w:after="40" w:before="40" w:line="240" w:lineRule="auto"/>
            </w:pPr>
            <w:r/>
            <w:r>
              <w:rPr>
                <w:rFonts w:ascii="Calibri" w:hAnsi="Calibri"/>
                <w:b/>
                <w:i w:val="0"/>
                <w:color w:val="1A1A1A"/>
                <w:sz w:val="19"/>
              </w:rPr>
              <w:t>Track</w:t>
            </w:r>
          </w:p>
        </w:tc>
        <w:tc>
          <w:tcPr>
            <w:tcW w:type="dxa" w:w="8928"/>
          </w:tcPr>
          <w:p>
            <w:pPr>
              <w:spacing w:after="40" w:before="40" w:line="240" w:lineRule="auto"/>
            </w:pPr>
            <w:r/>
            <w:r>
              <w:rPr>
                <w:rFonts w:ascii="Calibri" w:hAnsi="Calibri"/>
                <w:b w:val="0"/>
                <w:i w:val="0"/>
                <w:color w:val="1A1A1A"/>
                <w:sz w:val="19"/>
              </w:rPr>
              <w:t>Track 1 — AI Digital Wealth Advisor</w:t>
            </w:r>
          </w:p>
        </w:tc>
      </w:tr>
      <w:tr>
        <w:tc>
          <w:tcPr>
            <w:tcW w:type="dxa" w:w="2880"/>
            <w:shd w:val="clear" w:color="auto" w:fill="F2F4F4"/>
          </w:tcPr>
          <w:p>
            <w:pPr>
              <w:spacing w:after="40" w:before="40" w:line="240" w:lineRule="auto"/>
            </w:pPr>
            <w:r/>
            <w:r>
              <w:rPr>
                <w:rFonts w:ascii="Calibri" w:hAnsi="Calibri"/>
                <w:b/>
                <w:i w:val="0"/>
                <w:color w:val="1A1A1A"/>
                <w:sz w:val="19"/>
              </w:rPr>
              <w:t>Version</w:t>
            </w:r>
          </w:p>
        </w:tc>
        <w:tc>
          <w:tcPr>
            <w:tcW w:type="dxa" w:w="8928"/>
          </w:tcPr>
          <w:p>
            <w:pPr>
              <w:spacing w:after="40" w:before="40" w:line="240" w:lineRule="auto"/>
            </w:pPr>
            <w:r/>
            <w:r>
              <w:rPr>
                <w:rFonts w:ascii="Calibri" w:hAnsi="Calibri"/>
                <w:b w:val="0"/>
                <w:i w:val="0"/>
                <w:color w:val="1A1A1A"/>
                <w:sz w:val="19"/>
              </w:rPr>
              <w:t>1.0 (Draft for review)</w:t>
            </w:r>
          </w:p>
        </w:tc>
      </w:tr>
      <w:tr>
        <w:tc>
          <w:tcPr>
            <w:tcW w:type="dxa" w:w="2880"/>
            <w:shd w:val="clear" w:color="auto" w:fill="F2F4F4"/>
          </w:tcPr>
          <w:p>
            <w:pPr>
              <w:spacing w:after="40" w:before="40" w:line="240" w:lineRule="auto"/>
            </w:pPr>
            <w:r/>
            <w:r>
              <w:rPr>
                <w:rFonts w:ascii="Calibri" w:hAnsi="Calibri"/>
                <w:b/>
                <w:i w:val="0"/>
                <w:color w:val="1A1A1A"/>
                <w:sz w:val="19"/>
              </w:rPr>
              <w:t>Date</w:t>
            </w:r>
          </w:p>
        </w:tc>
        <w:tc>
          <w:tcPr>
            <w:tcW w:type="dxa" w:w="8928"/>
          </w:tcPr>
          <w:p>
            <w:pPr>
              <w:spacing w:after="40" w:before="40" w:line="240" w:lineRule="auto"/>
            </w:pPr>
            <w:r/>
            <w:r>
              <w:rPr>
                <w:rFonts w:ascii="Calibri" w:hAnsi="Calibri"/>
                <w:b w:val="0"/>
                <w:i w:val="0"/>
                <w:color w:val="1A1A1A"/>
                <w:sz w:val="19"/>
              </w:rPr>
              <w:t>24 August 2026</w:t>
            </w:r>
          </w:p>
        </w:tc>
      </w:tr>
      <w:tr>
        <w:tc>
          <w:tcPr>
            <w:tcW w:type="dxa" w:w="2880"/>
            <w:shd w:val="clear" w:color="auto" w:fill="F2F4F4"/>
          </w:tcPr>
          <w:p>
            <w:pPr>
              <w:spacing w:after="40" w:before="40" w:line="240" w:lineRule="auto"/>
            </w:pPr>
            <w:r/>
            <w:r>
              <w:rPr>
                <w:rFonts w:ascii="Calibri" w:hAnsi="Calibri"/>
                <w:b/>
                <w:i w:val="0"/>
                <w:color w:val="1A1A1A"/>
                <w:sz w:val="19"/>
              </w:rPr>
              <w:t>Prepared by</w:t>
            </w:r>
          </w:p>
        </w:tc>
        <w:tc>
          <w:tcPr>
            <w:tcW w:type="dxa" w:w="8928"/>
          </w:tcPr>
          <w:p>
            <w:pPr>
              <w:spacing w:after="40" w:before="40" w:line="240" w:lineRule="auto"/>
            </w:pPr>
            <w:r/>
            <w:r>
              <w:rPr>
                <w:rFonts w:ascii="Calibri" w:hAnsi="Calibri"/>
                <w:b w:val="0"/>
                <w:i w:val="0"/>
                <w:color w:val="1A1A1A"/>
                <w:sz w:val="19"/>
              </w:rPr>
              <w:t>MITRA Team</w:t>
            </w:r>
          </w:p>
        </w:tc>
      </w:tr>
      <w:tr>
        <w:tc>
          <w:tcPr>
            <w:tcW w:type="dxa" w:w="2880"/>
            <w:shd w:val="clear" w:color="auto" w:fill="F2F4F4"/>
          </w:tcPr>
          <w:p>
            <w:pPr>
              <w:spacing w:after="40" w:before="40" w:line="240" w:lineRule="auto"/>
            </w:pPr>
            <w:r/>
            <w:r>
              <w:rPr>
                <w:rFonts w:ascii="Calibri" w:hAnsi="Calibri"/>
                <w:b/>
                <w:i w:val="0"/>
                <w:color w:val="1A1A1A"/>
                <w:sz w:val="19"/>
              </w:rPr>
              <w:t>Status</w:t>
            </w:r>
          </w:p>
        </w:tc>
        <w:tc>
          <w:tcPr>
            <w:tcW w:type="dxa" w:w="8928"/>
          </w:tcPr>
          <w:p>
            <w:pPr>
              <w:spacing w:after="40" w:before="40" w:line="240" w:lineRule="auto"/>
            </w:pPr>
            <w:r/>
            <w:r>
              <w:rPr>
                <w:rFonts w:ascii="Calibri" w:hAnsi="Calibri"/>
                <w:b w:val="0"/>
                <w:i w:val="0"/>
                <w:color w:val="1A1A1A"/>
                <w:sz w:val="19"/>
              </w:rPr>
              <w:t>For IDBI review — field list not yet frozen</w:t>
            </w:r>
          </w:p>
        </w:tc>
      </w:tr>
      <w:tr>
        <w:tc>
          <w:tcPr>
            <w:tcW w:type="dxa" w:w="2880"/>
            <w:shd w:val="clear" w:color="auto" w:fill="F2F4F4"/>
          </w:tcPr>
          <w:p>
            <w:pPr>
              <w:spacing w:after="40" w:before="40" w:line="240" w:lineRule="auto"/>
            </w:pPr>
            <w:r/>
            <w:r>
              <w:rPr>
                <w:rFonts w:ascii="Calibri" w:hAnsi="Calibri"/>
                <w:b/>
                <w:i w:val="0"/>
                <w:color w:val="1A1A1A"/>
                <w:sz w:val="19"/>
              </w:rPr>
              <w:t>Companion artifacts</w:t>
            </w:r>
          </w:p>
        </w:tc>
        <w:tc>
          <w:tcPr>
            <w:tcW w:type="dxa" w:w="8928"/>
          </w:tcPr>
          <w:p>
            <w:pPr>
              <w:spacing w:after="40" w:before="40" w:line="240" w:lineRule="auto"/>
            </w:pPr>
            <w:r/>
            <w:r>
              <w:rPr>
                <w:rFonts w:ascii="Calibri" w:hAnsi="Calibri"/>
                <w:b w:val="0"/>
                <w:i w:val="0"/>
                <w:color w:val="1A1A1A"/>
                <w:sz w:val="19"/>
              </w:rPr>
              <w:t>openapi.yaml (machine-readable) · API_CONTRACT.md · SANDBOX_REQUIREMENTS.md</w:t>
            </w:r>
          </w:p>
        </w:tc>
      </w:tr>
    </w:tbl>
    <w:p>
      <w:r>
        <w:br w:type="page"/>
      </w:r>
    </w:p>
    <w:p>
      <w:pPr>
        <w:spacing w:before="0" w:after="80"/>
      </w:pPr>
      <w:r>
        <w:rPr>
          <w:b/>
          <w:color w:val="006B6B"/>
          <w:sz w:val="34"/>
        </w:rPr>
        <w:t>1  Purpose and Scope</w:t>
      </w:r>
    </w:p>
    <w:p>
      <w:pPr>
        <w:spacing w:after="200"/>
      </w:pPr>
      <w:r>
        <w:rPr>
          <w:color w:val="006B6B"/>
          <w:sz w:val="12"/>
        </w:rPr>
        <w:t>────────────────────────────────────────────────────────────</w:t>
      </w:r>
    </w:p>
    <w:p>
      <w:pPr>
        <w:spacing w:after="120"/>
      </w:pPr>
      <w:r>
        <w:rPr>
          <w:b w:val="0"/>
          <w:i w:val="0"/>
          <w:color w:val="1A1A1A"/>
          <w:sz w:val="20"/>
        </w:rPr>
        <w:t>This document specifies the data fields MITRA requires from IDBI Bank source systems, and the fields MITRA returns, using the column format of the IDBI Innovate 2026 Data Field Requirements sample. It is the integration contract between MITRA and the bank's data platform.</w:t>
      </w:r>
    </w:p>
    <w:p>
      <w:pPr>
        <w:spacing w:before="240" w:after="80"/>
      </w:pPr>
      <w:r>
        <w:rPr>
          <w:b/>
          <w:color w:val="006B6B"/>
          <w:sz w:val="25"/>
        </w:rPr>
        <w:t>1.1  What MITRA does with this data</w:t>
      </w:r>
    </w:p>
    <w:p>
      <w:pPr>
        <w:spacing w:after="120"/>
      </w:pPr>
      <w:r>
        <w:rPr>
          <w:b w:val="0"/>
          <w:i w:val="0"/>
          <w:color w:val="1A1A1A"/>
          <w:sz w:val="20"/>
        </w:rPr>
        <w:t>MITRA is a conversational wealth advisor embedded in the IDBI mobile app. It reads a customer's accounts, holdings, transactions, liabilities and protection cover, computes a financial health picture, and delivers proactive guidance — surplus detection, goal planning, tax-limit utilisation, allocation drift, protection gaps and scam detection. Every number it presents is computed from the fields in this document; none are hard-coded.</w:t>
      </w:r>
    </w:p>
    <w:p>
      <w:pPr>
        <w:spacing w:before="240" w:after="80"/>
      </w:pPr>
      <w:r>
        <w:rPr>
          <w:b/>
          <w:color w:val="006B6B"/>
          <w:sz w:val="25"/>
        </w:rPr>
        <w:t>1.2  Scope of this specification</w:t>
      </w:r>
    </w:p>
    <w:tbl>
      <w:tblPr>
        <w:tblStyle w:val="TableGrid"/>
        <w:tblW w:type="auto" w:w="0"/>
        <w:tblLayout w:type="fixed"/>
        <w:tblLook w:firstColumn="1" w:firstRow="1" w:lastColumn="0" w:lastRow="0" w:noHBand="0" w:noVBand="1" w:val="04A0"/>
      </w:tblPr>
      <w:tblGrid>
        <w:gridCol w:w="7056"/>
        <w:gridCol w:w="7056"/>
      </w:tblGrid>
      <w:tr>
        <w:trPr>
          <w:tblHeader w:val="true"/>
        </w:trPr>
        <w:tc>
          <w:tcPr>
            <w:tcW w:type="dxa" w:w="2246"/>
            <w:shd w:val="clear" w:color="auto" w:fill="006B6B"/>
          </w:tcPr>
          <w:p>
            <w:pPr>
              <w:spacing w:after="40" w:before="40" w:line="240" w:lineRule="auto"/>
            </w:pPr>
            <w:r/>
            <w:r>
              <w:rPr>
                <w:rFonts w:ascii="Calibri" w:hAnsi="Calibri"/>
                <w:b/>
                <w:i w:val="0"/>
                <w:color w:val="FFFFFF"/>
                <w:sz w:val="17"/>
              </w:rPr>
              <w:t>Aspect</w:t>
            </w:r>
          </w:p>
        </w:tc>
        <w:tc>
          <w:tcPr>
            <w:tcW w:type="dxa" w:w="11794"/>
            <w:shd w:val="clear" w:color="auto" w:fill="006B6B"/>
          </w:tcPr>
          <w:p>
            <w:pPr>
              <w:spacing w:after="40" w:before="40" w:line="240" w:lineRule="auto"/>
            </w:pPr>
            <w:r/>
            <w:r>
              <w:rPr>
                <w:rFonts w:ascii="Calibri" w:hAnsi="Calibri"/>
                <w:b/>
                <w:i w:val="0"/>
                <w:color w:val="FFFFFF"/>
                <w:sz w:val="17"/>
              </w:rPr>
              <w:t>Definition</w:t>
            </w:r>
          </w:p>
        </w:tc>
      </w:tr>
      <w:tr>
        <w:tc>
          <w:tcPr>
            <w:tcW w:type="dxa" w:w="2246"/>
          </w:tcPr>
          <w:p>
            <w:pPr>
              <w:spacing w:after="40" w:before="40" w:line="240" w:lineRule="auto"/>
            </w:pPr>
            <w:r/>
            <w:r>
              <w:rPr>
                <w:rFonts w:ascii="Calibri" w:hAnsi="Calibri"/>
                <w:b w:val="0"/>
                <w:i w:val="0"/>
                <w:color w:val="1A1A1A"/>
                <w:sz w:val="18"/>
              </w:rPr>
              <w:t>In scope</w:t>
            </w:r>
          </w:p>
        </w:tc>
        <w:tc>
          <w:tcPr>
            <w:tcW w:type="dxa" w:w="11794"/>
          </w:tcPr>
          <w:p>
            <w:pPr>
              <w:spacing w:after="40" w:before="40" w:line="240" w:lineRule="auto"/>
            </w:pPr>
            <w:r/>
            <w:r>
              <w:rPr>
                <w:rFonts w:ascii="Calibri" w:hAnsi="Calibri"/>
                <w:b w:val="0"/>
                <w:i w:val="0"/>
                <w:color w:val="1A1A1A"/>
                <w:sz w:val="18"/>
              </w:rPr>
              <w:t>Customer profile, deposit accounts, investment holdings, transactions, liabilities, insurance, tax utilisation, and all derived advisory outputs.</w:t>
            </w:r>
          </w:p>
        </w:tc>
      </w:tr>
      <w:tr>
        <w:tc>
          <w:tcPr>
            <w:tcW w:type="dxa" w:w="2246"/>
            <w:shd w:val="clear" w:color="auto" w:fill="F2F4F4"/>
          </w:tcPr>
          <w:p>
            <w:pPr>
              <w:spacing w:after="40" w:before="40" w:line="240" w:lineRule="auto"/>
            </w:pPr>
            <w:r/>
            <w:r>
              <w:rPr>
                <w:rFonts w:ascii="Calibri" w:hAnsi="Calibri"/>
                <w:b w:val="0"/>
                <w:i w:val="0"/>
                <w:color w:val="1A1A1A"/>
                <w:sz w:val="18"/>
              </w:rPr>
              <w:t>Out of scope</w:t>
            </w:r>
          </w:p>
        </w:tc>
        <w:tc>
          <w:tcPr>
            <w:tcW w:type="dxa" w:w="11794"/>
            <w:shd w:val="clear" w:color="auto" w:fill="F2F4F4"/>
          </w:tcPr>
          <w:p>
            <w:pPr>
              <w:spacing w:after="40" w:before="40" w:line="240" w:lineRule="auto"/>
            </w:pPr>
            <w:r/>
            <w:r>
              <w:rPr>
                <w:rFonts w:ascii="Calibri" w:hAnsi="Calibri"/>
                <w:b w:val="0"/>
                <w:i w:val="0"/>
                <w:color w:val="1A1A1A"/>
                <w:sz w:val="18"/>
              </w:rPr>
              <w:t>Transaction execution (SIP mandates, fund transfers), KYC onboarding, and card issuance. MITRA is read-only in the sandbox phase.</w:t>
            </w:r>
          </w:p>
        </w:tc>
      </w:tr>
      <w:tr>
        <w:tc>
          <w:tcPr>
            <w:tcW w:type="dxa" w:w="2246"/>
          </w:tcPr>
          <w:p>
            <w:pPr>
              <w:spacing w:after="40" w:before="40" w:line="240" w:lineRule="auto"/>
            </w:pPr>
            <w:r/>
            <w:r>
              <w:rPr>
                <w:rFonts w:ascii="Calibri" w:hAnsi="Calibri"/>
                <w:b w:val="0"/>
                <w:i w:val="0"/>
                <w:color w:val="1A1A1A"/>
                <w:sz w:val="18"/>
              </w:rPr>
              <w:t>Direction</w:t>
            </w:r>
          </w:p>
        </w:tc>
        <w:tc>
          <w:tcPr>
            <w:tcW w:type="dxa" w:w="11794"/>
          </w:tcPr>
          <w:p>
            <w:pPr>
              <w:spacing w:after="40" w:before="40" w:line="240" w:lineRule="auto"/>
            </w:pPr>
            <w:r/>
            <w:r>
              <w:rPr>
                <w:rFonts w:ascii="Calibri" w:hAnsi="Calibri"/>
                <w:b w:val="0"/>
                <w:i w:val="0"/>
                <w:color w:val="1A1A1A"/>
                <w:sz w:val="18"/>
              </w:rPr>
              <w:t>Sections 4–11 are inbound (bank → MITRA). Section 12 is outbound (MITRA → bank/app), covering advisory output that must be logged for audit.</w:t>
            </w:r>
          </w:p>
        </w:tc>
      </w:tr>
      <w:tr>
        <w:tc>
          <w:tcPr>
            <w:tcW w:type="dxa" w:w="2246"/>
            <w:shd w:val="clear" w:color="auto" w:fill="F2F4F4"/>
          </w:tcPr>
          <w:p>
            <w:pPr>
              <w:spacing w:after="40" w:before="40" w:line="240" w:lineRule="auto"/>
            </w:pPr>
            <w:r/>
            <w:r>
              <w:rPr>
                <w:rFonts w:ascii="Calibri" w:hAnsi="Calibri"/>
                <w:b w:val="0"/>
                <w:i w:val="0"/>
                <w:color w:val="1A1A1A"/>
                <w:sz w:val="18"/>
              </w:rPr>
              <w:t>Environment</w:t>
            </w:r>
          </w:p>
        </w:tc>
        <w:tc>
          <w:tcPr>
            <w:tcW w:type="dxa" w:w="11794"/>
            <w:shd w:val="clear" w:color="auto" w:fill="F2F4F4"/>
          </w:tcPr>
          <w:p>
            <w:pPr>
              <w:spacing w:after="40" w:before="40" w:line="240" w:lineRule="auto"/>
            </w:pPr>
            <w:r/>
            <w:r>
              <w:rPr>
                <w:rFonts w:ascii="Calibri" w:hAnsi="Calibri"/>
                <w:b w:val="0"/>
                <w:i w:val="0"/>
                <w:color w:val="1A1A1A"/>
                <w:sz w:val="18"/>
              </w:rPr>
              <w:t>Sandbox. All fields specified against synthetic or Account Aggregator sandbox data; no production customer data.</w:t>
            </w:r>
          </w:p>
        </w:tc>
      </w:tr>
    </w:tbl>
    <w:p>
      <w:pPr>
        <w:spacing w:after="40"/>
      </w:pPr>
    </w:p>
    <w:p>
      <w:pPr>
        <w:spacing w:before="240" w:after="80"/>
      </w:pPr>
      <w:r>
        <w:rPr>
          <w:b/>
          <w:color w:val="006B6B"/>
          <w:sz w:val="25"/>
        </w:rPr>
        <w:t>1.3  How to read this document</w:t>
      </w:r>
    </w:p>
    <w:p>
      <w:pPr>
        <w:pStyle w:val="ListBullet"/>
        <w:spacing w:after="60"/>
        <w:ind w:left="403"/>
      </w:pPr>
      <w:r>
        <w:rPr>
          <w:color w:val="1A1A1A"/>
          <w:sz w:val="20"/>
        </w:rPr>
        <w:t>Each API has a Request table (fields MITRA sends) and a Response table (fields the bank returns).</w:t>
      </w:r>
    </w:p>
    <w:p>
      <w:pPr>
        <w:pStyle w:val="ListBullet"/>
        <w:spacing w:after="60"/>
        <w:ind w:left="403"/>
      </w:pPr>
      <w:r>
        <w:rPr>
          <w:color w:val="1A1A1A"/>
          <w:sz w:val="20"/>
        </w:rPr>
        <w:t>Fields marked "Engineered" in the Description are derived by MITRA or the source platform, not stored raw — the same convention used in the IDBI sample.</w:t>
      </w:r>
    </w:p>
    <w:p>
      <w:pPr>
        <w:pStyle w:val="ListBullet"/>
        <w:spacing w:after="60"/>
        <w:ind w:left="403"/>
      </w:pPr>
      <w:r>
        <w:rPr>
          <w:color w:val="1A1A1A"/>
          <w:sz w:val="20"/>
        </w:rPr>
        <w:t>Fields marked "Preferred" are not mandatory for a first sandbox cut, but materially improve advice quality. Section 3.5 lists the minimum viable set.</w:t>
      </w:r>
    </w:p>
    <w:p>
      <w:pPr>
        <w:pStyle w:val="ListBullet"/>
        <w:spacing w:after="60"/>
        <w:ind w:left="403"/>
      </w:pPr>
      <w:r>
        <w:rPr>
          <w:color w:val="1A1A1A"/>
          <w:sz w:val="20"/>
        </w:rPr>
        <w:t>Response tables that describe repeating data (accounts, holdings, transactions) represent one record in an array.</w:t>
      </w:r>
    </w:p>
    <w:p>
      <w:r>
        <w:br w:type="page"/>
      </w:r>
    </w:p>
    <w:p>
      <w:pPr>
        <w:spacing w:before="0" w:after="80"/>
      </w:pPr>
      <w:r>
        <w:rPr>
          <w:b/>
          <w:color w:val="006B6B"/>
          <w:sz w:val="34"/>
        </w:rPr>
        <w:t>2  Data Sources and Consent Basis</w:t>
      </w:r>
    </w:p>
    <w:p>
      <w:pPr>
        <w:spacing w:after="200"/>
      </w:pPr>
      <w:r>
        <w:rPr>
          <w:color w:val="006B6B"/>
          <w:sz w:val="12"/>
        </w:rPr>
        <w:t>────────────────────────────────────────────────────────────</w:t>
      </w:r>
    </w:p>
    <w:p>
      <w:pPr>
        <w:spacing w:after="120"/>
      </w:pPr>
      <w:r>
        <w:rPr>
          <w:b w:val="0"/>
          <w:i w:val="0"/>
          <w:color w:val="1A1A1A"/>
          <w:sz w:val="20"/>
        </w:rPr>
        <w:t>MITRA consumes data from four channels. The consent basis differs by channel and determines retention, so it is stated per source rather than globally.</w:t>
      </w:r>
    </w:p>
    <w:tbl>
      <w:tblPr>
        <w:tblStyle w:val="TableGrid"/>
        <w:tblW w:type="auto" w:w="0"/>
        <w:tblLayout w:type="fixed"/>
        <w:tblLook w:firstColumn="1" w:firstRow="1" w:lastColumn="0" w:lastRow="0" w:noHBand="0" w:noVBand="1" w:val="04A0"/>
      </w:tblPr>
      <w:tblGrid>
        <w:gridCol w:w="3528"/>
        <w:gridCol w:w="3528"/>
        <w:gridCol w:w="3528"/>
        <w:gridCol w:w="3528"/>
      </w:tblGrid>
      <w:tr>
        <w:trPr>
          <w:tblHeader w:val="true"/>
        </w:trPr>
        <w:tc>
          <w:tcPr>
            <w:tcW w:type="dxa" w:w="2597"/>
            <w:shd w:val="clear" w:color="auto" w:fill="006B6B"/>
          </w:tcPr>
          <w:p>
            <w:pPr>
              <w:spacing w:after="40" w:before="40" w:line="240" w:lineRule="auto"/>
            </w:pPr>
            <w:r/>
            <w:r>
              <w:rPr>
                <w:rFonts w:ascii="Calibri" w:hAnsi="Calibri"/>
                <w:b/>
                <w:i w:val="0"/>
                <w:color w:val="FFFFFF"/>
                <w:sz w:val="17"/>
              </w:rPr>
              <w:t>Source</w:t>
            </w:r>
          </w:p>
        </w:tc>
        <w:tc>
          <w:tcPr>
            <w:tcW w:type="dxa" w:w="4914"/>
            <w:shd w:val="clear" w:color="auto" w:fill="006B6B"/>
          </w:tcPr>
          <w:p>
            <w:pPr>
              <w:spacing w:after="40" w:before="40" w:line="240" w:lineRule="auto"/>
            </w:pPr>
            <w:r/>
            <w:r>
              <w:rPr>
                <w:rFonts w:ascii="Calibri" w:hAnsi="Calibri"/>
                <w:b/>
                <w:i w:val="0"/>
                <w:color w:val="FFFFFF"/>
                <w:sz w:val="17"/>
              </w:rPr>
              <w:t>Data provided</w:t>
            </w:r>
          </w:p>
        </w:tc>
        <w:tc>
          <w:tcPr>
            <w:tcW w:type="dxa" w:w="3650"/>
            <w:shd w:val="clear" w:color="auto" w:fill="006B6B"/>
          </w:tcPr>
          <w:p>
            <w:pPr>
              <w:spacing w:after="40" w:before="40" w:line="240" w:lineRule="auto"/>
            </w:pPr>
            <w:r/>
            <w:r>
              <w:rPr>
                <w:rFonts w:ascii="Calibri" w:hAnsi="Calibri"/>
                <w:b/>
                <w:i w:val="0"/>
                <w:color w:val="FFFFFF"/>
                <w:sz w:val="17"/>
              </w:rPr>
              <w:t>Consent basis</w:t>
            </w:r>
          </w:p>
        </w:tc>
        <w:tc>
          <w:tcPr>
            <w:tcW w:type="dxa" w:w="2878"/>
            <w:shd w:val="clear" w:color="auto" w:fill="006B6B"/>
          </w:tcPr>
          <w:p>
            <w:pPr>
              <w:spacing w:after="40" w:before="40" w:line="240" w:lineRule="auto"/>
            </w:pPr>
            <w:r/>
            <w:r>
              <w:rPr>
                <w:rFonts w:ascii="Calibri" w:hAnsi="Calibri"/>
                <w:b/>
                <w:i w:val="0"/>
                <w:color w:val="FFFFFF"/>
                <w:sz w:val="17"/>
              </w:rPr>
              <w:t>Mechanism</w:t>
            </w:r>
          </w:p>
        </w:tc>
      </w:tr>
      <w:tr>
        <w:tc>
          <w:tcPr>
            <w:tcW w:type="dxa" w:w="2597"/>
          </w:tcPr>
          <w:p>
            <w:pPr>
              <w:spacing w:after="40" w:before="40" w:line="240" w:lineRule="auto"/>
            </w:pPr>
            <w:r/>
            <w:r>
              <w:rPr>
                <w:rFonts w:ascii="Calibri" w:hAnsi="Calibri"/>
                <w:b w:val="0"/>
                <w:i w:val="0"/>
                <w:color w:val="1A1A1A"/>
                <w:sz w:val="18"/>
              </w:rPr>
              <w:t>Core Banking System</w:t>
            </w:r>
          </w:p>
        </w:tc>
        <w:tc>
          <w:tcPr>
            <w:tcW w:type="dxa" w:w="4914"/>
          </w:tcPr>
          <w:p>
            <w:pPr>
              <w:spacing w:after="40" w:before="40" w:line="240" w:lineRule="auto"/>
            </w:pPr>
            <w:r/>
            <w:r>
              <w:rPr>
                <w:rFonts w:ascii="Calibri" w:hAnsi="Calibri"/>
                <w:b w:val="0"/>
                <w:i w:val="0"/>
                <w:color w:val="1A1A1A"/>
                <w:sz w:val="18"/>
              </w:rPr>
              <w:t>Profile, deposit accounts, balances, liabilities, IDBI-held investments</w:t>
            </w:r>
          </w:p>
        </w:tc>
        <w:tc>
          <w:tcPr>
            <w:tcW w:type="dxa" w:w="3650"/>
          </w:tcPr>
          <w:p>
            <w:pPr>
              <w:spacing w:after="40" w:before="40" w:line="240" w:lineRule="auto"/>
            </w:pPr>
            <w:r/>
            <w:r>
              <w:rPr>
                <w:rFonts w:ascii="Calibri" w:hAnsi="Calibri"/>
                <w:b w:val="0"/>
                <w:i w:val="0"/>
                <w:color w:val="1A1A1A"/>
                <w:sz w:val="18"/>
              </w:rPr>
              <w:t>Existing customer relationship + in-app terms</w:t>
            </w:r>
          </w:p>
        </w:tc>
        <w:tc>
          <w:tcPr>
            <w:tcW w:type="dxa" w:w="2878"/>
          </w:tcPr>
          <w:p>
            <w:pPr>
              <w:spacing w:after="40" w:before="40" w:line="240" w:lineRule="auto"/>
            </w:pPr>
            <w:r/>
            <w:r>
              <w:rPr>
                <w:rFonts w:ascii="Calibri" w:hAnsi="Calibri"/>
                <w:b w:val="0"/>
                <w:i w:val="0"/>
                <w:color w:val="1A1A1A"/>
                <w:sz w:val="18"/>
              </w:rPr>
              <w:t>Internal API / event stream</w:t>
            </w:r>
          </w:p>
        </w:tc>
      </w:tr>
      <w:tr>
        <w:tc>
          <w:tcPr>
            <w:tcW w:type="dxa" w:w="2597"/>
            <w:shd w:val="clear" w:color="auto" w:fill="F2F4F4"/>
          </w:tcPr>
          <w:p>
            <w:pPr>
              <w:spacing w:after="40" w:before="40" w:line="240" w:lineRule="auto"/>
            </w:pPr>
            <w:r/>
            <w:r>
              <w:rPr>
                <w:rFonts w:ascii="Calibri" w:hAnsi="Calibri"/>
                <w:b w:val="0"/>
                <w:i w:val="0"/>
                <w:color w:val="1A1A1A"/>
                <w:sz w:val="18"/>
              </w:rPr>
              <w:t>Account Aggregator</w:t>
            </w:r>
          </w:p>
        </w:tc>
        <w:tc>
          <w:tcPr>
            <w:tcW w:type="dxa" w:w="4914"/>
            <w:shd w:val="clear" w:color="auto" w:fill="F2F4F4"/>
          </w:tcPr>
          <w:p>
            <w:pPr>
              <w:spacing w:after="40" w:before="40" w:line="240" w:lineRule="auto"/>
            </w:pPr>
            <w:r/>
            <w:r>
              <w:rPr>
                <w:rFonts w:ascii="Calibri" w:hAnsi="Calibri"/>
                <w:b w:val="0"/>
                <w:i w:val="0"/>
                <w:color w:val="1A1A1A"/>
                <w:sz w:val="18"/>
              </w:rPr>
              <w:t>External bank accounts, mutual funds, equities, NPS, insurance policies</w:t>
            </w:r>
          </w:p>
        </w:tc>
        <w:tc>
          <w:tcPr>
            <w:tcW w:type="dxa" w:w="3650"/>
            <w:shd w:val="clear" w:color="auto" w:fill="F2F4F4"/>
          </w:tcPr>
          <w:p>
            <w:pPr>
              <w:spacing w:after="40" w:before="40" w:line="240" w:lineRule="auto"/>
            </w:pPr>
            <w:r/>
            <w:r>
              <w:rPr>
                <w:rFonts w:ascii="Calibri" w:hAnsi="Calibri"/>
                <w:b w:val="0"/>
                <w:i w:val="0"/>
                <w:color w:val="1A1A1A"/>
                <w:sz w:val="18"/>
              </w:rPr>
              <w:t>RBI AA consent artefact (ReBIT 2.0), customer-revocable</w:t>
            </w:r>
          </w:p>
        </w:tc>
        <w:tc>
          <w:tcPr>
            <w:tcW w:type="dxa" w:w="2878"/>
            <w:shd w:val="clear" w:color="auto" w:fill="F2F4F4"/>
          </w:tcPr>
          <w:p>
            <w:pPr>
              <w:spacing w:after="40" w:before="40" w:line="240" w:lineRule="auto"/>
            </w:pPr>
            <w:r/>
            <w:r>
              <w:rPr>
                <w:rFonts w:ascii="Calibri" w:hAnsi="Calibri"/>
                <w:b w:val="0"/>
                <w:i w:val="0"/>
                <w:color w:val="1A1A1A"/>
                <w:sz w:val="18"/>
              </w:rPr>
              <w:t>AA — FI data request</w:t>
            </w:r>
          </w:p>
        </w:tc>
      </w:tr>
      <w:tr>
        <w:tc>
          <w:tcPr>
            <w:tcW w:type="dxa" w:w="2597"/>
          </w:tcPr>
          <w:p>
            <w:pPr>
              <w:spacing w:after="40" w:before="40" w:line="240" w:lineRule="auto"/>
            </w:pPr>
            <w:r/>
            <w:r>
              <w:rPr>
                <w:rFonts w:ascii="Calibri" w:hAnsi="Calibri"/>
                <w:b w:val="0"/>
                <w:i w:val="0"/>
                <w:color w:val="1A1A1A"/>
                <w:sz w:val="18"/>
              </w:rPr>
              <w:t>Statement upload</w:t>
            </w:r>
          </w:p>
        </w:tc>
        <w:tc>
          <w:tcPr>
            <w:tcW w:type="dxa" w:w="4914"/>
          </w:tcPr>
          <w:p>
            <w:pPr>
              <w:spacing w:after="40" w:before="40" w:line="240" w:lineRule="auto"/>
            </w:pPr>
            <w:r/>
            <w:r>
              <w:rPr>
                <w:rFonts w:ascii="Calibri" w:hAnsi="Calibri"/>
                <w:b w:val="0"/>
                <w:i w:val="0"/>
                <w:color w:val="1A1A1A"/>
                <w:sz w:val="18"/>
              </w:rPr>
              <w:t>Transactions and holdings from a customer-supplied PDF/CSV export</w:t>
            </w:r>
          </w:p>
        </w:tc>
        <w:tc>
          <w:tcPr>
            <w:tcW w:type="dxa" w:w="3650"/>
          </w:tcPr>
          <w:p>
            <w:pPr>
              <w:spacing w:after="40" w:before="40" w:line="240" w:lineRule="auto"/>
            </w:pPr>
            <w:r/>
            <w:r>
              <w:rPr>
                <w:rFonts w:ascii="Calibri" w:hAnsi="Calibri"/>
                <w:b w:val="0"/>
                <w:i w:val="0"/>
                <w:color w:val="1A1A1A"/>
                <w:sz w:val="18"/>
              </w:rPr>
              <w:t>Explicit per-upload consent</w:t>
            </w:r>
          </w:p>
        </w:tc>
        <w:tc>
          <w:tcPr>
            <w:tcW w:type="dxa" w:w="2878"/>
          </w:tcPr>
          <w:p>
            <w:pPr>
              <w:spacing w:after="40" w:before="40" w:line="240" w:lineRule="auto"/>
            </w:pPr>
            <w:r/>
            <w:r>
              <w:rPr>
                <w:rFonts w:ascii="Calibri" w:hAnsi="Calibri"/>
                <w:b w:val="0"/>
                <w:i w:val="0"/>
                <w:color w:val="1A1A1A"/>
                <w:sz w:val="18"/>
              </w:rPr>
              <w:t>Customer-initiated upload</w:t>
            </w:r>
          </w:p>
        </w:tc>
      </w:tr>
      <w:tr>
        <w:tc>
          <w:tcPr>
            <w:tcW w:type="dxa" w:w="2597"/>
            <w:shd w:val="clear" w:color="auto" w:fill="F2F4F4"/>
          </w:tcPr>
          <w:p>
            <w:pPr>
              <w:spacing w:after="40" w:before="40" w:line="240" w:lineRule="auto"/>
            </w:pPr>
            <w:r/>
            <w:r>
              <w:rPr>
                <w:rFonts w:ascii="Calibri" w:hAnsi="Calibri"/>
                <w:b w:val="0"/>
                <w:i w:val="0"/>
                <w:color w:val="1A1A1A"/>
                <w:sz w:val="18"/>
              </w:rPr>
              <w:t>Reference data</w:t>
            </w:r>
          </w:p>
        </w:tc>
        <w:tc>
          <w:tcPr>
            <w:tcW w:type="dxa" w:w="4914"/>
            <w:shd w:val="clear" w:color="auto" w:fill="F2F4F4"/>
          </w:tcPr>
          <w:p>
            <w:pPr>
              <w:spacing w:after="40" w:before="40" w:line="240" w:lineRule="auto"/>
            </w:pPr>
            <w:r/>
            <w:r>
              <w:rPr>
                <w:rFonts w:ascii="Calibri" w:hAnsi="Calibri"/>
                <w:b w:val="0"/>
                <w:i w:val="0"/>
                <w:color w:val="1A1A1A"/>
                <w:sz w:val="18"/>
              </w:rPr>
              <w:t>NAVs, index levels, expense ratios, product master</w:t>
            </w:r>
          </w:p>
        </w:tc>
        <w:tc>
          <w:tcPr>
            <w:tcW w:type="dxa" w:w="3650"/>
            <w:shd w:val="clear" w:color="auto" w:fill="F2F4F4"/>
          </w:tcPr>
          <w:p>
            <w:pPr>
              <w:spacing w:after="40" w:before="40" w:line="240" w:lineRule="auto"/>
            </w:pPr>
            <w:r/>
            <w:r>
              <w:rPr>
                <w:rFonts w:ascii="Calibri" w:hAnsi="Calibri"/>
                <w:b w:val="0"/>
                <w:i w:val="0"/>
                <w:color w:val="1A1A1A"/>
                <w:sz w:val="18"/>
              </w:rPr>
              <w:t>Licensed vendor feed / AMFI public file</w:t>
            </w:r>
          </w:p>
        </w:tc>
        <w:tc>
          <w:tcPr>
            <w:tcW w:type="dxa" w:w="2878"/>
            <w:shd w:val="clear" w:color="auto" w:fill="F2F4F4"/>
          </w:tcPr>
          <w:p>
            <w:pPr>
              <w:spacing w:after="40" w:before="40" w:line="240" w:lineRule="auto"/>
            </w:pPr>
            <w:r/>
            <w:r>
              <w:rPr>
                <w:rFonts w:ascii="Calibri" w:hAnsi="Calibri"/>
                <w:b w:val="0"/>
                <w:i w:val="0"/>
                <w:color w:val="1A1A1A"/>
                <w:sz w:val="18"/>
              </w:rPr>
              <w:t>Scheduled batch</w:t>
            </w:r>
          </w:p>
        </w:tc>
      </w:tr>
    </w:tbl>
    <w:p>
      <w:pPr>
        <w:spacing w:after="40"/>
      </w:pPr>
    </w:p>
    <w:tbl>
      <w:tblPr>
        <w:tblW w:type="auto" w:w="0"/>
        <w:jc w:val="left"/>
        <w:tblLook w:firstColumn="1" w:firstRow="1" w:lastColumn="0" w:lastRow="0" w:noHBand="0" w:noVBand="1" w:val="04A0"/>
      </w:tblPr>
      <w:tblGrid>
        <w:gridCol w:w="14040"/>
      </w:tblGrid>
      <w:tr>
        <w:tc>
          <w:tcPr>
            <w:tcW w:type="dxa" w:w="14040"/>
            <w:shd w:val="clear" w:color="auto" w:fill="FFF6E8"/>
          </w:tcPr>
          <w:p>
            <w:pPr>
              <w:spacing w:after="40" w:before="40" w:line="240" w:lineRule="auto"/>
            </w:pPr>
            <w:r/>
            <w:r>
              <w:rPr>
                <w:rFonts w:ascii="Calibri" w:hAnsi="Calibri"/>
                <w:b w:val="0"/>
                <w:i w:val="0"/>
                <w:color w:val="1A1A1A"/>
                <w:sz w:val="18"/>
              </w:rPr>
              <w:t>Purpose limitation: data obtained under a wealth-advisory consent purpose cannot be reused for credit assessment, collections or marketing without a fresh consent. MITRA scopes access per purpose at the IAM layer rather than relying on policy documentation alone.</w:t>
            </w:r>
          </w:p>
        </w:tc>
      </w:tr>
    </w:tbl>
    <w:p>
      <w:pPr>
        <w:spacing w:after="80"/>
      </w:pPr>
    </w:p>
    <w:p>
      <w:pPr>
        <w:spacing w:before="240" w:after="80"/>
      </w:pPr>
      <w:r>
        <w:rPr>
          <w:b/>
          <w:color w:val="006B6B"/>
          <w:sz w:val="25"/>
        </w:rPr>
        <w:t>2.1  Retention and revocation</w:t>
      </w:r>
    </w:p>
    <w:p>
      <w:pPr>
        <w:pStyle w:val="ListBullet"/>
        <w:spacing w:after="60"/>
        <w:ind w:left="403"/>
      </w:pPr>
      <w:r>
        <w:rPr>
          <w:color w:val="1A1A1A"/>
          <w:sz w:val="20"/>
        </w:rPr>
        <w:t>Raw uploaded statement files are deleted 90 days after ingestion; only derived transactions persist.</w:t>
      </w:r>
    </w:p>
    <w:p>
      <w:pPr>
        <w:pStyle w:val="ListBullet"/>
        <w:spacing w:after="60"/>
        <w:ind w:left="403"/>
      </w:pPr>
      <w:r>
        <w:rPr>
          <w:color w:val="1A1A1A"/>
          <w:sz w:val="20"/>
        </w:rPr>
        <w:t>On consent revocation, all data derived from that consent is purged within 24 hours and the purge is recorded in the consent log.</w:t>
      </w:r>
    </w:p>
    <w:p>
      <w:pPr>
        <w:pStyle w:val="ListBullet"/>
        <w:spacing w:after="60"/>
        <w:ind w:left="403"/>
      </w:pPr>
      <w:r>
        <w:rPr>
          <w:color w:val="1A1A1A"/>
          <w:sz w:val="20"/>
        </w:rPr>
        <w:t>Advisory outputs (Section 12) are retained for 8 years under SEBI record-keeping norms, independent of the source-data consent lifecycle.</w:t>
      </w:r>
    </w:p>
    <w:p>
      <w:r>
        <w:br w:type="page"/>
      </w:r>
    </w:p>
    <w:p>
      <w:pPr>
        <w:spacing w:before="0" w:after="80"/>
      </w:pPr>
      <w:r>
        <w:rPr>
          <w:b/>
          <w:color w:val="006B6B"/>
          <w:sz w:val="34"/>
        </w:rPr>
        <w:t>3  Field Conventions</w:t>
      </w:r>
    </w:p>
    <w:p>
      <w:pPr>
        <w:spacing w:after="200"/>
      </w:pPr>
      <w:r>
        <w:rPr>
          <w:color w:val="006B6B"/>
          <w:sz w:val="12"/>
        </w:rPr>
        <w:t>────────────────────────────────────────────────────────────</w:t>
      </w:r>
    </w:p>
    <w:p>
      <w:pPr>
        <w:spacing w:before="240" w:after="80"/>
      </w:pPr>
      <w:r>
        <w:rPr>
          <w:b/>
          <w:color w:val="006B6B"/>
          <w:sz w:val="25"/>
        </w:rPr>
        <w:t>3.1  Data types</w:t>
      </w:r>
    </w:p>
    <w:tbl>
      <w:tblPr>
        <w:tblStyle w:val="TableGrid"/>
        <w:tblW w:type="auto" w:w="0"/>
        <w:tblLayout w:type="fixed"/>
        <w:tblLook w:firstColumn="1" w:firstRow="1" w:lastColumn="0" w:lastRow="0" w:noHBand="0" w:noVBand="1" w:val="04A0"/>
      </w:tblPr>
      <w:tblGrid>
        <w:gridCol w:w="4704"/>
        <w:gridCol w:w="4704"/>
        <w:gridCol w:w="4704"/>
      </w:tblGrid>
      <w:tr>
        <w:trPr>
          <w:tblHeader w:val="true"/>
        </w:trPr>
        <w:tc>
          <w:tcPr>
            <w:tcW w:type="dxa" w:w="1615"/>
            <w:shd w:val="clear" w:color="auto" w:fill="006B6B"/>
          </w:tcPr>
          <w:p>
            <w:pPr>
              <w:spacing w:after="40" w:before="40" w:line="240" w:lineRule="auto"/>
            </w:pPr>
            <w:r/>
            <w:r>
              <w:rPr>
                <w:rFonts w:ascii="Calibri" w:hAnsi="Calibri"/>
                <w:b/>
                <w:i w:val="0"/>
                <w:color w:val="FFFFFF"/>
                <w:sz w:val="17"/>
              </w:rPr>
              <w:t>Type</w:t>
            </w:r>
          </w:p>
        </w:tc>
        <w:tc>
          <w:tcPr>
            <w:tcW w:type="dxa" w:w="8986"/>
            <w:shd w:val="clear" w:color="auto" w:fill="006B6B"/>
          </w:tcPr>
          <w:p>
            <w:pPr>
              <w:spacing w:after="40" w:before="40" w:line="240" w:lineRule="auto"/>
            </w:pPr>
            <w:r/>
            <w:r>
              <w:rPr>
                <w:rFonts w:ascii="Calibri" w:hAnsi="Calibri"/>
                <w:b/>
                <w:i w:val="0"/>
                <w:color w:val="FFFFFF"/>
                <w:sz w:val="17"/>
              </w:rPr>
              <w:t>Definition</w:t>
            </w:r>
          </w:p>
        </w:tc>
        <w:tc>
          <w:tcPr>
            <w:tcW w:type="dxa" w:w="3440"/>
            <w:shd w:val="clear" w:color="auto" w:fill="006B6B"/>
          </w:tcPr>
          <w:p>
            <w:pPr>
              <w:spacing w:after="40" w:before="40" w:line="240" w:lineRule="auto"/>
            </w:pPr>
            <w:r/>
            <w:r>
              <w:rPr>
                <w:rFonts w:ascii="Calibri" w:hAnsi="Calibri"/>
                <w:b/>
                <w:i w:val="0"/>
                <w:color w:val="FFFFFF"/>
                <w:sz w:val="17"/>
              </w:rPr>
              <w:t>Sample</w:t>
            </w:r>
          </w:p>
        </w:tc>
      </w:tr>
      <w:tr>
        <w:tc>
          <w:tcPr>
            <w:tcW w:type="dxa" w:w="1615"/>
          </w:tcPr>
          <w:p>
            <w:pPr>
              <w:spacing w:after="40" w:before="40" w:line="240" w:lineRule="auto"/>
            </w:pPr>
            <w:r/>
            <w:r>
              <w:rPr>
                <w:rFonts w:ascii="Consolas" w:hAnsi="Consolas"/>
                <w:b w:val="0"/>
                <w:color w:val="1A1A1A"/>
                <w:sz w:val="17"/>
              </w:rPr>
              <w:t>String</w:t>
            </w:r>
          </w:p>
        </w:tc>
        <w:tc>
          <w:tcPr>
            <w:tcW w:type="dxa" w:w="8986"/>
          </w:tcPr>
          <w:p>
            <w:pPr>
              <w:spacing w:after="40" w:before="40" w:line="240" w:lineRule="auto"/>
            </w:pPr>
            <w:r/>
            <w:r>
              <w:rPr>
                <w:rFonts w:ascii="Calibri" w:hAnsi="Calibri"/>
                <w:b w:val="0"/>
                <w:i w:val="0"/>
                <w:color w:val="1A1A1A"/>
                <w:sz w:val="18"/>
              </w:rPr>
              <w:t>Text. Max Field Length is character count.</w:t>
            </w:r>
          </w:p>
        </w:tc>
        <w:tc>
          <w:tcPr>
            <w:tcW w:type="dxa" w:w="3440"/>
          </w:tcPr>
          <w:p>
            <w:pPr>
              <w:spacing w:after="40" w:before="40" w:line="240" w:lineRule="auto"/>
            </w:pPr>
            <w:r/>
            <w:r>
              <w:rPr>
                <w:rFonts w:ascii="Calibri" w:hAnsi="Calibri"/>
                <w:b w:val="0"/>
                <w:i w:val="0"/>
                <w:color w:val="1A1A1A"/>
                <w:sz w:val="18"/>
              </w:rPr>
              <w:t>SALARIED_PROFESSIONAL</w:t>
            </w:r>
          </w:p>
        </w:tc>
      </w:tr>
      <w:tr>
        <w:tc>
          <w:tcPr>
            <w:tcW w:type="dxa" w:w="1615"/>
            <w:shd w:val="clear" w:color="auto" w:fill="F2F4F4"/>
          </w:tcPr>
          <w:p>
            <w:pPr>
              <w:spacing w:after="40" w:before="40" w:line="240" w:lineRule="auto"/>
            </w:pPr>
            <w:r/>
            <w:r>
              <w:rPr>
                <w:rFonts w:ascii="Consolas" w:hAnsi="Consolas"/>
                <w:b w:val="0"/>
                <w:color w:val="1A1A1A"/>
                <w:sz w:val="17"/>
              </w:rPr>
              <w:t>Integer</w:t>
            </w:r>
          </w:p>
        </w:tc>
        <w:tc>
          <w:tcPr>
            <w:tcW w:type="dxa" w:w="8986"/>
            <w:shd w:val="clear" w:color="auto" w:fill="F2F4F4"/>
          </w:tcPr>
          <w:p>
            <w:pPr>
              <w:spacing w:after="40" w:before="40" w:line="240" w:lineRule="auto"/>
            </w:pPr>
            <w:r/>
            <w:r>
              <w:rPr>
                <w:rFonts w:ascii="Calibri" w:hAnsi="Calibri"/>
                <w:b w:val="0"/>
                <w:i w:val="0"/>
                <w:color w:val="1A1A1A"/>
                <w:sz w:val="18"/>
              </w:rPr>
              <w:t>Whole number. Max Field Length is digit count.</w:t>
            </w:r>
          </w:p>
        </w:tc>
        <w:tc>
          <w:tcPr>
            <w:tcW w:type="dxa" w:w="3440"/>
            <w:shd w:val="clear" w:color="auto" w:fill="F2F4F4"/>
          </w:tcPr>
          <w:p>
            <w:pPr>
              <w:spacing w:after="40" w:before="40" w:line="240" w:lineRule="auto"/>
            </w:pPr>
            <w:r/>
            <w:r>
              <w:rPr>
                <w:rFonts w:ascii="Calibri" w:hAnsi="Calibri"/>
                <w:b w:val="0"/>
                <w:i w:val="0"/>
                <w:color w:val="1A1A1A"/>
                <w:sz w:val="18"/>
              </w:rPr>
              <w:t>148</w:t>
            </w:r>
          </w:p>
        </w:tc>
      </w:tr>
      <w:tr>
        <w:tc>
          <w:tcPr>
            <w:tcW w:type="dxa" w:w="1615"/>
          </w:tcPr>
          <w:p>
            <w:pPr>
              <w:spacing w:after="40" w:before="40" w:line="240" w:lineRule="auto"/>
            </w:pPr>
            <w:r/>
            <w:r>
              <w:rPr>
                <w:rFonts w:ascii="Consolas" w:hAnsi="Consolas"/>
                <w:b w:val="0"/>
                <w:color w:val="1A1A1A"/>
                <w:sz w:val="17"/>
              </w:rPr>
              <w:t>Decimal</w:t>
            </w:r>
          </w:p>
        </w:tc>
        <w:tc>
          <w:tcPr>
            <w:tcW w:type="dxa" w:w="8986"/>
          </w:tcPr>
          <w:p>
            <w:pPr>
              <w:spacing w:after="40" w:before="40" w:line="240" w:lineRule="auto"/>
            </w:pPr>
            <w:r/>
            <w:r>
              <w:rPr>
                <w:rFonts w:ascii="Calibri" w:hAnsi="Calibri"/>
                <w:b w:val="0"/>
                <w:i w:val="0"/>
                <w:color w:val="1A1A1A"/>
                <w:sz w:val="18"/>
              </w:rPr>
              <w:t>Fixed-point. Max Field Length is precision,scale — 18,2 means up to 18 digits with 2 decimal places.</w:t>
            </w:r>
          </w:p>
        </w:tc>
        <w:tc>
          <w:tcPr>
            <w:tcW w:type="dxa" w:w="3440"/>
          </w:tcPr>
          <w:p>
            <w:pPr>
              <w:spacing w:after="40" w:before="40" w:line="240" w:lineRule="auto"/>
            </w:pPr>
            <w:r/>
            <w:r>
              <w:rPr>
                <w:rFonts w:ascii="Calibri" w:hAnsi="Calibri"/>
                <w:b w:val="0"/>
                <w:i w:val="0"/>
                <w:color w:val="1A1A1A"/>
                <w:sz w:val="18"/>
              </w:rPr>
              <w:t>8450000.00</w:t>
            </w:r>
          </w:p>
        </w:tc>
      </w:tr>
      <w:tr>
        <w:tc>
          <w:tcPr>
            <w:tcW w:type="dxa" w:w="1615"/>
            <w:shd w:val="clear" w:color="auto" w:fill="F2F4F4"/>
          </w:tcPr>
          <w:p>
            <w:pPr>
              <w:spacing w:after="40" w:before="40" w:line="240" w:lineRule="auto"/>
            </w:pPr>
            <w:r/>
            <w:r>
              <w:rPr>
                <w:rFonts w:ascii="Consolas" w:hAnsi="Consolas"/>
                <w:b w:val="0"/>
                <w:color w:val="1A1A1A"/>
                <w:sz w:val="17"/>
              </w:rPr>
              <w:t>Date</w:t>
            </w:r>
          </w:p>
        </w:tc>
        <w:tc>
          <w:tcPr>
            <w:tcW w:type="dxa" w:w="8986"/>
            <w:shd w:val="clear" w:color="auto" w:fill="F2F4F4"/>
          </w:tcPr>
          <w:p>
            <w:pPr>
              <w:spacing w:after="40" w:before="40" w:line="240" w:lineRule="auto"/>
            </w:pPr>
            <w:r/>
            <w:r>
              <w:rPr>
                <w:rFonts w:ascii="Calibri" w:hAnsi="Calibri"/>
                <w:b w:val="0"/>
                <w:i w:val="0"/>
                <w:color w:val="1A1A1A"/>
                <w:sz w:val="18"/>
              </w:rPr>
              <w:t>DD-MM-YY, consistent with the IDBI sample.</w:t>
            </w:r>
          </w:p>
        </w:tc>
        <w:tc>
          <w:tcPr>
            <w:tcW w:type="dxa" w:w="3440"/>
            <w:shd w:val="clear" w:color="auto" w:fill="F2F4F4"/>
          </w:tcPr>
          <w:p>
            <w:pPr>
              <w:spacing w:after="40" w:before="40" w:line="240" w:lineRule="auto"/>
            </w:pPr>
            <w:r/>
            <w:r>
              <w:rPr>
                <w:rFonts w:ascii="Calibri" w:hAnsi="Calibri"/>
                <w:b w:val="0"/>
                <w:i w:val="0"/>
                <w:color w:val="1A1A1A"/>
                <w:sz w:val="18"/>
              </w:rPr>
              <w:t>24-08-26</w:t>
            </w:r>
          </w:p>
        </w:tc>
      </w:tr>
      <w:tr>
        <w:tc>
          <w:tcPr>
            <w:tcW w:type="dxa" w:w="1615"/>
          </w:tcPr>
          <w:p>
            <w:pPr>
              <w:spacing w:after="40" w:before="40" w:line="240" w:lineRule="auto"/>
            </w:pPr>
            <w:r/>
            <w:r>
              <w:rPr>
                <w:rFonts w:ascii="Consolas" w:hAnsi="Consolas"/>
                <w:b w:val="0"/>
                <w:color w:val="1A1A1A"/>
                <w:sz w:val="17"/>
              </w:rPr>
              <w:t>Datetime</w:t>
            </w:r>
          </w:p>
        </w:tc>
        <w:tc>
          <w:tcPr>
            <w:tcW w:type="dxa" w:w="8986"/>
          </w:tcPr>
          <w:p>
            <w:pPr>
              <w:spacing w:after="40" w:before="40" w:line="240" w:lineRule="auto"/>
            </w:pPr>
            <w:r/>
            <w:r>
              <w:rPr>
                <w:rFonts w:ascii="Calibri" w:hAnsi="Calibri"/>
                <w:b w:val="0"/>
                <w:i w:val="0"/>
                <w:color w:val="1A1A1A"/>
                <w:sz w:val="18"/>
              </w:rPr>
              <w:t>ISO-8601 UTC, used where ordering within a day matters.</w:t>
            </w:r>
          </w:p>
        </w:tc>
        <w:tc>
          <w:tcPr>
            <w:tcW w:type="dxa" w:w="3440"/>
          </w:tcPr>
          <w:p>
            <w:pPr>
              <w:spacing w:after="40" w:before="40" w:line="240" w:lineRule="auto"/>
            </w:pPr>
            <w:r/>
            <w:r>
              <w:rPr>
                <w:rFonts w:ascii="Calibri" w:hAnsi="Calibri"/>
                <w:b w:val="0"/>
                <w:i w:val="0"/>
                <w:color w:val="1A1A1A"/>
                <w:sz w:val="18"/>
              </w:rPr>
              <w:t>2026-08-24T09:15:00Z</w:t>
            </w:r>
          </w:p>
        </w:tc>
      </w:tr>
      <w:tr>
        <w:tc>
          <w:tcPr>
            <w:tcW w:type="dxa" w:w="1615"/>
            <w:shd w:val="clear" w:color="auto" w:fill="F2F4F4"/>
          </w:tcPr>
          <w:p>
            <w:pPr>
              <w:spacing w:after="40" w:before="40" w:line="240" w:lineRule="auto"/>
            </w:pPr>
            <w:r/>
            <w:r>
              <w:rPr>
                <w:rFonts w:ascii="Consolas" w:hAnsi="Consolas"/>
                <w:b w:val="0"/>
                <w:color w:val="1A1A1A"/>
                <w:sz w:val="17"/>
              </w:rPr>
              <w:t>Boolean</w:t>
            </w:r>
          </w:p>
        </w:tc>
        <w:tc>
          <w:tcPr>
            <w:tcW w:type="dxa" w:w="8986"/>
            <w:shd w:val="clear" w:color="auto" w:fill="F2F4F4"/>
          </w:tcPr>
          <w:p>
            <w:pPr>
              <w:spacing w:after="40" w:before="40" w:line="240" w:lineRule="auto"/>
            </w:pPr>
            <w:r/>
            <w:r>
              <w:rPr>
                <w:rFonts w:ascii="Calibri" w:hAnsi="Calibri"/>
                <w:b w:val="0"/>
                <w:i w:val="0"/>
                <w:color w:val="1A1A1A"/>
                <w:sz w:val="18"/>
              </w:rPr>
              <w:t>true / false.</w:t>
            </w:r>
          </w:p>
        </w:tc>
        <w:tc>
          <w:tcPr>
            <w:tcW w:type="dxa" w:w="3440"/>
            <w:shd w:val="clear" w:color="auto" w:fill="F2F4F4"/>
          </w:tcPr>
          <w:p>
            <w:pPr>
              <w:spacing w:after="40" w:before="40" w:line="240" w:lineRule="auto"/>
            </w:pPr>
            <w:r/>
            <w:r>
              <w:rPr>
                <w:rFonts w:ascii="Calibri" w:hAnsi="Calibri"/>
                <w:b w:val="0"/>
                <w:i w:val="0"/>
                <w:color w:val="1A1A1A"/>
                <w:sz w:val="18"/>
              </w:rPr>
              <w:t>true</w:t>
            </w:r>
          </w:p>
        </w:tc>
      </w:tr>
      <w:tr>
        <w:tc>
          <w:tcPr>
            <w:tcW w:type="dxa" w:w="1615"/>
          </w:tcPr>
          <w:p>
            <w:pPr>
              <w:spacing w:after="40" w:before="40" w:line="240" w:lineRule="auto"/>
            </w:pPr>
            <w:r/>
            <w:r>
              <w:rPr>
                <w:rFonts w:ascii="Consolas" w:hAnsi="Consolas"/>
                <w:b w:val="0"/>
                <w:color w:val="1A1A1A"/>
                <w:sz w:val="17"/>
              </w:rPr>
              <w:t>Enum</w:t>
            </w:r>
          </w:p>
        </w:tc>
        <w:tc>
          <w:tcPr>
            <w:tcW w:type="dxa" w:w="8986"/>
          </w:tcPr>
          <w:p>
            <w:pPr>
              <w:spacing w:after="40" w:before="40" w:line="240" w:lineRule="auto"/>
            </w:pPr>
            <w:r/>
            <w:r>
              <w:rPr>
                <w:rFonts w:ascii="Calibri" w:hAnsi="Calibri"/>
                <w:b w:val="0"/>
                <w:i w:val="0"/>
                <w:color w:val="1A1A1A"/>
                <w:sz w:val="18"/>
              </w:rPr>
              <w:t>String constrained to a listed value set. Permitted values are given in the Description.</w:t>
            </w:r>
          </w:p>
        </w:tc>
        <w:tc>
          <w:tcPr>
            <w:tcW w:type="dxa" w:w="3440"/>
          </w:tcPr>
          <w:p>
            <w:pPr>
              <w:spacing w:after="40" w:before="40" w:line="240" w:lineRule="auto"/>
            </w:pPr>
            <w:r/>
            <w:r>
              <w:rPr>
                <w:rFonts w:ascii="Calibri" w:hAnsi="Calibri"/>
                <w:b w:val="0"/>
                <w:i w:val="0"/>
                <w:color w:val="1A1A1A"/>
                <w:sz w:val="18"/>
              </w:rPr>
              <w:t>DEBIT</w:t>
            </w:r>
          </w:p>
        </w:tc>
      </w:tr>
    </w:tbl>
    <w:p>
      <w:pPr>
        <w:spacing w:after="40"/>
      </w:pPr>
    </w:p>
    <w:tbl>
      <w:tblPr>
        <w:tblW w:type="auto" w:w="0"/>
        <w:jc w:val="left"/>
        <w:tblLook w:firstColumn="1" w:firstRow="1" w:lastColumn="0" w:lastRow="0" w:noHBand="0" w:noVBand="1" w:val="04A0"/>
      </w:tblPr>
      <w:tblGrid>
        <w:gridCol w:w="14040"/>
      </w:tblGrid>
      <w:tr>
        <w:tc>
          <w:tcPr>
            <w:tcW w:type="dxa" w:w="14040"/>
            <w:shd w:val="clear" w:color="auto" w:fill="FFF6E8"/>
          </w:tcPr>
          <w:p>
            <w:pPr>
              <w:spacing w:after="40" w:before="40" w:line="240" w:lineRule="auto"/>
            </w:pPr>
            <w:r/>
            <w:r>
              <w:rPr>
                <w:rFonts w:ascii="Calibri" w:hAnsi="Calibri"/>
                <w:b w:val="0"/>
                <w:i w:val="0"/>
                <w:color w:val="1A1A1A"/>
                <w:sz w:val="18"/>
              </w:rPr>
              <w:t>Deviation from the sample, stated deliberately: the IDBI sample labels monetary fields as "Integer" with a 18,2 length. This document uses "Decimal" for those fields, since 18,2 denotes precision and scale rather than a whole number. The lengths are unchanged and remain compatible with the sample. Amounts are expressed in rupees; MITRA's internal REST API transports integer paise and converts at the boundary to avoid floating-point drift in compounding calculations.</w:t>
            </w:r>
          </w:p>
        </w:tc>
      </w:tr>
    </w:tbl>
    <w:p>
      <w:pPr>
        <w:spacing w:after="80"/>
      </w:pPr>
    </w:p>
    <w:p>
      <w:pPr>
        <w:spacing w:before="240" w:after="80"/>
      </w:pPr>
      <w:r>
        <w:rPr>
          <w:b/>
          <w:color w:val="006B6B"/>
          <w:sz w:val="25"/>
        </w:rPr>
        <w:t>3.2  Naming and nulls</w:t>
      </w:r>
    </w:p>
    <w:p>
      <w:pPr>
        <w:pStyle w:val="ListBullet"/>
        <w:spacing w:after="60"/>
        <w:ind w:left="403"/>
      </w:pPr>
      <w:r>
        <w:rPr>
          <w:color w:val="1A1A1A"/>
          <w:sz w:val="20"/>
        </w:rPr>
        <w:t>Field names are lower snake_case, matching the IDBI sample convention.</w:t>
      </w:r>
    </w:p>
    <w:p>
      <w:pPr>
        <w:pStyle w:val="ListBullet"/>
        <w:spacing w:after="60"/>
        <w:ind w:left="403"/>
      </w:pPr>
      <w:r>
        <w:rPr>
          <w:color w:val="1A1A1A"/>
          <w:sz w:val="20"/>
        </w:rPr>
        <w:t>A field that is genuinely unknown must be returned as null, never as 0. A zero balance and an unknown balance lead to different advice.</w:t>
      </w:r>
    </w:p>
    <w:p>
      <w:pPr>
        <w:pStyle w:val="ListBullet"/>
        <w:spacing w:after="60"/>
        <w:ind w:left="403"/>
      </w:pPr>
      <w:r>
        <w:rPr>
          <w:color w:val="1A1A1A"/>
          <w:sz w:val="20"/>
        </w:rPr>
        <w:t>Masked fields carry the _masked suffix and must be masked at source, not by MITRA.</w:t>
      </w:r>
    </w:p>
    <w:p>
      <w:pPr>
        <w:spacing w:before="240" w:after="80"/>
      </w:pPr>
      <w:r>
        <w:rPr>
          <w:b/>
          <w:color w:val="006B6B"/>
          <w:sz w:val="25"/>
        </w:rPr>
        <w:t>3.3  Amounts and currency</w:t>
      </w:r>
    </w:p>
    <w:p>
      <w:pPr>
        <w:pStyle w:val="ListBullet"/>
        <w:spacing w:after="60"/>
        <w:ind w:left="403"/>
      </w:pPr>
      <w:r>
        <w:rPr>
          <w:color w:val="1A1A1A"/>
          <w:sz w:val="20"/>
        </w:rPr>
        <w:t>All amounts are INR unless a currency_code field is present on the same record.</w:t>
      </w:r>
    </w:p>
    <w:p>
      <w:pPr>
        <w:pStyle w:val="ListBullet"/>
        <w:spacing w:after="60"/>
        <w:ind w:left="403"/>
      </w:pPr>
      <w:r>
        <w:rPr>
          <w:color w:val="1A1A1A"/>
          <w:sz w:val="20"/>
        </w:rPr>
        <w:t>Negative values are permitted only where the Description states so (growth percentages, surplus, unrealised gain).</w:t>
      </w:r>
    </w:p>
    <w:p>
      <w:pPr>
        <w:spacing w:before="240" w:after="80"/>
      </w:pPr>
      <w:r>
        <w:rPr>
          <w:b/>
          <w:color w:val="006B6B"/>
          <w:sz w:val="25"/>
        </w:rPr>
        <w:t>3.4  Engineered fields</w:t>
      </w:r>
    </w:p>
    <w:p>
      <w:pPr>
        <w:spacing w:after="120"/>
      </w:pPr>
      <w:r>
        <w:rPr>
          <w:b w:val="0"/>
          <w:i w:val="0"/>
          <w:color w:val="1A1A1A"/>
          <w:sz w:val="20"/>
        </w:rPr>
        <w:t>Following the IDBI sample, a field described as "Engineered" is calculated rather than stored. For every engineered field this document names its inputs so the derivation is reproducible and auditable. Where the calculation depends on an assumption — an expected rate of return, an emergency-fund target, a tax slab — that assumption is a versioned policy parameter returned alongside the result (Section 12.3), not a constant embedded in code.</w:t>
      </w:r>
    </w:p>
    <w:p>
      <w:pPr>
        <w:spacing w:before="240" w:after="80"/>
      </w:pPr>
      <w:r>
        <w:rPr>
          <w:b/>
          <w:color w:val="006B6B"/>
          <w:sz w:val="25"/>
        </w:rPr>
        <w:t>3.5  Minimum viable field set</w:t>
      </w:r>
    </w:p>
    <w:p>
      <w:pPr>
        <w:spacing w:after="120"/>
      </w:pPr>
      <w:r>
        <w:rPr>
          <w:b w:val="0"/>
          <w:i w:val="0"/>
          <w:color w:val="1A1A1A"/>
          <w:sz w:val="20"/>
        </w:rPr>
        <w:t>If a full-scope feed is not available for the first sandbox cut, the following subset is sufficient for MITRA to produce meaningful advice. Everything else degrades a feature rather than blocking the build.</w:t>
      </w:r>
    </w:p>
    <w:tbl>
      <w:tblPr>
        <w:tblStyle w:val="TableGrid"/>
        <w:tblW w:type="auto" w:w="0"/>
        <w:tblLayout w:type="fixed"/>
        <w:tblLook w:firstColumn="1" w:firstRow="1" w:lastColumn="0" w:lastRow="0" w:noHBand="0" w:noVBand="1" w:val="04A0"/>
      </w:tblPr>
      <w:tblGrid>
        <w:gridCol w:w="4704"/>
        <w:gridCol w:w="4704"/>
        <w:gridCol w:w="4704"/>
      </w:tblGrid>
      <w:tr>
        <w:trPr>
          <w:tblHeader w:val="true"/>
        </w:trPr>
        <w:tc>
          <w:tcPr>
            <w:tcW w:type="dxa" w:w="2597"/>
            <w:shd w:val="clear" w:color="auto" w:fill="006B6B"/>
          </w:tcPr>
          <w:p>
            <w:pPr>
              <w:spacing w:after="40" w:before="40" w:line="240" w:lineRule="auto"/>
            </w:pPr>
            <w:r/>
            <w:r>
              <w:rPr>
                <w:rFonts w:ascii="Calibri" w:hAnsi="Calibri"/>
                <w:b/>
                <w:i w:val="0"/>
                <w:color w:val="FFFFFF"/>
                <w:sz w:val="17"/>
              </w:rPr>
              <w:t>Section</w:t>
            </w:r>
          </w:p>
        </w:tc>
        <w:tc>
          <w:tcPr>
            <w:tcW w:type="dxa" w:w="6037"/>
            <w:shd w:val="clear" w:color="auto" w:fill="006B6B"/>
          </w:tcPr>
          <w:p>
            <w:pPr>
              <w:spacing w:after="40" w:before="40" w:line="240" w:lineRule="auto"/>
            </w:pPr>
            <w:r/>
            <w:r>
              <w:rPr>
                <w:rFonts w:ascii="Calibri" w:hAnsi="Calibri"/>
                <w:b/>
                <w:i w:val="0"/>
                <w:color w:val="FFFFFF"/>
                <w:sz w:val="17"/>
              </w:rPr>
              <w:t>Minimum fields</w:t>
            </w:r>
          </w:p>
        </w:tc>
        <w:tc>
          <w:tcPr>
            <w:tcW w:type="dxa" w:w="5405"/>
            <w:shd w:val="clear" w:color="auto" w:fill="006B6B"/>
          </w:tcPr>
          <w:p>
            <w:pPr>
              <w:spacing w:after="40" w:before="40" w:line="240" w:lineRule="auto"/>
            </w:pPr>
            <w:r/>
            <w:r>
              <w:rPr>
                <w:rFonts w:ascii="Calibri" w:hAnsi="Calibri"/>
                <w:b/>
                <w:i w:val="0"/>
                <w:color w:val="FFFFFF"/>
                <w:sz w:val="17"/>
              </w:rPr>
              <w:t>Consequence if absent</w:t>
            </w:r>
          </w:p>
        </w:tc>
      </w:tr>
      <w:tr>
        <w:tc>
          <w:tcPr>
            <w:tcW w:type="dxa" w:w="2597"/>
          </w:tcPr>
          <w:p>
            <w:pPr>
              <w:spacing w:after="40" w:before="40" w:line="240" w:lineRule="auto"/>
            </w:pPr>
            <w:r/>
            <w:r>
              <w:rPr>
                <w:rFonts w:ascii="Calibri" w:hAnsi="Calibri"/>
                <w:b w:val="0"/>
                <w:i w:val="0"/>
                <w:color w:val="1A1A1A"/>
                <w:sz w:val="18"/>
              </w:rPr>
              <w:t>Section 4 — Profile</w:t>
            </w:r>
          </w:p>
        </w:tc>
        <w:tc>
          <w:tcPr>
            <w:tcW w:type="dxa" w:w="6037"/>
          </w:tcPr>
          <w:p>
            <w:pPr>
              <w:spacing w:after="40" w:before="40" w:line="240" w:lineRule="auto"/>
            </w:pPr>
            <w:r/>
            <w:r>
              <w:rPr>
                <w:rFonts w:ascii="Calibri" w:hAnsi="Calibri"/>
                <w:b w:val="0"/>
                <w:i w:val="0"/>
                <w:color w:val="1A1A1A"/>
                <w:sz w:val="18"/>
              </w:rPr>
              <w:t>customer_id, age, customer_segment, monthly_income_declared, dependent_count</w:t>
            </w:r>
          </w:p>
        </w:tc>
        <w:tc>
          <w:tcPr>
            <w:tcW w:type="dxa" w:w="5405"/>
          </w:tcPr>
          <w:p>
            <w:pPr>
              <w:spacing w:after="40" w:before="40" w:line="240" w:lineRule="auto"/>
            </w:pPr>
            <w:r/>
            <w:r>
              <w:rPr>
                <w:rFonts w:ascii="Calibri" w:hAnsi="Calibri"/>
                <w:b w:val="0"/>
                <w:i w:val="0"/>
                <w:color w:val="1A1A1A"/>
                <w:sz w:val="18"/>
              </w:rPr>
              <w:t>Without age and income, risk profiling and protection-gap advice cannot run.</w:t>
            </w:r>
          </w:p>
        </w:tc>
      </w:tr>
      <w:tr>
        <w:tc>
          <w:tcPr>
            <w:tcW w:type="dxa" w:w="2597"/>
            <w:shd w:val="clear" w:color="auto" w:fill="F2F4F4"/>
          </w:tcPr>
          <w:p>
            <w:pPr>
              <w:spacing w:after="40" w:before="40" w:line="240" w:lineRule="auto"/>
            </w:pPr>
            <w:r/>
            <w:r>
              <w:rPr>
                <w:rFonts w:ascii="Calibri" w:hAnsi="Calibri"/>
                <w:b w:val="0"/>
                <w:i w:val="0"/>
                <w:color w:val="1A1A1A"/>
                <w:sz w:val="18"/>
              </w:rPr>
              <w:t>Section 5 — Accounts</w:t>
            </w:r>
          </w:p>
        </w:tc>
        <w:tc>
          <w:tcPr>
            <w:tcW w:type="dxa" w:w="6037"/>
            <w:shd w:val="clear" w:color="auto" w:fill="F2F4F4"/>
          </w:tcPr>
          <w:p>
            <w:pPr>
              <w:spacing w:after="40" w:before="40" w:line="240" w:lineRule="auto"/>
            </w:pPr>
            <w:r/>
            <w:r>
              <w:rPr>
                <w:rFonts w:ascii="Calibri" w:hAnsi="Calibri"/>
                <w:b w:val="0"/>
                <w:i w:val="0"/>
                <w:color w:val="1A1A1A"/>
                <w:sz w:val="18"/>
              </w:rPr>
              <w:t>account_id, account_type, current_balance</w:t>
            </w:r>
          </w:p>
        </w:tc>
        <w:tc>
          <w:tcPr>
            <w:tcW w:type="dxa" w:w="5405"/>
            <w:shd w:val="clear" w:color="auto" w:fill="F2F4F4"/>
          </w:tcPr>
          <w:p>
            <w:pPr>
              <w:spacing w:after="40" w:before="40" w:line="240" w:lineRule="auto"/>
            </w:pPr>
            <w:r/>
            <w:r>
              <w:rPr>
                <w:rFonts w:ascii="Calibri" w:hAnsi="Calibri"/>
                <w:b w:val="0"/>
                <w:i w:val="0"/>
                <w:color w:val="1A1A1A"/>
                <w:sz w:val="18"/>
              </w:rPr>
              <w:t>Drives emergency-fund cover, the single highest-impact insight.</w:t>
            </w:r>
          </w:p>
        </w:tc>
      </w:tr>
      <w:tr>
        <w:tc>
          <w:tcPr>
            <w:tcW w:type="dxa" w:w="2597"/>
          </w:tcPr>
          <w:p>
            <w:pPr>
              <w:spacing w:after="40" w:before="40" w:line="240" w:lineRule="auto"/>
            </w:pPr>
            <w:r/>
            <w:r>
              <w:rPr>
                <w:rFonts w:ascii="Calibri" w:hAnsi="Calibri"/>
                <w:b w:val="0"/>
                <w:i w:val="0"/>
                <w:color w:val="1A1A1A"/>
                <w:sz w:val="18"/>
              </w:rPr>
              <w:t>Section 6 — Holdings</w:t>
            </w:r>
          </w:p>
        </w:tc>
        <w:tc>
          <w:tcPr>
            <w:tcW w:type="dxa" w:w="6037"/>
          </w:tcPr>
          <w:p>
            <w:pPr>
              <w:spacing w:after="40" w:before="40" w:line="240" w:lineRule="auto"/>
            </w:pPr>
            <w:r/>
            <w:r>
              <w:rPr>
                <w:rFonts w:ascii="Calibri" w:hAnsi="Calibri"/>
                <w:b w:val="0"/>
                <w:i w:val="0"/>
                <w:color w:val="1A1A1A"/>
                <w:sz w:val="18"/>
              </w:rPr>
              <w:t>instrument_name, asset_class, current_value, invested_value</w:t>
            </w:r>
          </w:p>
        </w:tc>
        <w:tc>
          <w:tcPr>
            <w:tcW w:type="dxa" w:w="5405"/>
          </w:tcPr>
          <w:p>
            <w:pPr>
              <w:spacing w:after="40" w:before="40" w:line="240" w:lineRule="auto"/>
            </w:pPr>
            <w:r/>
            <w:r>
              <w:rPr>
                <w:rFonts w:ascii="Calibri" w:hAnsi="Calibri"/>
                <w:b w:val="0"/>
                <w:i w:val="0"/>
                <w:color w:val="1A1A1A"/>
                <w:sz w:val="18"/>
              </w:rPr>
              <w:t>Drives allocation, drift and gain calculations.</w:t>
            </w:r>
          </w:p>
        </w:tc>
      </w:tr>
      <w:tr>
        <w:tc>
          <w:tcPr>
            <w:tcW w:type="dxa" w:w="2597"/>
            <w:shd w:val="clear" w:color="auto" w:fill="F2F4F4"/>
          </w:tcPr>
          <w:p>
            <w:pPr>
              <w:spacing w:after="40" w:before="40" w:line="240" w:lineRule="auto"/>
            </w:pPr>
            <w:r/>
            <w:r>
              <w:rPr>
                <w:rFonts w:ascii="Calibri" w:hAnsi="Calibri"/>
                <w:b w:val="0"/>
                <w:i w:val="0"/>
                <w:color w:val="1A1A1A"/>
                <w:sz w:val="18"/>
              </w:rPr>
              <w:t>Section 7 — Transactions</w:t>
            </w:r>
          </w:p>
        </w:tc>
        <w:tc>
          <w:tcPr>
            <w:tcW w:type="dxa" w:w="6037"/>
            <w:shd w:val="clear" w:color="auto" w:fill="F2F4F4"/>
          </w:tcPr>
          <w:p>
            <w:pPr>
              <w:spacing w:after="40" w:before="40" w:line="240" w:lineRule="auto"/>
            </w:pPr>
            <w:r/>
            <w:r>
              <w:rPr>
                <w:rFonts w:ascii="Calibri" w:hAnsi="Calibri"/>
                <w:b w:val="0"/>
                <w:i w:val="0"/>
                <w:color w:val="1A1A1A"/>
                <w:sz w:val="18"/>
              </w:rPr>
              <w:t>transaction_date, narration, amount, transaction_type</w:t>
            </w:r>
          </w:p>
        </w:tc>
        <w:tc>
          <w:tcPr>
            <w:tcW w:type="dxa" w:w="5405"/>
            <w:shd w:val="clear" w:color="auto" w:fill="F2F4F4"/>
          </w:tcPr>
          <w:p>
            <w:pPr>
              <w:spacing w:after="40" w:before="40" w:line="240" w:lineRule="auto"/>
            </w:pPr>
            <w:r/>
            <w:r>
              <w:rPr>
                <w:rFonts w:ascii="Calibri" w:hAnsi="Calibri"/>
                <w:b w:val="0"/>
                <w:i w:val="0"/>
                <w:color w:val="1A1A1A"/>
                <w:sz w:val="18"/>
              </w:rPr>
              <w:t>MITRA categorises these itself if category_code is absent.</w:t>
            </w:r>
          </w:p>
        </w:tc>
      </w:tr>
      <w:tr>
        <w:tc>
          <w:tcPr>
            <w:tcW w:type="dxa" w:w="2597"/>
          </w:tcPr>
          <w:p>
            <w:pPr>
              <w:spacing w:after="40" w:before="40" w:line="240" w:lineRule="auto"/>
            </w:pPr>
            <w:r/>
            <w:r>
              <w:rPr>
                <w:rFonts w:ascii="Calibri" w:hAnsi="Calibri"/>
                <w:b w:val="0"/>
                <w:i w:val="0"/>
                <w:color w:val="1A1A1A"/>
                <w:sz w:val="18"/>
              </w:rPr>
              <w:t>Section 8 — Liabilities</w:t>
            </w:r>
          </w:p>
        </w:tc>
        <w:tc>
          <w:tcPr>
            <w:tcW w:type="dxa" w:w="6037"/>
          </w:tcPr>
          <w:p>
            <w:pPr>
              <w:spacing w:after="40" w:before="40" w:line="240" w:lineRule="auto"/>
            </w:pPr>
            <w:r/>
            <w:r>
              <w:rPr>
                <w:rFonts w:ascii="Calibri" w:hAnsi="Calibri"/>
                <w:b w:val="0"/>
                <w:i w:val="0"/>
                <w:color w:val="1A1A1A"/>
                <w:sz w:val="18"/>
              </w:rPr>
              <w:t>outstanding_amount, interest_rate_pct, emi_amount</w:t>
            </w:r>
          </w:p>
        </w:tc>
        <w:tc>
          <w:tcPr>
            <w:tcW w:type="dxa" w:w="5405"/>
          </w:tcPr>
          <w:p>
            <w:pPr>
              <w:spacing w:after="40" w:before="40" w:line="240" w:lineRule="auto"/>
            </w:pPr>
            <w:r/>
            <w:r>
              <w:rPr>
                <w:rFonts w:ascii="Calibri" w:hAnsi="Calibri"/>
                <w:b w:val="0"/>
                <w:i w:val="0"/>
                <w:color w:val="1A1A1A"/>
                <w:sz w:val="18"/>
              </w:rPr>
              <w:t>Needed for prepay-versus-invest guidance.</w:t>
            </w:r>
          </w:p>
        </w:tc>
      </w:tr>
    </w:tbl>
    <w:p>
      <w:pPr>
        <w:spacing w:after="40"/>
      </w:pPr>
    </w:p>
    <w:p>
      <w:r>
        <w:br w:type="page"/>
      </w:r>
    </w:p>
    <w:p>
      <w:pPr>
        <w:spacing w:before="0" w:after="80"/>
      </w:pPr>
      <w:r>
        <w:rPr>
          <w:b/>
          <w:color w:val="006B6B"/>
          <w:sz w:val="34"/>
        </w:rPr>
        <w:t>4  Customer Profile API</w:t>
      </w:r>
    </w:p>
    <w:p>
      <w:pPr>
        <w:spacing w:after="200"/>
      </w:pPr>
      <w:r>
        <w:rPr>
          <w:color w:val="006B6B"/>
          <w:sz w:val="12"/>
        </w:rPr>
        <w:t>────────────────────────────────────────────────────────────</w:t>
      </w:r>
    </w:p>
    <w:p>
      <w:pPr>
        <w:spacing w:after="120"/>
      </w:pPr>
      <w:r>
        <w:rPr>
          <w:b w:val="0"/>
          <w:i w:val="0"/>
          <w:color w:val="5A6363"/>
          <w:sz w:val="19"/>
        </w:rPr>
        <w:t>Returns the customer's identity, segment and current risk profile. Called once per session.</w:t>
      </w:r>
    </w:p>
    <w:p>
      <w:pPr>
        <w:spacing w:before="180" w:after="60"/>
      </w:pPr>
      <w:r>
        <w:rPr>
          <w:b/>
          <w:color w:val="1A1A1A"/>
          <w:sz w:val="21"/>
        </w:rPr>
        <w:t>4.1  API Request</w:t>
      </w:r>
    </w:p>
    <w:tbl>
      <w:tblPr>
        <w:tblStyle w:val="TableGrid"/>
        <w:tblW w:type="auto" w:w="0"/>
        <w:jc w:val="left"/>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009"/>
            <w:shd w:val="clear" w:color="auto" w:fill="006B6B"/>
          </w:tcPr>
          <w:p>
            <w:pPr>
              <w:spacing w:after="40" w:before="40" w:line="240" w:lineRule="auto"/>
            </w:pPr>
            <w:r/>
            <w:r>
              <w:rPr>
                <w:rFonts w:ascii="Calibri" w:hAnsi="Calibri"/>
                <w:b/>
                <w:i w:val="0"/>
                <w:color w:val="FFFFFF"/>
                <w:sz w:val="17"/>
              </w:rPr>
              <w:t>Field Name</w:t>
            </w:r>
          </w:p>
        </w:tc>
        <w:tc>
          <w:tcPr>
            <w:tcW w:type="dxa" w:w="1117"/>
            <w:shd w:val="clear" w:color="auto" w:fill="006B6B"/>
          </w:tcPr>
          <w:p>
            <w:pPr>
              <w:spacing w:after="40" w:before="40" w:line="240" w:lineRule="auto"/>
            </w:pPr>
            <w:r/>
            <w:r>
              <w:rPr>
                <w:rFonts w:ascii="Calibri" w:hAnsi="Calibri"/>
                <w:b/>
                <w:i w:val="0"/>
                <w:color w:val="FFFFFF"/>
                <w:sz w:val="17"/>
              </w:rPr>
              <w:t>Field Type</w:t>
            </w:r>
          </w:p>
        </w:tc>
        <w:tc>
          <w:tcPr>
            <w:tcW w:type="dxa" w:w="1232"/>
            <w:shd w:val="clear" w:color="auto" w:fill="006B6B"/>
          </w:tcPr>
          <w:p>
            <w:pPr>
              <w:spacing w:after="40" w:before="40" w:line="240" w:lineRule="auto"/>
            </w:pPr>
            <w:r/>
            <w:r>
              <w:rPr>
                <w:rFonts w:ascii="Calibri" w:hAnsi="Calibri"/>
                <w:b/>
                <w:i w:val="0"/>
                <w:color w:val="FFFFFF"/>
                <w:sz w:val="17"/>
              </w:rPr>
              <w:t>Max Field Length</w:t>
            </w:r>
          </w:p>
        </w:tc>
        <w:tc>
          <w:tcPr>
            <w:tcW w:type="dxa" w:w="1547"/>
            <w:shd w:val="clear" w:color="auto" w:fill="006B6B"/>
          </w:tcPr>
          <w:p>
            <w:pPr>
              <w:spacing w:after="40" w:before="40" w:line="240" w:lineRule="auto"/>
            </w:pPr>
            <w:r/>
            <w:r>
              <w:rPr>
                <w:rFonts w:ascii="Calibri" w:hAnsi="Calibri"/>
                <w:b/>
                <w:i w:val="0"/>
                <w:color w:val="FFFFFF"/>
                <w:sz w:val="17"/>
              </w:rPr>
              <w:t>Mandatory/Optional</w:t>
            </w:r>
          </w:p>
        </w:tc>
        <w:tc>
          <w:tcPr>
            <w:tcW w:type="dxa" w:w="2436"/>
            <w:shd w:val="clear" w:color="auto" w:fill="006B6B"/>
          </w:tcPr>
          <w:p>
            <w:pPr>
              <w:spacing w:after="40" w:before="40" w:line="240" w:lineRule="auto"/>
            </w:pPr>
            <w:r/>
            <w:r>
              <w:rPr>
                <w:rFonts w:ascii="Calibri" w:hAnsi="Calibri"/>
                <w:b/>
                <w:i w:val="0"/>
                <w:color w:val="FFFFFF"/>
                <w:sz w:val="17"/>
              </w:rPr>
              <w:t>Sample Values</w:t>
            </w:r>
          </w:p>
        </w:tc>
        <w:tc>
          <w:tcPr>
            <w:tcW w:type="dxa" w:w="4699"/>
            <w:shd w:val="clear" w:color="auto" w:fill="006B6B"/>
          </w:tcPr>
          <w:p>
            <w:pPr>
              <w:spacing w:after="40" w:before="40" w:line="240" w:lineRule="auto"/>
            </w:pPr>
            <w:r/>
            <w:r>
              <w:rPr>
                <w:rFonts w:ascii="Calibri" w:hAnsi="Calibri"/>
                <w:b/>
                <w:i w:val="0"/>
                <w:color w:val="FFFFFF"/>
                <w:sz w:val="17"/>
              </w:rPr>
              <w:t>Description</w:t>
            </w:r>
          </w:p>
        </w:tc>
      </w:tr>
      <w:tr>
        <w:tc>
          <w:tcPr>
            <w:tcW w:type="dxa" w:w="3009"/>
          </w:tcPr>
          <w:p>
            <w:pPr>
              <w:spacing w:after="40" w:before="40" w:line="240" w:lineRule="auto"/>
            </w:pPr>
            <w:r/>
            <w:r>
              <w:rPr>
                <w:rFonts w:ascii="Consolas" w:hAnsi="Consolas"/>
                <w:b w:val="0"/>
                <w:color w:val="1A1A1A"/>
                <w:sz w:val="17"/>
              </w:rPr>
              <w:t>customer_id</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20</w:t>
            </w:r>
          </w:p>
        </w:tc>
        <w:tc>
          <w:tcPr>
            <w:tcW w:type="dxa" w:w="1547"/>
          </w:tcPr>
          <w:p>
            <w:pPr>
              <w:spacing w:after="40" w:before="40" w:line="240" w:lineRule="auto"/>
            </w:pPr>
            <w:r/>
            <w:r>
              <w:rPr>
                <w:rFonts w:ascii="Calibri" w:hAnsi="Calibri"/>
                <w:b w:val="0"/>
                <w:i w:val="0"/>
                <w:color w:val="1A1A1A"/>
                <w:sz w:val="17"/>
              </w:rPr>
              <w:t>Mandatory</w:t>
            </w:r>
          </w:p>
        </w:tc>
        <w:tc>
          <w:tcPr>
            <w:tcW w:type="dxa" w:w="2436"/>
          </w:tcPr>
          <w:p>
            <w:pPr>
              <w:spacing w:after="40" w:before="40" w:line="240" w:lineRule="auto"/>
            </w:pPr>
            <w:r/>
            <w:r>
              <w:rPr>
                <w:rFonts w:ascii="Calibri" w:hAnsi="Calibri"/>
                <w:b w:val="0"/>
                <w:i w:val="0"/>
                <w:color w:val="1A1A1A"/>
                <w:sz w:val="17"/>
              </w:rPr>
              <w:t>CUST-88214</w:t>
            </w:r>
          </w:p>
        </w:tc>
        <w:tc>
          <w:tcPr>
            <w:tcW w:type="dxa" w:w="4699"/>
          </w:tcPr>
          <w:p>
            <w:pPr>
              <w:spacing w:after="40" w:before="40" w:line="240" w:lineRule="auto"/>
            </w:pPr>
            <w:r/>
            <w:r>
              <w:rPr>
                <w:rFonts w:ascii="Calibri" w:hAnsi="Calibri"/>
                <w:b w:val="0"/>
                <w:i w:val="0"/>
                <w:color w:val="1A1A1A"/>
                <w:sz w:val="17"/>
              </w:rPr>
              <w:t>Unique customer identifier (CIF number).</w:t>
            </w:r>
          </w:p>
        </w:tc>
      </w:tr>
      <w:tr>
        <w:tc>
          <w:tcPr>
            <w:tcW w:type="dxa" w:w="3009"/>
            <w:shd w:val="clear" w:color="auto" w:fill="F2F4F4"/>
          </w:tcPr>
          <w:p>
            <w:pPr>
              <w:spacing w:after="40" w:before="40" w:line="240" w:lineRule="auto"/>
            </w:pPr>
            <w:r/>
            <w:r>
              <w:rPr>
                <w:rFonts w:ascii="Consolas" w:hAnsi="Consolas"/>
                <w:b w:val="0"/>
                <w:color w:val="1A1A1A"/>
                <w:sz w:val="17"/>
              </w:rPr>
              <w:t>consent_reference</w:t>
            </w:r>
          </w:p>
        </w:tc>
        <w:tc>
          <w:tcPr>
            <w:tcW w:type="dxa" w:w="1117"/>
            <w:shd w:val="clear" w:color="auto" w:fill="F2F4F4"/>
          </w:tcPr>
          <w:p>
            <w:pPr>
              <w:spacing w:after="40" w:before="40" w:line="240" w:lineRule="auto"/>
            </w:pPr>
            <w:r/>
            <w:r>
              <w:rPr>
                <w:rFonts w:ascii="Calibri" w:hAnsi="Calibri"/>
                <w:b w:val="0"/>
                <w:i w:val="0"/>
                <w:color w:val="1A1A1A"/>
                <w:sz w:val="17"/>
              </w:rPr>
              <w:t>String</w:t>
            </w:r>
          </w:p>
        </w:tc>
        <w:tc>
          <w:tcPr>
            <w:tcW w:type="dxa" w:w="1232"/>
            <w:shd w:val="clear" w:color="auto" w:fill="F2F4F4"/>
          </w:tcPr>
          <w:p>
            <w:pPr>
              <w:spacing w:after="40" w:before="40" w:line="240" w:lineRule="auto"/>
            </w:pPr>
            <w:r/>
            <w:r>
              <w:rPr>
                <w:rFonts w:ascii="Calibri" w:hAnsi="Calibri"/>
                <w:b w:val="0"/>
                <w:i w:val="0"/>
                <w:color w:val="1A1A1A"/>
                <w:sz w:val="17"/>
              </w:rPr>
              <w:t>50</w:t>
            </w:r>
          </w:p>
        </w:tc>
        <w:tc>
          <w:tcPr>
            <w:tcW w:type="dxa" w:w="1547"/>
            <w:shd w:val="clear" w:color="auto" w:fill="F2F4F4"/>
          </w:tcPr>
          <w:p>
            <w:pPr>
              <w:spacing w:after="40" w:before="40" w:line="240" w:lineRule="auto"/>
            </w:pPr>
            <w:r/>
            <w:r>
              <w:rPr>
                <w:rFonts w:ascii="Calibri" w:hAnsi="Calibri"/>
                <w:b w:val="0"/>
                <w:i w:val="0"/>
                <w:color w:val="1A1A1A"/>
                <w:sz w:val="17"/>
              </w:rPr>
              <w:t>Mandatory</w:t>
            </w:r>
          </w:p>
        </w:tc>
        <w:tc>
          <w:tcPr>
            <w:tcW w:type="dxa" w:w="2436"/>
            <w:shd w:val="clear" w:color="auto" w:fill="F2F4F4"/>
          </w:tcPr>
          <w:p>
            <w:pPr>
              <w:spacing w:after="40" w:before="40" w:line="240" w:lineRule="auto"/>
            </w:pPr>
            <w:r/>
            <w:r>
              <w:rPr>
                <w:rFonts w:ascii="Calibri" w:hAnsi="Calibri"/>
                <w:b w:val="0"/>
                <w:i w:val="0"/>
                <w:color w:val="1A1A1A"/>
                <w:sz w:val="17"/>
              </w:rPr>
              <w:t>CONS_MITRA_982731</w:t>
            </w:r>
          </w:p>
        </w:tc>
        <w:tc>
          <w:tcPr>
            <w:tcW w:type="dxa" w:w="4699"/>
            <w:shd w:val="clear" w:color="auto" w:fill="F2F4F4"/>
          </w:tcPr>
          <w:p>
            <w:pPr>
              <w:spacing w:after="40" w:before="40" w:line="240" w:lineRule="auto"/>
            </w:pPr>
            <w:r/>
            <w:r>
              <w:rPr>
                <w:rFonts w:ascii="Calibri" w:hAnsi="Calibri"/>
                <w:b w:val="0"/>
                <w:i w:val="0"/>
                <w:color w:val="1A1A1A"/>
                <w:sz w:val="17"/>
              </w:rPr>
              <w:t>Consent artefact reference under which this call is made. Logged against every response.</w:t>
            </w:r>
          </w:p>
        </w:tc>
      </w:tr>
      <w:tr>
        <w:tc>
          <w:tcPr>
            <w:tcW w:type="dxa" w:w="3009"/>
          </w:tcPr>
          <w:p>
            <w:pPr>
              <w:spacing w:after="40" w:before="40" w:line="240" w:lineRule="auto"/>
            </w:pPr>
            <w:r/>
            <w:r>
              <w:rPr>
                <w:rFonts w:ascii="Consolas" w:hAnsi="Consolas"/>
                <w:b w:val="0"/>
                <w:color w:val="1A1A1A"/>
                <w:sz w:val="17"/>
              </w:rPr>
              <w:t>as_on_date</w:t>
            </w:r>
          </w:p>
        </w:tc>
        <w:tc>
          <w:tcPr>
            <w:tcW w:type="dxa" w:w="1117"/>
          </w:tcPr>
          <w:p>
            <w:pPr>
              <w:spacing w:after="40" w:before="40" w:line="240" w:lineRule="auto"/>
            </w:pPr>
            <w:r/>
            <w:r>
              <w:rPr>
                <w:rFonts w:ascii="Calibri" w:hAnsi="Calibri"/>
                <w:b w:val="0"/>
                <w:i w:val="0"/>
                <w:color w:val="1A1A1A"/>
                <w:sz w:val="17"/>
              </w:rPr>
              <w:t>Date</w:t>
            </w:r>
          </w:p>
        </w:tc>
        <w:tc>
          <w:tcPr>
            <w:tcW w:type="dxa" w:w="1232"/>
          </w:tcPr>
          <w:p>
            <w:pPr>
              <w:spacing w:after="40" w:before="40" w:line="240" w:lineRule="auto"/>
            </w:pPr>
            <w:r/>
            <w:r>
              <w:rPr>
                <w:rFonts w:ascii="Calibri" w:hAnsi="Calibri"/>
                <w:b w:val="0"/>
                <w:i w:val="0"/>
                <w:color w:val="1A1A1A"/>
                <w:sz w:val="17"/>
              </w:rPr>
              <w:t>10</w:t>
            </w:r>
          </w:p>
        </w:tc>
        <w:tc>
          <w:tcPr>
            <w:tcW w:type="dxa" w:w="1547"/>
          </w:tcPr>
          <w:p>
            <w:pPr>
              <w:spacing w:after="40" w:before="40" w:line="240" w:lineRule="auto"/>
            </w:pPr>
            <w:r/>
            <w:r>
              <w:rPr>
                <w:rFonts w:ascii="Calibri" w:hAnsi="Calibri"/>
                <w:b w:val="0"/>
                <w:i w:val="0"/>
                <w:color w:val="1A1A1A"/>
                <w:sz w:val="17"/>
              </w:rPr>
              <w:t>Optional</w:t>
            </w:r>
          </w:p>
        </w:tc>
        <w:tc>
          <w:tcPr>
            <w:tcW w:type="dxa" w:w="2436"/>
          </w:tcPr>
          <w:p>
            <w:pPr>
              <w:spacing w:after="40" w:before="40" w:line="240" w:lineRule="auto"/>
            </w:pPr>
            <w:r/>
            <w:r>
              <w:rPr>
                <w:rFonts w:ascii="Calibri" w:hAnsi="Calibri"/>
                <w:b w:val="0"/>
                <w:i w:val="0"/>
                <w:color w:val="1A1A1A"/>
                <w:sz w:val="17"/>
              </w:rPr>
              <w:t>24-08-26</w:t>
            </w:r>
          </w:p>
        </w:tc>
        <w:tc>
          <w:tcPr>
            <w:tcW w:type="dxa" w:w="4699"/>
          </w:tcPr>
          <w:p>
            <w:pPr>
              <w:spacing w:after="40" w:before="40" w:line="240" w:lineRule="auto"/>
            </w:pPr>
            <w:r/>
            <w:r>
              <w:rPr>
                <w:rFonts w:ascii="Calibri" w:hAnsi="Calibri"/>
                <w:b w:val="0"/>
                <w:i w:val="0"/>
                <w:color w:val="1A1A1A"/>
                <w:sz w:val="17"/>
              </w:rPr>
              <w:t>Position date. Defaults to current date when omitted.</w:t>
            </w:r>
          </w:p>
        </w:tc>
      </w:tr>
    </w:tbl>
    <w:p>
      <w:pPr>
        <w:spacing w:after="40"/>
      </w:pPr>
    </w:p>
    <w:p>
      <w:pPr>
        <w:spacing w:before="180" w:after="60"/>
      </w:pPr>
      <w:r>
        <w:rPr>
          <w:b/>
          <w:color w:val="1A1A1A"/>
          <w:sz w:val="21"/>
        </w:rPr>
        <w:t>4.2  API Response</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customer_id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20</w:t>
            </w:r>
          </w:p>
        </w:tc>
        <w:tc>
          <w:tcPr>
            <w:tcW w:type="dxa" w:w="2563"/>
          </w:tcPr>
          <w:p>
            <w:pPr>
              <w:spacing w:after="40" w:before="40" w:line="240" w:lineRule="auto"/>
            </w:pPr>
            <w:r/>
            <w:r>
              <w:rPr>
                <w:rFonts w:ascii="Calibri" w:hAnsi="Calibri"/>
                <w:b w:val="0"/>
                <w:i w:val="0"/>
                <w:color w:val="1A1A1A"/>
                <w:sz w:val="17"/>
              </w:rPr>
              <w:t>CUST-88214</w:t>
            </w:r>
          </w:p>
        </w:tc>
        <w:tc>
          <w:tcPr>
            <w:tcW w:type="dxa" w:w="5947"/>
          </w:tcPr>
          <w:p>
            <w:pPr>
              <w:spacing w:after="40" w:before="40" w:line="240" w:lineRule="auto"/>
            </w:pPr>
            <w:r/>
            <w:r>
              <w:rPr>
                <w:rFonts w:ascii="Calibri" w:hAnsi="Calibri"/>
                <w:b w:val="0"/>
                <w:i w:val="0"/>
                <w:color w:val="1A1A1A"/>
                <w:sz w:val="17"/>
              </w:rPr>
              <w:t>Unique customer identifier.</w:t>
            </w:r>
          </w:p>
        </w:tc>
      </w:tr>
      <w:tr>
        <w:tc>
          <w:tcPr>
            <w:tcW w:type="dxa" w:w="3168"/>
            <w:shd w:val="clear" w:color="auto" w:fill="F2F4F4"/>
          </w:tcPr>
          <w:p>
            <w:pPr>
              <w:spacing w:after="40" w:before="40" w:line="240" w:lineRule="auto"/>
            </w:pPr>
            <w:r/>
            <w:r>
              <w:rPr>
                <w:rFonts w:ascii="Consolas" w:hAnsi="Consolas"/>
                <w:b w:val="0"/>
                <w:color w:val="1A1A1A"/>
                <w:sz w:val="17"/>
              </w:rPr>
              <w:t>customer_name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150</w:t>
            </w:r>
          </w:p>
        </w:tc>
        <w:tc>
          <w:tcPr>
            <w:tcW w:type="dxa" w:w="2563"/>
            <w:shd w:val="clear" w:color="auto" w:fill="F2F4F4"/>
          </w:tcPr>
          <w:p>
            <w:pPr>
              <w:spacing w:after="40" w:before="40" w:line="240" w:lineRule="auto"/>
            </w:pPr>
            <w:r/>
            <w:r>
              <w:rPr>
                <w:rFonts w:ascii="Calibri" w:hAnsi="Calibri"/>
                <w:b w:val="0"/>
                <w:i w:val="0"/>
                <w:color w:val="1A1A1A"/>
                <w:sz w:val="17"/>
              </w:rPr>
              <w:t>Priya Sharma</w:t>
            </w:r>
          </w:p>
        </w:tc>
        <w:tc>
          <w:tcPr>
            <w:tcW w:type="dxa" w:w="5947"/>
            <w:shd w:val="clear" w:color="auto" w:fill="F2F4F4"/>
          </w:tcPr>
          <w:p>
            <w:pPr>
              <w:spacing w:after="40" w:before="40" w:line="240" w:lineRule="auto"/>
            </w:pPr>
            <w:r/>
            <w:r>
              <w:rPr>
                <w:rFonts w:ascii="Calibri" w:hAnsi="Calibri"/>
                <w:b w:val="0"/>
                <w:i w:val="0"/>
                <w:color w:val="1A1A1A"/>
                <w:sz w:val="17"/>
              </w:rPr>
              <w:t>Full registered name.</w:t>
            </w:r>
          </w:p>
        </w:tc>
      </w:tr>
      <w:tr>
        <w:tc>
          <w:tcPr>
            <w:tcW w:type="dxa" w:w="3168"/>
          </w:tcPr>
          <w:p>
            <w:pPr>
              <w:spacing w:after="40" w:before="40" w:line="240" w:lineRule="auto"/>
            </w:pPr>
            <w:r/>
            <w:r>
              <w:rPr>
                <w:rFonts w:ascii="Consolas" w:hAnsi="Consolas"/>
                <w:b w:val="0"/>
                <w:color w:val="1A1A1A"/>
                <w:sz w:val="17"/>
              </w:rPr>
              <w:t>masked_name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150</w:t>
            </w:r>
          </w:p>
        </w:tc>
        <w:tc>
          <w:tcPr>
            <w:tcW w:type="dxa" w:w="2563"/>
          </w:tcPr>
          <w:p>
            <w:pPr>
              <w:spacing w:after="40" w:before="40" w:line="240" w:lineRule="auto"/>
            </w:pPr>
            <w:r/>
            <w:r>
              <w:rPr>
                <w:rFonts w:ascii="Calibri" w:hAnsi="Calibri"/>
                <w:b w:val="0"/>
                <w:i w:val="0"/>
                <w:color w:val="1A1A1A"/>
                <w:sz w:val="17"/>
              </w:rPr>
              <w:t>P**** S*****</w:t>
            </w:r>
          </w:p>
        </w:tc>
        <w:tc>
          <w:tcPr>
            <w:tcW w:type="dxa" w:w="5947"/>
          </w:tcPr>
          <w:p>
            <w:pPr>
              <w:spacing w:after="40" w:before="40" w:line="240" w:lineRule="auto"/>
            </w:pPr>
            <w:r/>
            <w:r>
              <w:rPr>
                <w:rFonts w:ascii="Calibri" w:hAnsi="Calibri"/>
                <w:b w:val="0"/>
                <w:i w:val="0"/>
                <w:color w:val="1A1A1A"/>
                <w:sz w:val="17"/>
              </w:rPr>
              <w:t>Masked form for display in shared or screenshot contexts.</w:t>
            </w:r>
          </w:p>
        </w:tc>
      </w:tr>
      <w:tr>
        <w:tc>
          <w:tcPr>
            <w:tcW w:type="dxa" w:w="3168"/>
            <w:shd w:val="clear" w:color="auto" w:fill="F2F4F4"/>
          </w:tcPr>
          <w:p>
            <w:pPr>
              <w:spacing w:after="40" w:before="40" w:line="240" w:lineRule="auto"/>
            </w:pPr>
            <w:r/>
            <w:r>
              <w:rPr>
                <w:rFonts w:ascii="Consolas" w:hAnsi="Consolas"/>
                <w:b w:val="0"/>
                <w:color w:val="1A1A1A"/>
                <w:sz w:val="17"/>
              </w:rPr>
              <w:t>date_of_birth</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14-03-97</w:t>
            </w:r>
          </w:p>
        </w:tc>
        <w:tc>
          <w:tcPr>
            <w:tcW w:type="dxa" w:w="5947"/>
            <w:shd w:val="clear" w:color="auto" w:fill="F2F4F4"/>
          </w:tcPr>
          <w:p>
            <w:pPr>
              <w:spacing w:after="40" w:before="40" w:line="240" w:lineRule="auto"/>
            </w:pPr>
            <w:r/>
            <w:r>
              <w:rPr>
                <w:rFonts w:ascii="Calibri" w:hAnsi="Calibri"/>
                <w:b w:val="0"/>
                <w:i w:val="0"/>
                <w:color w:val="1A1A1A"/>
                <w:sz w:val="17"/>
              </w:rPr>
              <w:t>Required for age-based asset allocation and insurance premium estimation.</w:t>
            </w:r>
          </w:p>
        </w:tc>
      </w:tr>
      <w:tr>
        <w:tc>
          <w:tcPr>
            <w:tcW w:type="dxa" w:w="3168"/>
          </w:tcPr>
          <w:p>
            <w:pPr>
              <w:spacing w:after="40" w:before="40" w:line="240" w:lineRule="auto"/>
            </w:pPr>
            <w:r/>
            <w:r>
              <w:rPr>
                <w:rFonts w:ascii="Consolas" w:hAnsi="Consolas"/>
                <w:b w:val="0"/>
                <w:color w:val="1A1A1A"/>
                <w:sz w:val="17"/>
              </w:rPr>
              <w:t>age</w:t>
            </w:r>
          </w:p>
        </w:tc>
        <w:tc>
          <w:tcPr>
            <w:tcW w:type="dxa" w:w="1123"/>
          </w:tcPr>
          <w:p>
            <w:pPr>
              <w:spacing w:after="40" w:before="40" w:line="240" w:lineRule="auto"/>
            </w:pPr>
            <w:r/>
            <w:r>
              <w:rPr>
                <w:rFonts w:ascii="Calibri" w:hAnsi="Calibri"/>
                <w:b w:val="0"/>
                <w:i w:val="0"/>
                <w:color w:val="1A1A1A"/>
                <w:sz w:val="17"/>
              </w:rPr>
              <w:t>Integer</w:t>
            </w:r>
          </w:p>
        </w:tc>
        <w:tc>
          <w:tcPr>
            <w:tcW w:type="dxa" w:w="1238"/>
          </w:tcPr>
          <w:p>
            <w:pPr>
              <w:spacing w:after="40" w:before="40" w:line="240" w:lineRule="auto"/>
            </w:pPr>
            <w:r/>
            <w:r>
              <w:rPr>
                <w:rFonts w:ascii="Calibri" w:hAnsi="Calibri"/>
                <w:b w:val="0"/>
                <w:i w:val="0"/>
                <w:color w:val="1A1A1A"/>
                <w:sz w:val="17"/>
              </w:rPr>
              <w:t>3</w:t>
            </w:r>
          </w:p>
        </w:tc>
        <w:tc>
          <w:tcPr>
            <w:tcW w:type="dxa" w:w="2563"/>
          </w:tcPr>
          <w:p>
            <w:pPr>
              <w:spacing w:after="40" w:before="40" w:line="240" w:lineRule="auto"/>
            </w:pPr>
            <w:r/>
            <w:r>
              <w:rPr>
                <w:rFonts w:ascii="Calibri" w:hAnsi="Calibri"/>
                <w:b w:val="0"/>
                <w:i w:val="0"/>
                <w:color w:val="1A1A1A"/>
                <w:sz w:val="17"/>
              </w:rPr>
              <w:t>29</w:t>
            </w:r>
          </w:p>
        </w:tc>
        <w:tc>
          <w:tcPr>
            <w:tcW w:type="dxa" w:w="5947"/>
          </w:tcPr>
          <w:p>
            <w:pPr>
              <w:spacing w:after="40" w:before="40" w:line="240" w:lineRule="auto"/>
            </w:pPr>
            <w:r/>
            <w:r>
              <w:rPr>
                <w:rFonts w:ascii="Calibri" w:hAnsi="Calibri"/>
                <w:b w:val="0"/>
                <w:i w:val="0"/>
                <w:color w:val="1A1A1A"/>
                <w:sz w:val="17"/>
              </w:rPr>
              <w:t>Engineered from date_of_birth. Supplied directly if DOB cannot be shared.</w:t>
            </w:r>
          </w:p>
        </w:tc>
      </w:tr>
      <w:tr>
        <w:tc>
          <w:tcPr>
            <w:tcW w:type="dxa" w:w="3168"/>
            <w:shd w:val="clear" w:color="auto" w:fill="F2F4F4"/>
          </w:tcPr>
          <w:p>
            <w:pPr>
              <w:spacing w:after="40" w:before="40" w:line="240" w:lineRule="auto"/>
            </w:pPr>
            <w:r/>
            <w:r>
              <w:rPr>
                <w:rFonts w:ascii="Consolas" w:hAnsi="Consolas"/>
                <w:b w:val="0"/>
                <w:color w:val="1A1A1A"/>
                <w:sz w:val="17"/>
              </w:rPr>
              <w:t>gender</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F</w:t>
            </w:r>
          </w:p>
        </w:tc>
        <w:tc>
          <w:tcPr>
            <w:tcW w:type="dxa" w:w="5947"/>
            <w:shd w:val="clear" w:color="auto" w:fill="F2F4F4"/>
          </w:tcPr>
          <w:p>
            <w:pPr>
              <w:spacing w:after="40" w:before="40" w:line="240" w:lineRule="auto"/>
            </w:pPr>
            <w:r/>
            <w:r>
              <w:rPr>
                <w:rFonts w:ascii="Calibri" w:hAnsi="Calibri"/>
                <w:b w:val="0"/>
                <w:i w:val="0"/>
                <w:color w:val="1A1A1A"/>
                <w:sz w:val="17"/>
              </w:rPr>
              <w:t>Optional. Used only for insurance premium estimation, never for advice differentiation.</w:t>
            </w:r>
          </w:p>
        </w:tc>
      </w:tr>
      <w:tr>
        <w:tc>
          <w:tcPr>
            <w:tcW w:type="dxa" w:w="3168"/>
          </w:tcPr>
          <w:p>
            <w:pPr>
              <w:spacing w:after="40" w:before="40" w:line="240" w:lineRule="auto"/>
            </w:pPr>
            <w:r/>
            <w:r>
              <w:rPr>
                <w:rFonts w:ascii="Consolas" w:hAnsi="Consolas"/>
                <w:b w:val="0"/>
                <w:color w:val="1A1A1A"/>
                <w:sz w:val="17"/>
              </w:rPr>
              <w:t>pan_masked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ABCDE****F</w:t>
            </w:r>
          </w:p>
        </w:tc>
        <w:tc>
          <w:tcPr>
            <w:tcW w:type="dxa" w:w="5947"/>
          </w:tcPr>
          <w:p>
            <w:pPr>
              <w:spacing w:after="40" w:before="40" w:line="240" w:lineRule="auto"/>
            </w:pPr>
            <w:r/>
            <w:r>
              <w:rPr>
                <w:rFonts w:ascii="Calibri" w:hAnsi="Calibri"/>
                <w:b w:val="0"/>
                <w:i w:val="0"/>
                <w:color w:val="1A1A1A"/>
                <w:sz w:val="17"/>
              </w:rPr>
              <w:t>Masked PAN. Confirms tax-reporting linkage; full PAN is not required.</w:t>
            </w:r>
          </w:p>
        </w:tc>
      </w:tr>
      <w:tr>
        <w:tc>
          <w:tcPr>
            <w:tcW w:type="dxa" w:w="3168"/>
            <w:shd w:val="clear" w:color="auto" w:fill="F2F4F4"/>
          </w:tcPr>
          <w:p>
            <w:pPr>
              <w:spacing w:after="40" w:before="40" w:line="240" w:lineRule="auto"/>
            </w:pPr>
            <w:r/>
            <w:r>
              <w:rPr>
                <w:rFonts w:ascii="Consolas" w:hAnsi="Consolas"/>
                <w:b w:val="0"/>
                <w:color w:val="1A1A1A"/>
                <w:sz w:val="17"/>
              </w:rPr>
              <w:t>mobile_masked</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13</w:t>
            </w:r>
          </w:p>
        </w:tc>
        <w:tc>
          <w:tcPr>
            <w:tcW w:type="dxa" w:w="2563"/>
            <w:shd w:val="clear" w:color="auto" w:fill="F2F4F4"/>
          </w:tcPr>
          <w:p>
            <w:pPr>
              <w:spacing w:after="40" w:before="40" w:line="240" w:lineRule="auto"/>
            </w:pPr>
            <w:r/>
            <w:r>
              <w:rPr>
                <w:rFonts w:ascii="Calibri" w:hAnsi="Calibri"/>
                <w:b w:val="0"/>
                <w:i w:val="0"/>
                <w:color w:val="1A1A1A"/>
                <w:sz w:val="17"/>
              </w:rPr>
              <w:t>+91-98****4412</w:t>
            </w:r>
          </w:p>
        </w:tc>
        <w:tc>
          <w:tcPr>
            <w:tcW w:type="dxa" w:w="5947"/>
            <w:shd w:val="clear" w:color="auto" w:fill="F2F4F4"/>
          </w:tcPr>
          <w:p>
            <w:pPr>
              <w:spacing w:after="40" w:before="40" w:line="240" w:lineRule="auto"/>
            </w:pPr>
            <w:r/>
            <w:r>
              <w:rPr>
                <w:rFonts w:ascii="Calibri" w:hAnsi="Calibri"/>
                <w:b w:val="0"/>
                <w:i w:val="0"/>
                <w:color w:val="1A1A1A"/>
                <w:sz w:val="17"/>
              </w:rPr>
              <w:t>Masked mobile for notification routing.</w:t>
            </w:r>
          </w:p>
        </w:tc>
      </w:tr>
      <w:tr>
        <w:tc>
          <w:tcPr>
            <w:tcW w:type="dxa" w:w="3168"/>
          </w:tcPr>
          <w:p>
            <w:pPr>
              <w:spacing w:after="40" w:before="40" w:line="240" w:lineRule="auto"/>
            </w:pPr>
            <w:r/>
            <w:r>
              <w:rPr>
                <w:rFonts w:ascii="Consolas" w:hAnsi="Consolas"/>
                <w:b w:val="0"/>
                <w:color w:val="1A1A1A"/>
                <w:sz w:val="17"/>
              </w:rPr>
              <w:t>email_masked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100</w:t>
            </w:r>
          </w:p>
        </w:tc>
        <w:tc>
          <w:tcPr>
            <w:tcW w:type="dxa" w:w="2563"/>
          </w:tcPr>
          <w:p>
            <w:pPr>
              <w:spacing w:after="40" w:before="40" w:line="240" w:lineRule="auto"/>
            </w:pPr>
            <w:r/>
            <w:r>
              <w:rPr>
                <w:rFonts w:ascii="Calibri" w:hAnsi="Calibri"/>
                <w:b w:val="0"/>
                <w:i w:val="0"/>
                <w:color w:val="1A1A1A"/>
                <w:sz w:val="17"/>
              </w:rPr>
              <w:t>p****@mail.com</w:t>
            </w:r>
          </w:p>
        </w:tc>
        <w:tc>
          <w:tcPr>
            <w:tcW w:type="dxa" w:w="5947"/>
          </w:tcPr>
          <w:p>
            <w:pPr>
              <w:spacing w:after="40" w:before="40" w:line="240" w:lineRule="auto"/>
            </w:pPr>
            <w:r/>
            <w:r>
              <w:rPr>
                <w:rFonts w:ascii="Calibri" w:hAnsi="Calibri"/>
                <w:b w:val="0"/>
                <w:i w:val="0"/>
                <w:color w:val="1A1A1A"/>
                <w:sz w:val="17"/>
              </w:rPr>
              <w:t>Masked email.</w:t>
            </w:r>
          </w:p>
        </w:tc>
      </w:tr>
      <w:tr>
        <w:tc>
          <w:tcPr>
            <w:tcW w:type="dxa" w:w="3168"/>
            <w:shd w:val="clear" w:color="auto" w:fill="F2F4F4"/>
          </w:tcPr>
          <w:p>
            <w:pPr>
              <w:spacing w:after="40" w:before="40" w:line="240" w:lineRule="auto"/>
            </w:pPr>
            <w:r/>
            <w:r>
              <w:rPr>
                <w:rFonts w:ascii="Consolas" w:hAnsi="Consolas"/>
                <w:b w:val="0"/>
                <w:color w:val="1A1A1A"/>
                <w:sz w:val="17"/>
              </w:rPr>
              <w:t>customer_segment</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30</w:t>
            </w:r>
          </w:p>
        </w:tc>
        <w:tc>
          <w:tcPr>
            <w:tcW w:type="dxa" w:w="2563"/>
            <w:shd w:val="clear" w:color="auto" w:fill="F2F4F4"/>
          </w:tcPr>
          <w:p>
            <w:pPr>
              <w:spacing w:after="40" w:before="40" w:line="240" w:lineRule="auto"/>
            </w:pPr>
            <w:r/>
            <w:r>
              <w:rPr>
                <w:rFonts w:ascii="Calibri" w:hAnsi="Calibri"/>
                <w:b w:val="0"/>
                <w:i w:val="0"/>
                <w:color w:val="1A1A1A"/>
                <w:sz w:val="17"/>
              </w:rPr>
              <w:t>SALARIED_PROFESSIONAL</w:t>
            </w:r>
          </w:p>
        </w:tc>
        <w:tc>
          <w:tcPr>
            <w:tcW w:type="dxa" w:w="5947"/>
            <w:shd w:val="clear" w:color="auto" w:fill="F2F4F4"/>
          </w:tcPr>
          <w:p>
            <w:pPr>
              <w:spacing w:after="40" w:before="40" w:line="240" w:lineRule="auto"/>
            </w:pPr>
            <w:r/>
            <w:r>
              <w:rPr>
                <w:rFonts w:ascii="Calibri" w:hAnsi="Calibri"/>
                <w:b w:val="0"/>
                <w:i w:val="0"/>
                <w:color w:val="1A1A1A"/>
                <w:sz w:val="17"/>
              </w:rPr>
              <w:t>One of SALARIED_PROFESSIONAL, SELF_EMPLOYED, RETIRED, STUDENT, HOMEMAKER, OTHER. Drives income-volatility expectations.</w:t>
            </w:r>
          </w:p>
        </w:tc>
      </w:tr>
      <w:tr>
        <w:tc>
          <w:tcPr>
            <w:tcW w:type="dxa" w:w="3168"/>
          </w:tcPr>
          <w:p>
            <w:pPr>
              <w:spacing w:after="40" w:before="40" w:line="240" w:lineRule="auto"/>
            </w:pPr>
            <w:r/>
            <w:r>
              <w:rPr>
                <w:rFonts w:ascii="Consolas" w:hAnsi="Consolas"/>
                <w:b w:val="0"/>
                <w:color w:val="1A1A1A"/>
                <w:sz w:val="17"/>
              </w:rPr>
              <w:t>city</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50</w:t>
            </w:r>
          </w:p>
        </w:tc>
        <w:tc>
          <w:tcPr>
            <w:tcW w:type="dxa" w:w="2563"/>
          </w:tcPr>
          <w:p>
            <w:pPr>
              <w:spacing w:after="40" w:before="40" w:line="240" w:lineRule="auto"/>
            </w:pPr>
            <w:r/>
            <w:r>
              <w:rPr>
                <w:rFonts w:ascii="Calibri" w:hAnsi="Calibri"/>
                <w:b w:val="0"/>
                <w:i w:val="0"/>
                <w:color w:val="1A1A1A"/>
                <w:sz w:val="17"/>
              </w:rPr>
              <w:t>Mumbai</w:t>
            </w:r>
          </w:p>
        </w:tc>
        <w:tc>
          <w:tcPr>
            <w:tcW w:type="dxa" w:w="5947"/>
          </w:tcPr>
          <w:p>
            <w:pPr>
              <w:spacing w:after="40" w:before="40" w:line="240" w:lineRule="auto"/>
            </w:pPr>
            <w:r/>
            <w:r>
              <w:rPr>
                <w:rFonts w:ascii="Calibri" w:hAnsi="Calibri"/>
                <w:b w:val="0"/>
                <w:i w:val="0"/>
                <w:color w:val="1A1A1A"/>
                <w:sz w:val="17"/>
              </w:rPr>
              <w:t>Communication city. Determines metro versus non-metro health-cover benchmark.</w:t>
            </w:r>
          </w:p>
        </w:tc>
      </w:tr>
      <w:tr>
        <w:tc>
          <w:tcPr>
            <w:tcW w:type="dxa" w:w="3168"/>
            <w:shd w:val="clear" w:color="auto" w:fill="F2F4F4"/>
          </w:tcPr>
          <w:p>
            <w:pPr>
              <w:spacing w:after="40" w:before="40" w:line="240" w:lineRule="auto"/>
            </w:pPr>
            <w:r/>
            <w:r>
              <w:rPr>
                <w:rFonts w:ascii="Consolas" w:hAnsi="Consolas"/>
                <w:b w:val="0"/>
                <w:color w:val="1A1A1A"/>
                <w:sz w:val="17"/>
              </w:rPr>
              <w:t>state_code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w:t>
            </w:r>
          </w:p>
        </w:tc>
        <w:tc>
          <w:tcPr>
            <w:tcW w:type="dxa" w:w="2563"/>
            <w:shd w:val="clear" w:color="auto" w:fill="F2F4F4"/>
          </w:tcPr>
          <w:p>
            <w:pPr>
              <w:spacing w:after="40" w:before="40" w:line="240" w:lineRule="auto"/>
            </w:pPr>
            <w:r/>
            <w:r>
              <w:rPr>
                <w:rFonts w:ascii="Calibri" w:hAnsi="Calibri"/>
                <w:b w:val="0"/>
                <w:i w:val="0"/>
                <w:color w:val="1A1A1A"/>
                <w:sz w:val="17"/>
              </w:rPr>
              <w:t>27</w:t>
            </w:r>
          </w:p>
        </w:tc>
        <w:tc>
          <w:tcPr>
            <w:tcW w:type="dxa" w:w="5947"/>
            <w:shd w:val="clear" w:color="auto" w:fill="F2F4F4"/>
          </w:tcPr>
          <w:p>
            <w:pPr>
              <w:spacing w:after="40" w:before="40" w:line="240" w:lineRule="auto"/>
            </w:pPr>
            <w:r/>
            <w:r>
              <w:rPr>
                <w:rFonts w:ascii="Calibri" w:hAnsi="Calibri"/>
                <w:b w:val="0"/>
                <w:i w:val="0"/>
                <w:color w:val="1A1A1A"/>
                <w:sz w:val="17"/>
              </w:rPr>
              <w:t>State code, consistent with the GSTN state-code convention.</w:t>
            </w:r>
          </w:p>
        </w:tc>
      </w:tr>
      <w:tr>
        <w:tc>
          <w:tcPr>
            <w:tcW w:type="dxa" w:w="3168"/>
          </w:tcPr>
          <w:p>
            <w:pPr>
              <w:spacing w:after="40" w:before="40" w:line="240" w:lineRule="auto"/>
            </w:pPr>
            <w:r/>
            <w:r>
              <w:rPr>
                <w:rFonts w:ascii="Consolas" w:hAnsi="Consolas"/>
                <w:b w:val="0"/>
                <w:color w:val="1A1A1A"/>
                <w:sz w:val="17"/>
              </w:rPr>
              <w:t>relationship_since</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01-06-19</w:t>
            </w:r>
          </w:p>
        </w:tc>
        <w:tc>
          <w:tcPr>
            <w:tcW w:type="dxa" w:w="5947"/>
          </w:tcPr>
          <w:p>
            <w:pPr>
              <w:spacing w:after="40" w:before="40" w:line="240" w:lineRule="auto"/>
            </w:pPr>
            <w:r/>
            <w:r>
              <w:rPr>
                <w:rFonts w:ascii="Calibri" w:hAnsi="Calibri"/>
                <w:b w:val="0"/>
                <w:i w:val="0"/>
                <w:color w:val="1A1A1A"/>
                <w:sz w:val="17"/>
              </w:rPr>
              <w:t>Relationship start date, used for tenure-based messaging.</w:t>
            </w:r>
          </w:p>
        </w:tc>
      </w:tr>
      <w:tr>
        <w:tc>
          <w:tcPr>
            <w:tcW w:type="dxa" w:w="3168"/>
            <w:shd w:val="clear" w:color="auto" w:fill="F2F4F4"/>
          </w:tcPr>
          <w:p>
            <w:pPr>
              <w:spacing w:after="40" w:before="40" w:line="240" w:lineRule="auto"/>
            </w:pPr>
            <w:r/>
            <w:r>
              <w:rPr>
                <w:rFonts w:ascii="Consolas" w:hAnsi="Consolas"/>
                <w:b w:val="0"/>
                <w:color w:val="1A1A1A"/>
                <w:sz w:val="17"/>
              </w:rPr>
              <w:t>kyc_status</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20</w:t>
            </w:r>
          </w:p>
        </w:tc>
        <w:tc>
          <w:tcPr>
            <w:tcW w:type="dxa" w:w="2563"/>
            <w:shd w:val="clear" w:color="auto" w:fill="F2F4F4"/>
          </w:tcPr>
          <w:p>
            <w:pPr>
              <w:spacing w:after="40" w:before="40" w:line="240" w:lineRule="auto"/>
            </w:pPr>
            <w:r/>
            <w:r>
              <w:rPr>
                <w:rFonts w:ascii="Calibri" w:hAnsi="Calibri"/>
                <w:b w:val="0"/>
                <w:i w:val="0"/>
                <w:color w:val="1A1A1A"/>
                <w:sz w:val="17"/>
              </w:rPr>
              <w:t>VERIFIED</w:t>
            </w:r>
          </w:p>
        </w:tc>
        <w:tc>
          <w:tcPr>
            <w:tcW w:type="dxa" w:w="5947"/>
            <w:shd w:val="clear" w:color="auto" w:fill="F2F4F4"/>
          </w:tcPr>
          <w:p>
            <w:pPr>
              <w:spacing w:after="40" w:before="40" w:line="240" w:lineRule="auto"/>
            </w:pPr>
            <w:r/>
            <w:r>
              <w:rPr>
                <w:rFonts w:ascii="Calibri" w:hAnsi="Calibri"/>
                <w:b w:val="0"/>
                <w:i w:val="0"/>
                <w:color w:val="1A1A1A"/>
                <w:sz w:val="17"/>
              </w:rPr>
              <w:t>VERIFIED, PENDING or EXPIRED. MITRA suppresses all product guidance when not VERIFIED.</w:t>
            </w:r>
          </w:p>
        </w:tc>
      </w:tr>
      <w:tr>
        <w:tc>
          <w:tcPr>
            <w:tcW w:type="dxa" w:w="3168"/>
          </w:tcPr>
          <w:p>
            <w:pPr>
              <w:spacing w:after="40" w:before="40" w:line="240" w:lineRule="auto"/>
            </w:pPr>
            <w:r/>
            <w:r>
              <w:rPr>
                <w:rFonts w:ascii="Consolas" w:hAnsi="Consolas"/>
                <w:b w:val="0"/>
                <w:color w:val="1A1A1A"/>
                <w:sz w:val="17"/>
              </w:rPr>
              <w:t>kyc_risk_category</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LOW</w:t>
            </w:r>
          </w:p>
        </w:tc>
        <w:tc>
          <w:tcPr>
            <w:tcW w:type="dxa" w:w="5947"/>
          </w:tcPr>
          <w:p>
            <w:pPr>
              <w:spacing w:after="40" w:before="40" w:line="240" w:lineRule="auto"/>
            </w:pPr>
            <w:r/>
            <w:r>
              <w:rPr>
                <w:rFonts w:ascii="Calibri" w:hAnsi="Calibri"/>
                <w:b w:val="0"/>
                <w:i w:val="0"/>
                <w:color w:val="1A1A1A"/>
                <w:sz w:val="17"/>
              </w:rPr>
              <w:t>LOW, MEDIUM or HIGH, per the bank's existing KYC risk rating.</w:t>
            </w:r>
          </w:p>
        </w:tc>
      </w:tr>
      <w:tr>
        <w:tc>
          <w:tcPr>
            <w:tcW w:type="dxa" w:w="3168"/>
            <w:shd w:val="clear" w:color="auto" w:fill="F2F4F4"/>
          </w:tcPr>
          <w:p>
            <w:pPr>
              <w:spacing w:after="40" w:before="40" w:line="240" w:lineRule="auto"/>
            </w:pPr>
            <w:r/>
            <w:r>
              <w:rPr>
                <w:rFonts w:ascii="Consolas" w:hAnsi="Consolas"/>
                <w:b w:val="0"/>
                <w:color w:val="1A1A1A"/>
                <w:sz w:val="17"/>
              </w:rPr>
              <w:t>pan_linked</w:t>
            </w:r>
          </w:p>
        </w:tc>
        <w:tc>
          <w:tcPr>
            <w:tcW w:type="dxa" w:w="1123"/>
            <w:shd w:val="clear" w:color="auto" w:fill="F2F4F4"/>
          </w:tcPr>
          <w:p>
            <w:pPr>
              <w:spacing w:after="40" w:before="40" w:line="240" w:lineRule="auto"/>
            </w:pPr>
            <w:r/>
            <w:r>
              <w:rPr>
                <w:rFonts w:ascii="Calibri" w:hAnsi="Calibri"/>
                <w:b w:val="0"/>
                <w:i w:val="0"/>
                <w:color w:val="1A1A1A"/>
                <w:sz w:val="17"/>
              </w:rPr>
              <w:t>Boolean</w:t>
            </w:r>
          </w:p>
        </w:tc>
        <w:tc>
          <w:tcPr>
            <w:tcW w:type="dxa" w:w="1238"/>
            <w:shd w:val="clear" w:color="auto" w:fill="F2F4F4"/>
          </w:tcPr>
          <w:p>
            <w:pPr>
              <w:spacing w:after="40" w:before="40" w:line="240" w:lineRule="auto"/>
            </w:pPr>
            <w:r/>
            <w:r>
              <w:rPr>
                <w:rFonts w:ascii="Calibri" w:hAnsi="Calibri"/>
                <w:b w:val="0"/>
                <w:i w:val="0"/>
                <w:color w:val="1A1A1A"/>
                <w:sz w:val="17"/>
              </w:rPr>
              <w:t>1</w:t>
            </w:r>
          </w:p>
        </w:tc>
        <w:tc>
          <w:tcPr>
            <w:tcW w:type="dxa" w:w="2563"/>
            <w:shd w:val="clear" w:color="auto" w:fill="F2F4F4"/>
          </w:tcPr>
          <w:p>
            <w:pPr>
              <w:spacing w:after="40" w:before="40" w:line="240" w:lineRule="auto"/>
            </w:pPr>
            <w:r/>
            <w:r>
              <w:rPr>
                <w:rFonts w:ascii="Calibri" w:hAnsi="Calibri"/>
                <w:b w:val="0"/>
                <w:i w:val="0"/>
                <w:color w:val="1A1A1A"/>
                <w:sz w:val="17"/>
              </w:rPr>
              <w:t>true</w:t>
            </w:r>
          </w:p>
        </w:tc>
        <w:tc>
          <w:tcPr>
            <w:tcW w:type="dxa" w:w="5947"/>
            <w:shd w:val="clear" w:color="auto" w:fill="F2F4F4"/>
          </w:tcPr>
          <w:p>
            <w:pPr>
              <w:spacing w:after="40" w:before="40" w:line="240" w:lineRule="auto"/>
            </w:pPr>
            <w:r/>
            <w:r>
              <w:rPr>
                <w:rFonts w:ascii="Calibri" w:hAnsi="Calibri"/>
                <w:b w:val="0"/>
                <w:i w:val="0"/>
                <w:color w:val="1A1A1A"/>
                <w:sz w:val="17"/>
              </w:rPr>
              <w:t>Whether PAN is linked. Gates 80C and capital-gains guidance.</w:t>
            </w:r>
          </w:p>
        </w:tc>
      </w:tr>
      <w:tr>
        <w:tc>
          <w:tcPr>
            <w:tcW w:type="dxa" w:w="3168"/>
          </w:tcPr>
          <w:p>
            <w:pPr>
              <w:spacing w:after="40" w:before="40" w:line="240" w:lineRule="auto"/>
            </w:pPr>
            <w:r/>
            <w:r>
              <w:rPr>
                <w:rFonts w:ascii="Consolas" w:hAnsi="Consolas"/>
                <w:b w:val="0"/>
                <w:color w:val="1A1A1A"/>
                <w:sz w:val="17"/>
              </w:rPr>
              <w:t>preferred_language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5</w:t>
            </w:r>
          </w:p>
        </w:tc>
        <w:tc>
          <w:tcPr>
            <w:tcW w:type="dxa" w:w="2563"/>
          </w:tcPr>
          <w:p>
            <w:pPr>
              <w:spacing w:after="40" w:before="40" w:line="240" w:lineRule="auto"/>
            </w:pPr>
            <w:r/>
            <w:r>
              <w:rPr>
                <w:rFonts w:ascii="Calibri" w:hAnsi="Calibri"/>
                <w:b w:val="0"/>
                <w:i w:val="0"/>
                <w:color w:val="1A1A1A"/>
                <w:sz w:val="17"/>
              </w:rPr>
              <w:t>hi</w:t>
            </w:r>
          </w:p>
        </w:tc>
        <w:tc>
          <w:tcPr>
            <w:tcW w:type="dxa" w:w="5947"/>
          </w:tcPr>
          <w:p>
            <w:pPr>
              <w:spacing w:after="40" w:before="40" w:line="240" w:lineRule="auto"/>
            </w:pPr>
            <w:r/>
            <w:r>
              <w:rPr>
                <w:rFonts w:ascii="Calibri" w:hAnsi="Calibri"/>
                <w:b w:val="0"/>
                <w:i w:val="0"/>
                <w:color w:val="1A1A1A"/>
                <w:sz w:val="17"/>
              </w:rPr>
              <w:t>ISO 639-1. One of en, hi, ta, te, bn, mr, gu, kn, ml.</w:t>
            </w:r>
          </w:p>
        </w:tc>
      </w:tr>
      <w:tr>
        <w:tc>
          <w:tcPr>
            <w:tcW w:type="dxa" w:w="3168"/>
            <w:shd w:val="clear" w:color="auto" w:fill="F2F4F4"/>
          </w:tcPr>
          <w:p>
            <w:pPr>
              <w:spacing w:after="40" w:before="40" w:line="240" w:lineRule="auto"/>
            </w:pPr>
            <w:r/>
            <w:r>
              <w:rPr>
                <w:rFonts w:ascii="Consolas" w:hAnsi="Consolas"/>
                <w:b w:val="0"/>
                <w:color w:val="1A1A1A"/>
                <w:sz w:val="17"/>
              </w:rPr>
              <w:t>monthly_income_declared</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95000.00</w:t>
            </w:r>
          </w:p>
        </w:tc>
        <w:tc>
          <w:tcPr>
            <w:tcW w:type="dxa" w:w="5947"/>
            <w:shd w:val="clear" w:color="auto" w:fill="F2F4F4"/>
          </w:tcPr>
          <w:p>
            <w:pPr>
              <w:spacing w:after="40" w:before="40" w:line="240" w:lineRule="auto"/>
            </w:pPr>
            <w:r/>
            <w:r>
              <w:rPr>
                <w:rFonts w:ascii="Calibri" w:hAnsi="Calibri"/>
                <w:b w:val="0"/>
                <w:i w:val="0"/>
                <w:color w:val="1A1A1A"/>
                <w:sz w:val="17"/>
              </w:rPr>
              <w:t>Declared monthly income. Where absent, MITRA infers it from salary credits (Section 9).</w:t>
            </w:r>
          </w:p>
        </w:tc>
      </w:tr>
      <w:tr>
        <w:tc>
          <w:tcPr>
            <w:tcW w:type="dxa" w:w="3168"/>
          </w:tcPr>
          <w:p>
            <w:pPr>
              <w:spacing w:after="40" w:before="40" w:line="240" w:lineRule="auto"/>
            </w:pPr>
            <w:r/>
            <w:r>
              <w:rPr>
                <w:rFonts w:ascii="Consolas" w:hAnsi="Consolas"/>
                <w:b w:val="0"/>
                <w:color w:val="1A1A1A"/>
                <w:sz w:val="17"/>
              </w:rPr>
              <w:t>income_verification_source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20</w:t>
            </w:r>
          </w:p>
        </w:tc>
        <w:tc>
          <w:tcPr>
            <w:tcW w:type="dxa" w:w="2563"/>
          </w:tcPr>
          <w:p>
            <w:pPr>
              <w:spacing w:after="40" w:before="40" w:line="240" w:lineRule="auto"/>
            </w:pPr>
            <w:r/>
            <w:r>
              <w:rPr>
                <w:rFonts w:ascii="Calibri" w:hAnsi="Calibri"/>
                <w:b w:val="0"/>
                <w:i w:val="0"/>
                <w:color w:val="1A1A1A"/>
                <w:sz w:val="17"/>
              </w:rPr>
              <w:t>SALARY_CREDIT</w:t>
            </w:r>
          </w:p>
        </w:tc>
        <w:tc>
          <w:tcPr>
            <w:tcW w:type="dxa" w:w="5947"/>
          </w:tcPr>
          <w:p>
            <w:pPr>
              <w:spacing w:after="40" w:before="40" w:line="240" w:lineRule="auto"/>
            </w:pPr>
            <w:r/>
            <w:r>
              <w:rPr>
                <w:rFonts w:ascii="Calibri" w:hAnsi="Calibri"/>
                <w:b w:val="0"/>
                <w:i w:val="0"/>
                <w:color w:val="1A1A1A"/>
                <w:sz w:val="17"/>
              </w:rPr>
              <w:t>DECLARED, SALARY_CREDIT, ITR or PAYSLIP. Determines how much weight advice places on the figure.</w:t>
            </w:r>
          </w:p>
        </w:tc>
      </w:tr>
      <w:tr>
        <w:tc>
          <w:tcPr>
            <w:tcW w:type="dxa" w:w="3168"/>
            <w:shd w:val="clear" w:color="auto" w:fill="F2F4F4"/>
          </w:tcPr>
          <w:p>
            <w:pPr>
              <w:spacing w:after="40" w:before="40" w:line="240" w:lineRule="auto"/>
            </w:pPr>
            <w:r/>
            <w:r>
              <w:rPr>
                <w:rFonts w:ascii="Consolas" w:hAnsi="Consolas"/>
                <w:b w:val="0"/>
                <w:color w:val="1A1A1A"/>
                <w:sz w:val="17"/>
              </w:rPr>
              <w:t>dependent_count</w:t>
            </w:r>
          </w:p>
        </w:tc>
        <w:tc>
          <w:tcPr>
            <w:tcW w:type="dxa" w:w="1123"/>
            <w:shd w:val="clear" w:color="auto" w:fill="F2F4F4"/>
          </w:tcPr>
          <w:p>
            <w:pPr>
              <w:spacing w:after="40" w:before="40" w:line="240" w:lineRule="auto"/>
            </w:pPr>
            <w:r/>
            <w:r>
              <w:rPr>
                <w:rFonts w:ascii="Calibri" w:hAnsi="Calibri"/>
                <w:b w:val="0"/>
                <w:i w:val="0"/>
                <w:color w:val="1A1A1A"/>
                <w:sz w:val="17"/>
              </w:rPr>
              <w:t>Integer</w:t>
            </w:r>
          </w:p>
        </w:tc>
        <w:tc>
          <w:tcPr>
            <w:tcW w:type="dxa" w:w="1238"/>
            <w:shd w:val="clear" w:color="auto" w:fill="F2F4F4"/>
          </w:tcPr>
          <w:p>
            <w:pPr>
              <w:spacing w:after="40" w:before="40" w:line="240" w:lineRule="auto"/>
            </w:pPr>
            <w:r/>
            <w:r>
              <w:rPr>
                <w:rFonts w:ascii="Calibri" w:hAnsi="Calibri"/>
                <w:b w:val="0"/>
                <w:i w:val="0"/>
                <w:color w:val="1A1A1A"/>
                <w:sz w:val="17"/>
              </w:rPr>
              <w:t>2</w:t>
            </w:r>
          </w:p>
        </w:tc>
        <w:tc>
          <w:tcPr>
            <w:tcW w:type="dxa" w:w="2563"/>
            <w:shd w:val="clear" w:color="auto" w:fill="F2F4F4"/>
          </w:tcPr>
          <w:p>
            <w:pPr>
              <w:spacing w:after="40" w:before="40" w:line="240" w:lineRule="auto"/>
            </w:pPr>
            <w:r/>
            <w:r>
              <w:rPr>
                <w:rFonts w:ascii="Calibri" w:hAnsi="Calibri"/>
                <w:b w:val="0"/>
                <w:i w:val="0"/>
                <w:color w:val="1A1A1A"/>
                <w:sz w:val="17"/>
              </w:rPr>
              <w:t>2</w:t>
            </w:r>
          </w:p>
        </w:tc>
        <w:tc>
          <w:tcPr>
            <w:tcW w:type="dxa" w:w="5947"/>
            <w:shd w:val="clear" w:color="auto" w:fill="F2F4F4"/>
          </w:tcPr>
          <w:p>
            <w:pPr>
              <w:spacing w:after="40" w:before="40" w:line="240" w:lineRule="auto"/>
            </w:pPr>
            <w:r/>
            <w:r>
              <w:rPr>
                <w:rFonts w:ascii="Calibri" w:hAnsi="Calibri"/>
                <w:b w:val="0"/>
                <w:i w:val="0"/>
                <w:color w:val="1A1A1A"/>
                <w:sz w:val="17"/>
              </w:rPr>
              <w:t>Number of financial dependents. Directly drives the recommended term-cover multiple.</w:t>
            </w:r>
          </w:p>
        </w:tc>
      </w:tr>
      <w:tr>
        <w:tc>
          <w:tcPr>
            <w:tcW w:type="dxa" w:w="3168"/>
          </w:tcPr>
          <w:p>
            <w:pPr>
              <w:spacing w:after="40" w:before="40" w:line="240" w:lineRule="auto"/>
            </w:pPr>
            <w:r/>
            <w:r>
              <w:rPr>
                <w:rFonts w:ascii="Consolas" w:hAnsi="Consolas"/>
                <w:b w:val="0"/>
                <w:color w:val="1A1A1A"/>
                <w:sz w:val="17"/>
              </w:rPr>
              <w:t>employment_type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20</w:t>
            </w:r>
          </w:p>
        </w:tc>
        <w:tc>
          <w:tcPr>
            <w:tcW w:type="dxa" w:w="2563"/>
          </w:tcPr>
          <w:p>
            <w:pPr>
              <w:spacing w:after="40" w:before="40" w:line="240" w:lineRule="auto"/>
            </w:pPr>
            <w:r/>
            <w:r>
              <w:rPr>
                <w:rFonts w:ascii="Calibri" w:hAnsi="Calibri"/>
                <w:b w:val="0"/>
                <w:i w:val="0"/>
                <w:color w:val="1A1A1A"/>
                <w:sz w:val="17"/>
              </w:rPr>
              <w:t>PERMANENT</w:t>
            </w:r>
          </w:p>
        </w:tc>
        <w:tc>
          <w:tcPr>
            <w:tcW w:type="dxa" w:w="5947"/>
          </w:tcPr>
          <w:p>
            <w:pPr>
              <w:spacing w:after="40" w:before="40" w:line="240" w:lineRule="auto"/>
            </w:pPr>
            <w:r/>
            <w:r>
              <w:rPr>
                <w:rFonts w:ascii="Calibri" w:hAnsi="Calibri"/>
                <w:b w:val="0"/>
                <w:i w:val="0"/>
                <w:color w:val="1A1A1A"/>
                <w:sz w:val="17"/>
              </w:rPr>
              <w:t>Preferred. PERMANENT, CONTRACT, SELF_EMPLOYED or GIG. Affects income-stability scoring.</w:t>
            </w:r>
          </w:p>
        </w:tc>
      </w:tr>
      <w:tr>
        <w:tc>
          <w:tcPr>
            <w:tcW w:type="dxa" w:w="3168"/>
            <w:shd w:val="clear" w:color="auto" w:fill="F2F4F4"/>
          </w:tcPr>
          <w:p>
            <w:pPr>
              <w:spacing w:after="40" w:before="40" w:line="240" w:lineRule="auto"/>
            </w:pPr>
            <w:r/>
            <w:r>
              <w:rPr>
                <w:rFonts w:ascii="Consolas" w:hAnsi="Consolas"/>
                <w:b w:val="0"/>
                <w:color w:val="1A1A1A"/>
                <w:sz w:val="17"/>
              </w:rPr>
              <w:t>risk_profile_band</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15</w:t>
            </w:r>
          </w:p>
        </w:tc>
        <w:tc>
          <w:tcPr>
            <w:tcW w:type="dxa" w:w="2563"/>
            <w:shd w:val="clear" w:color="auto" w:fill="F2F4F4"/>
          </w:tcPr>
          <w:p>
            <w:pPr>
              <w:spacing w:after="40" w:before="40" w:line="240" w:lineRule="auto"/>
            </w:pPr>
            <w:r/>
            <w:r>
              <w:rPr>
                <w:rFonts w:ascii="Calibri" w:hAnsi="Calibri"/>
                <w:b w:val="0"/>
                <w:i w:val="0"/>
                <w:color w:val="1A1A1A"/>
                <w:sz w:val="17"/>
              </w:rPr>
              <w:t>BALANCED</w:t>
            </w:r>
          </w:p>
        </w:tc>
        <w:tc>
          <w:tcPr>
            <w:tcW w:type="dxa" w:w="5947"/>
            <w:shd w:val="clear" w:color="auto" w:fill="F2F4F4"/>
          </w:tcPr>
          <w:p>
            <w:pPr>
              <w:spacing w:after="40" w:before="40" w:line="240" w:lineRule="auto"/>
            </w:pPr>
            <w:r/>
            <w:r>
              <w:rPr>
                <w:rFonts w:ascii="Calibri" w:hAnsi="Calibri"/>
                <w:b w:val="0"/>
                <w:i w:val="0"/>
                <w:color w:val="1A1A1A"/>
                <w:sz w:val="17"/>
              </w:rPr>
              <w:t>CONSERVATIVE, BALANCED or AGGRESSIVE. Null if never assessed — MITRA then triggers the questionnaire.</w:t>
            </w:r>
          </w:p>
        </w:tc>
      </w:tr>
      <w:tr>
        <w:tc>
          <w:tcPr>
            <w:tcW w:type="dxa" w:w="3168"/>
          </w:tcPr>
          <w:p>
            <w:pPr>
              <w:spacing w:after="40" w:before="40" w:line="240" w:lineRule="auto"/>
            </w:pPr>
            <w:r/>
            <w:r>
              <w:rPr>
                <w:rFonts w:ascii="Consolas" w:hAnsi="Consolas"/>
                <w:b w:val="0"/>
                <w:color w:val="1A1A1A"/>
                <w:sz w:val="17"/>
              </w:rPr>
              <w:t>risk_profile_score</w:t>
            </w:r>
          </w:p>
        </w:tc>
        <w:tc>
          <w:tcPr>
            <w:tcW w:type="dxa" w:w="1123"/>
          </w:tcPr>
          <w:p>
            <w:pPr>
              <w:spacing w:after="40" w:before="40" w:line="240" w:lineRule="auto"/>
            </w:pPr>
            <w:r/>
            <w:r>
              <w:rPr>
                <w:rFonts w:ascii="Calibri" w:hAnsi="Calibri"/>
                <w:b w:val="0"/>
                <w:i w:val="0"/>
                <w:color w:val="1A1A1A"/>
                <w:sz w:val="17"/>
              </w:rPr>
              <w:t>Integer</w:t>
            </w:r>
          </w:p>
        </w:tc>
        <w:tc>
          <w:tcPr>
            <w:tcW w:type="dxa" w:w="1238"/>
          </w:tcPr>
          <w:p>
            <w:pPr>
              <w:spacing w:after="40" w:before="40" w:line="240" w:lineRule="auto"/>
            </w:pPr>
            <w:r/>
            <w:r>
              <w:rPr>
                <w:rFonts w:ascii="Calibri" w:hAnsi="Calibri"/>
                <w:b w:val="0"/>
                <w:i w:val="0"/>
                <w:color w:val="1A1A1A"/>
                <w:sz w:val="17"/>
              </w:rPr>
              <w:t>2</w:t>
            </w:r>
          </w:p>
        </w:tc>
        <w:tc>
          <w:tcPr>
            <w:tcW w:type="dxa" w:w="2563"/>
          </w:tcPr>
          <w:p>
            <w:pPr>
              <w:spacing w:after="40" w:before="40" w:line="240" w:lineRule="auto"/>
            </w:pPr>
            <w:r/>
            <w:r>
              <w:rPr>
                <w:rFonts w:ascii="Calibri" w:hAnsi="Calibri"/>
                <w:b w:val="0"/>
                <w:i w:val="0"/>
                <w:color w:val="1A1A1A"/>
                <w:sz w:val="17"/>
              </w:rPr>
              <w:t>8</w:t>
            </w:r>
          </w:p>
        </w:tc>
        <w:tc>
          <w:tcPr>
            <w:tcW w:type="dxa" w:w="5947"/>
          </w:tcPr>
          <w:p>
            <w:pPr>
              <w:spacing w:after="40" w:before="40" w:line="240" w:lineRule="auto"/>
            </w:pPr>
            <w:r/>
            <w:r>
              <w:rPr>
                <w:rFonts w:ascii="Calibri" w:hAnsi="Calibri"/>
                <w:b w:val="0"/>
                <w:i w:val="0"/>
                <w:color w:val="1A1A1A"/>
                <w:sz w:val="17"/>
              </w:rPr>
              <w:t>Raw questionnaire score backing the band.</w:t>
            </w:r>
          </w:p>
        </w:tc>
      </w:tr>
      <w:tr>
        <w:tc>
          <w:tcPr>
            <w:tcW w:type="dxa" w:w="3168"/>
            <w:shd w:val="clear" w:color="auto" w:fill="F2F4F4"/>
          </w:tcPr>
          <w:p>
            <w:pPr>
              <w:spacing w:after="40" w:before="40" w:line="240" w:lineRule="auto"/>
            </w:pPr>
            <w:r/>
            <w:r>
              <w:rPr>
                <w:rFonts w:ascii="Consolas" w:hAnsi="Consolas"/>
                <w:b w:val="0"/>
                <w:color w:val="1A1A1A"/>
                <w:sz w:val="17"/>
              </w:rPr>
              <w:t>risk_profile_source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20</w:t>
            </w:r>
          </w:p>
        </w:tc>
        <w:tc>
          <w:tcPr>
            <w:tcW w:type="dxa" w:w="2563"/>
            <w:shd w:val="clear" w:color="auto" w:fill="F2F4F4"/>
          </w:tcPr>
          <w:p>
            <w:pPr>
              <w:spacing w:after="40" w:before="40" w:line="240" w:lineRule="auto"/>
            </w:pPr>
            <w:r/>
            <w:r>
              <w:rPr>
                <w:rFonts w:ascii="Calibri" w:hAnsi="Calibri"/>
                <w:b w:val="0"/>
                <w:i w:val="0"/>
                <w:color w:val="1A1A1A"/>
                <w:sz w:val="17"/>
              </w:rPr>
              <w:t>QUESTIONNAIRE</w:t>
            </w:r>
          </w:p>
        </w:tc>
        <w:tc>
          <w:tcPr>
            <w:tcW w:type="dxa" w:w="5947"/>
            <w:shd w:val="clear" w:color="auto" w:fill="F2F4F4"/>
          </w:tcPr>
          <w:p>
            <w:pPr>
              <w:spacing w:after="40" w:before="40" w:line="240" w:lineRule="auto"/>
            </w:pPr>
            <w:r/>
            <w:r>
              <w:rPr>
                <w:rFonts w:ascii="Calibri" w:hAnsi="Calibri"/>
                <w:b w:val="0"/>
                <w:i w:val="0"/>
                <w:color w:val="1A1A1A"/>
                <w:sz w:val="17"/>
              </w:rPr>
              <w:t>QUESTIONNAIRE, DERIVED or ADVISOR_OVERRIDE. Required for suitability audit.</w:t>
            </w:r>
          </w:p>
        </w:tc>
      </w:tr>
      <w:tr>
        <w:tc>
          <w:tcPr>
            <w:tcW w:type="dxa" w:w="3168"/>
          </w:tcPr>
          <w:p>
            <w:pPr>
              <w:spacing w:after="40" w:before="40" w:line="240" w:lineRule="auto"/>
            </w:pPr>
            <w:r/>
            <w:r>
              <w:rPr>
                <w:rFonts w:ascii="Consolas" w:hAnsi="Consolas"/>
                <w:b w:val="0"/>
                <w:color w:val="1A1A1A"/>
                <w:sz w:val="17"/>
              </w:rPr>
              <w:t>risk_profile_assessed_date</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01-08-26</w:t>
            </w:r>
          </w:p>
        </w:tc>
        <w:tc>
          <w:tcPr>
            <w:tcW w:type="dxa" w:w="5947"/>
          </w:tcPr>
          <w:p>
            <w:pPr>
              <w:spacing w:after="40" w:before="40" w:line="240" w:lineRule="auto"/>
            </w:pPr>
            <w:r/>
            <w:r>
              <w:rPr>
                <w:rFonts w:ascii="Calibri" w:hAnsi="Calibri"/>
                <w:b w:val="0"/>
                <w:i w:val="0"/>
                <w:color w:val="1A1A1A"/>
                <w:sz w:val="17"/>
              </w:rPr>
              <w:t>Date of assessment.</w:t>
            </w:r>
          </w:p>
        </w:tc>
      </w:tr>
      <w:tr>
        <w:tc>
          <w:tcPr>
            <w:tcW w:type="dxa" w:w="3168"/>
            <w:shd w:val="clear" w:color="auto" w:fill="F2F4F4"/>
          </w:tcPr>
          <w:p>
            <w:pPr>
              <w:spacing w:after="40" w:before="40" w:line="240" w:lineRule="auto"/>
            </w:pPr>
            <w:r/>
            <w:r>
              <w:rPr>
                <w:rFonts w:ascii="Consolas" w:hAnsi="Consolas"/>
                <w:b w:val="0"/>
                <w:color w:val="1A1A1A"/>
                <w:sz w:val="17"/>
              </w:rPr>
              <w:t>risk_profile_valid_until</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01-08-27</w:t>
            </w:r>
          </w:p>
        </w:tc>
        <w:tc>
          <w:tcPr>
            <w:tcW w:type="dxa" w:w="5947"/>
            <w:shd w:val="clear" w:color="auto" w:fill="F2F4F4"/>
          </w:tcPr>
          <w:p>
            <w:pPr>
              <w:spacing w:after="40" w:before="40" w:line="240" w:lineRule="auto"/>
            </w:pPr>
            <w:r/>
            <w:r>
              <w:rPr>
                <w:rFonts w:ascii="Calibri" w:hAnsi="Calibri"/>
                <w:b w:val="0"/>
                <w:i w:val="0"/>
                <w:color w:val="1A1A1A"/>
                <w:sz w:val="17"/>
              </w:rPr>
              <w:t>Expiry. MITRA forces re-assessment past this date rather than advising on a stale profile.</w:t>
            </w:r>
          </w:p>
        </w:tc>
      </w:tr>
    </w:tbl>
    <w:p>
      <w:pPr>
        <w:spacing w:after="40"/>
      </w:pPr>
    </w:p>
    <w:p>
      <w:r>
        <w:br w:type="page"/>
      </w:r>
    </w:p>
    <w:p>
      <w:pPr>
        <w:spacing w:before="0" w:after="80"/>
      </w:pPr>
      <w:r>
        <w:rPr>
          <w:b/>
          <w:color w:val="006B6B"/>
          <w:sz w:val="34"/>
        </w:rPr>
        <w:t>5  Accounts and Balances API</w:t>
      </w:r>
    </w:p>
    <w:p>
      <w:pPr>
        <w:spacing w:after="200"/>
      </w:pPr>
      <w:r>
        <w:rPr>
          <w:color w:val="006B6B"/>
          <w:sz w:val="12"/>
        </w:rPr>
        <w:t>────────────────────────────────────────────────────────────</w:t>
      </w:r>
    </w:p>
    <w:p>
      <w:pPr>
        <w:spacing w:after="120"/>
      </w:pPr>
      <w:r>
        <w:rPr>
          <w:b w:val="0"/>
          <w:i w:val="0"/>
          <w:color w:val="5A6363"/>
          <w:sz w:val="19"/>
        </w:rPr>
        <w:t>Deposit and cash accounts. One response record per account.</w:t>
      </w:r>
    </w:p>
    <w:p>
      <w:pPr>
        <w:spacing w:before="180" w:after="60"/>
      </w:pPr>
      <w:r>
        <w:rPr>
          <w:b/>
          <w:color w:val="1A1A1A"/>
          <w:sz w:val="21"/>
        </w:rPr>
        <w:t>5.1  API Request</w:t>
      </w:r>
    </w:p>
    <w:tbl>
      <w:tblPr>
        <w:tblStyle w:val="TableGrid"/>
        <w:tblW w:type="auto" w:w="0"/>
        <w:jc w:val="left"/>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009"/>
            <w:shd w:val="clear" w:color="auto" w:fill="006B6B"/>
          </w:tcPr>
          <w:p>
            <w:pPr>
              <w:spacing w:after="40" w:before="40" w:line="240" w:lineRule="auto"/>
            </w:pPr>
            <w:r/>
            <w:r>
              <w:rPr>
                <w:rFonts w:ascii="Calibri" w:hAnsi="Calibri"/>
                <w:b/>
                <w:i w:val="0"/>
                <w:color w:val="FFFFFF"/>
                <w:sz w:val="17"/>
              </w:rPr>
              <w:t>Field Name</w:t>
            </w:r>
          </w:p>
        </w:tc>
        <w:tc>
          <w:tcPr>
            <w:tcW w:type="dxa" w:w="1117"/>
            <w:shd w:val="clear" w:color="auto" w:fill="006B6B"/>
          </w:tcPr>
          <w:p>
            <w:pPr>
              <w:spacing w:after="40" w:before="40" w:line="240" w:lineRule="auto"/>
            </w:pPr>
            <w:r/>
            <w:r>
              <w:rPr>
                <w:rFonts w:ascii="Calibri" w:hAnsi="Calibri"/>
                <w:b/>
                <w:i w:val="0"/>
                <w:color w:val="FFFFFF"/>
                <w:sz w:val="17"/>
              </w:rPr>
              <w:t>Field Type</w:t>
            </w:r>
          </w:p>
        </w:tc>
        <w:tc>
          <w:tcPr>
            <w:tcW w:type="dxa" w:w="1232"/>
            <w:shd w:val="clear" w:color="auto" w:fill="006B6B"/>
          </w:tcPr>
          <w:p>
            <w:pPr>
              <w:spacing w:after="40" w:before="40" w:line="240" w:lineRule="auto"/>
            </w:pPr>
            <w:r/>
            <w:r>
              <w:rPr>
                <w:rFonts w:ascii="Calibri" w:hAnsi="Calibri"/>
                <w:b/>
                <w:i w:val="0"/>
                <w:color w:val="FFFFFF"/>
                <w:sz w:val="17"/>
              </w:rPr>
              <w:t>Max Field Length</w:t>
            </w:r>
          </w:p>
        </w:tc>
        <w:tc>
          <w:tcPr>
            <w:tcW w:type="dxa" w:w="1547"/>
            <w:shd w:val="clear" w:color="auto" w:fill="006B6B"/>
          </w:tcPr>
          <w:p>
            <w:pPr>
              <w:spacing w:after="40" w:before="40" w:line="240" w:lineRule="auto"/>
            </w:pPr>
            <w:r/>
            <w:r>
              <w:rPr>
                <w:rFonts w:ascii="Calibri" w:hAnsi="Calibri"/>
                <w:b/>
                <w:i w:val="0"/>
                <w:color w:val="FFFFFF"/>
                <w:sz w:val="17"/>
              </w:rPr>
              <w:t>Mandatory/Optional</w:t>
            </w:r>
          </w:p>
        </w:tc>
        <w:tc>
          <w:tcPr>
            <w:tcW w:type="dxa" w:w="2436"/>
            <w:shd w:val="clear" w:color="auto" w:fill="006B6B"/>
          </w:tcPr>
          <w:p>
            <w:pPr>
              <w:spacing w:after="40" w:before="40" w:line="240" w:lineRule="auto"/>
            </w:pPr>
            <w:r/>
            <w:r>
              <w:rPr>
                <w:rFonts w:ascii="Calibri" w:hAnsi="Calibri"/>
                <w:b/>
                <w:i w:val="0"/>
                <w:color w:val="FFFFFF"/>
                <w:sz w:val="17"/>
              </w:rPr>
              <w:t>Sample Values</w:t>
            </w:r>
          </w:p>
        </w:tc>
        <w:tc>
          <w:tcPr>
            <w:tcW w:type="dxa" w:w="4699"/>
            <w:shd w:val="clear" w:color="auto" w:fill="006B6B"/>
          </w:tcPr>
          <w:p>
            <w:pPr>
              <w:spacing w:after="40" w:before="40" w:line="240" w:lineRule="auto"/>
            </w:pPr>
            <w:r/>
            <w:r>
              <w:rPr>
                <w:rFonts w:ascii="Calibri" w:hAnsi="Calibri"/>
                <w:b/>
                <w:i w:val="0"/>
                <w:color w:val="FFFFFF"/>
                <w:sz w:val="17"/>
              </w:rPr>
              <w:t>Description</w:t>
            </w:r>
          </w:p>
        </w:tc>
      </w:tr>
      <w:tr>
        <w:tc>
          <w:tcPr>
            <w:tcW w:type="dxa" w:w="3009"/>
          </w:tcPr>
          <w:p>
            <w:pPr>
              <w:spacing w:after="40" w:before="40" w:line="240" w:lineRule="auto"/>
            </w:pPr>
            <w:r/>
            <w:r>
              <w:rPr>
                <w:rFonts w:ascii="Consolas" w:hAnsi="Consolas"/>
                <w:b w:val="0"/>
                <w:color w:val="1A1A1A"/>
                <w:sz w:val="17"/>
              </w:rPr>
              <w:t>customer_id</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20</w:t>
            </w:r>
          </w:p>
        </w:tc>
        <w:tc>
          <w:tcPr>
            <w:tcW w:type="dxa" w:w="1547"/>
          </w:tcPr>
          <w:p>
            <w:pPr>
              <w:spacing w:after="40" w:before="40" w:line="240" w:lineRule="auto"/>
            </w:pPr>
            <w:r/>
            <w:r>
              <w:rPr>
                <w:rFonts w:ascii="Calibri" w:hAnsi="Calibri"/>
                <w:b w:val="0"/>
                <w:i w:val="0"/>
                <w:color w:val="1A1A1A"/>
                <w:sz w:val="17"/>
              </w:rPr>
              <w:t>Mandatory</w:t>
            </w:r>
          </w:p>
        </w:tc>
        <w:tc>
          <w:tcPr>
            <w:tcW w:type="dxa" w:w="2436"/>
          </w:tcPr>
          <w:p>
            <w:pPr>
              <w:spacing w:after="40" w:before="40" w:line="240" w:lineRule="auto"/>
            </w:pPr>
            <w:r/>
            <w:r>
              <w:rPr>
                <w:rFonts w:ascii="Calibri" w:hAnsi="Calibri"/>
                <w:b w:val="0"/>
                <w:i w:val="0"/>
                <w:color w:val="1A1A1A"/>
                <w:sz w:val="17"/>
              </w:rPr>
              <w:t>CUST-88214</w:t>
            </w:r>
          </w:p>
        </w:tc>
        <w:tc>
          <w:tcPr>
            <w:tcW w:type="dxa" w:w="4699"/>
          </w:tcPr>
          <w:p>
            <w:pPr>
              <w:spacing w:after="40" w:before="40" w:line="240" w:lineRule="auto"/>
            </w:pPr>
            <w:r/>
            <w:r>
              <w:rPr>
                <w:rFonts w:ascii="Calibri" w:hAnsi="Calibri"/>
                <w:b w:val="0"/>
                <w:i w:val="0"/>
                <w:color w:val="1A1A1A"/>
                <w:sz w:val="17"/>
              </w:rPr>
              <w:t>Unique customer identifier.</w:t>
            </w:r>
          </w:p>
        </w:tc>
      </w:tr>
      <w:tr>
        <w:tc>
          <w:tcPr>
            <w:tcW w:type="dxa" w:w="3009"/>
            <w:shd w:val="clear" w:color="auto" w:fill="F2F4F4"/>
          </w:tcPr>
          <w:p>
            <w:pPr>
              <w:spacing w:after="40" w:before="40" w:line="240" w:lineRule="auto"/>
            </w:pPr>
            <w:r/>
            <w:r>
              <w:rPr>
                <w:rFonts w:ascii="Consolas" w:hAnsi="Consolas"/>
                <w:b w:val="0"/>
                <w:color w:val="1A1A1A"/>
                <w:sz w:val="17"/>
              </w:rPr>
              <w:t>consent_reference</w:t>
            </w:r>
          </w:p>
        </w:tc>
        <w:tc>
          <w:tcPr>
            <w:tcW w:type="dxa" w:w="1117"/>
            <w:shd w:val="clear" w:color="auto" w:fill="F2F4F4"/>
          </w:tcPr>
          <w:p>
            <w:pPr>
              <w:spacing w:after="40" w:before="40" w:line="240" w:lineRule="auto"/>
            </w:pPr>
            <w:r/>
            <w:r>
              <w:rPr>
                <w:rFonts w:ascii="Calibri" w:hAnsi="Calibri"/>
                <w:b w:val="0"/>
                <w:i w:val="0"/>
                <w:color w:val="1A1A1A"/>
                <w:sz w:val="17"/>
              </w:rPr>
              <w:t>String</w:t>
            </w:r>
          </w:p>
        </w:tc>
        <w:tc>
          <w:tcPr>
            <w:tcW w:type="dxa" w:w="1232"/>
            <w:shd w:val="clear" w:color="auto" w:fill="F2F4F4"/>
          </w:tcPr>
          <w:p>
            <w:pPr>
              <w:spacing w:after="40" w:before="40" w:line="240" w:lineRule="auto"/>
            </w:pPr>
            <w:r/>
            <w:r>
              <w:rPr>
                <w:rFonts w:ascii="Calibri" w:hAnsi="Calibri"/>
                <w:b w:val="0"/>
                <w:i w:val="0"/>
                <w:color w:val="1A1A1A"/>
                <w:sz w:val="17"/>
              </w:rPr>
              <w:t>50</w:t>
            </w:r>
          </w:p>
        </w:tc>
        <w:tc>
          <w:tcPr>
            <w:tcW w:type="dxa" w:w="1547"/>
            <w:shd w:val="clear" w:color="auto" w:fill="F2F4F4"/>
          </w:tcPr>
          <w:p>
            <w:pPr>
              <w:spacing w:after="40" w:before="40" w:line="240" w:lineRule="auto"/>
            </w:pPr>
            <w:r/>
            <w:r>
              <w:rPr>
                <w:rFonts w:ascii="Calibri" w:hAnsi="Calibri"/>
                <w:b w:val="0"/>
                <w:i w:val="0"/>
                <w:color w:val="1A1A1A"/>
                <w:sz w:val="17"/>
              </w:rPr>
              <w:t>Mandatory</w:t>
            </w:r>
          </w:p>
        </w:tc>
        <w:tc>
          <w:tcPr>
            <w:tcW w:type="dxa" w:w="2436"/>
            <w:shd w:val="clear" w:color="auto" w:fill="F2F4F4"/>
          </w:tcPr>
          <w:p>
            <w:pPr>
              <w:spacing w:after="40" w:before="40" w:line="240" w:lineRule="auto"/>
            </w:pPr>
            <w:r/>
            <w:r>
              <w:rPr>
                <w:rFonts w:ascii="Calibri" w:hAnsi="Calibri"/>
                <w:b w:val="0"/>
                <w:i w:val="0"/>
                <w:color w:val="1A1A1A"/>
                <w:sz w:val="17"/>
              </w:rPr>
              <w:t>CONS_MITRA_982731</w:t>
            </w:r>
          </w:p>
        </w:tc>
        <w:tc>
          <w:tcPr>
            <w:tcW w:type="dxa" w:w="4699"/>
            <w:shd w:val="clear" w:color="auto" w:fill="F2F4F4"/>
          </w:tcPr>
          <w:p>
            <w:pPr>
              <w:spacing w:after="40" w:before="40" w:line="240" w:lineRule="auto"/>
            </w:pPr>
            <w:r/>
            <w:r>
              <w:rPr>
                <w:rFonts w:ascii="Calibri" w:hAnsi="Calibri"/>
                <w:b w:val="0"/>
                <w:i w:val="0"/>
                <w:color w:val="1A1A1A"/>
                <w:sz w:val="17"/>
              </w:rPr>
              <w:t>Consent artefact reference.</w:t>
            </w:r>
          </w:p>
        </w:tc>
      </w:tr>
      <w:tr>
        <w:tc>
          <w:tcPr>
            <w:tcW w:type="dxa" w:w="3009"/>
          </w:tcPr>
          <w:p>
            <w:pPr>
              <w:spacing w:after="40" w:before="40" w:line="240" w:lineRule="auto"/>
            </w:pPr>
            <w:r/>
            <w:r>
              <w:rPr>
                <w:rFonts w:ascii="Consolas" w:hAnsi="Consolas"/>
                <w:b w:val="0"/>
                <w:color w:val="1A1A1A"/>
                <w:sz w:val="17"/>
              </w:rPr>
              <w:t>account_type</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20</w:t>
            </w:r>
          </w:p>
        </w:tc>
        <w:tc>
          <w:tcPr>
            <w:tcW w:type="dxa" w:w="1547"/>
          </w:tcPr>
          <w:p>
            <w:pPr>
              <w:spacing w:after="40" w:before="40" w:line="240" w:lineRule="auto"/>
            </w:pPr>
            <w:r/>
            <w:r>
              <w:rPr>
                <w:rFonts w:ascii="Calibri" w:hAnsi="Calibri"/>
                <w:b w:val="0"/>
                <w:i w:val="0"/>
                <w:color w:val="1A1A1A"/>
                <w:sz w:val="17"/>
              </w:rPr>
              <w:t>Optional</w:t>
            </w:r>
          </w:p>
        </w:tc>
        <w:tc>
          <w:tcPr>
            <w:tcW w:type="dxa" w:w="2436"/>
          </w:tcPr>
          <w:p>
            <w:pPr>
              <w:spacing w:after="40" w:before="40" w:line="240" w:lineRule="auto"/>
            </w:pPr>
            <w:r/>
            <w:r>
              <w:rPr>
                <w:rFonts w:ascii="Calibri" w:hAnsi="Calibri"/>
                <w:b w:val="0"/>
                <w:i w:val="0"/>
                <w:color w:val="1A1A1A"/>
                <w:sz w:val="17"/>
              </w:rPr>
              <w:t>SAVINGS</w:t>
            </w:r>
          </w:p>
        </w:tc>
        <w:tc>
          <w:tcPr>
            <w:tcW w:type="dxa" w:w="4699"/>
          </w:tcPr>
          <w:p>
            <w:pPr>
              <w:spacing w:after="40" w:before="40" w:line="240" w:lineRule="auto"/>
            </w:pPr>
            <w:r/>
            <w:r>
              <w:rPr>
                <w:rFonts w:ascii="Calibri" w:hAnsi="Calibri"/>
                <w:b w:val="0"/>
                <w:i w:val="0"/>
                <w:color w:val="1A1A1A"/>
                <w:sz w:val="17"/>
              </w:rPr>
              <w:t>Filter. Returns all account types when omitted.</w:t>
            </w:r>
          </w:p>
        </w:tc>
      </w:tr>
      <w:tr>
        <w:tc>
          <w:tcPr>
            <w:tcW w:type="dxa" w:w="3009"/>
            <w:shd w:val="clear" w:color="auto" w:fill="F2F4F4"/>
          </w:tcPr>
          <w:p>
            <w:pPr>
              <w:spacing w:after="40" w:before="40" w:line="240" w:lineRule="auto"/>
            </w:pPr>
            <w:r/>
            <w:r>
              <w:rPr>
                <w:rFonts w:ascii="Consolas" w:hAnsi="Consolas"/>
                <w:b w:val="0"/>
                <w:color w:val="1A1A1A"/>
                <w:sz w:val="17"/>
              </w:rPr>
              <w:t>include_closed</w:t>
            </w:r>
          </w:p>
        </w:tc>
        <w:tc>
          <w:tcPr>
            <w:tcW w:type="dxa" w:w="1117"/>
            <w:shd w:val="clear" w:color="auto" w:fill="F2F4F4"/>
          </w:tcPr>
          <w:p>
            <w:pPr>
              <w:spacing w:after="40" w:before="40" w:line="240" w:lineRule="auto"/>
            </w:pPr>
            <w:r/>
            <w:r>
              <w:rPr>
                <w:rFonts w:ascii="Calibri" w:hAnsi="Calibri"/>
                <w:b w:val="0"/>
                <w:i w:val="0"/>
                <w:color w:val="1A1A1A"/>
                <w:sz w:val="17"/>
              </w:rPr>
              <w:t>Boolean</w:t>
            </w:r>
          </w:p>
        </w:tc>
        <w:tc>
          <w:tcPr>
            <w:tcW w:type="dxa" w:w="1232"/>
            <w:shd w:val="clear" w:color="auto" w:fill="F2F4F4"/>
          </w:tcPr>
          <w:p>
            <w:pPr>
              <w:spacing w:after="40" w:before="40" w:line="240" w:lineRule="auto"/>
            </w:pPr>
            <w:r/>
            <w:r>
              <w:rPr>
                <w:rFonts w:ascii="Calibri" w:hAnsi="Calibri"/>
                <w:b w:val="0"/>
                <w:i w:val="0"/>
                <w:color w:val="1A1A1A"/>
                <w:sz w:val="17"/>
              </w:rPr>
              <w:t>1</w:t>
            </w:r>
          </w:p>
        </w:tc>
        <w:tc>
          <w:tcPr>
            <w:tcW w:type="dxa" w:w="1547"/>
            <w:shd w:val="clear" w:color="auto" w:fill="F2F4F4"/>
          </w:tcPr>
          <w:p>
            <w:pPr>
              <w:spacing w:after="40" w:before="40" w:line="240" w:lineRule="auto"/>
            </w:pPr>
            <w:r/>
            <w:r>
              <w:rPr>
                <w:rFonts w:ascii="Calibri" w:hAnsi="Calibri"/>
                <w:b w:val="0"/>
                <w:i w:val="0"/>
                <w:color w:val="1A1A1A"/>
                <w:sz w:val="17"/>
              </w:rPr>
              <w:t>Optional</w:t>
            </w:r>
          </w:p>
        </w:tc>
        <w:tc>
          <w:tcPr>
            <w:tcW w:type="dxa" w:w="2436"/>
            <w:shd w:val="clear" w:color="auto" w:fill="F2F4F4"/>
          </w:tcPr>
          <w:p>
            <w:pPr>
              <w:spacing w:after="40" w:before="40" w:line="240" w:lineRule="auto"/>
            </w:pPr>
            <w:r/>
            <w:r>
              <w:rPr>
                <w:rFonts w:ascii="Calibri" w:hAnsi="Calibri"/>
                <w:b w:val="0"/>
                <w:i w:val="0"/>
                <w:color w:val="1A1A1A"/>
                <w:sz w:val="17"/>
              </w:rPr>
              <w:t>false</w:t>
            </w:r>
          </w:p>
        </w:tc>
        <w:tc>
          <w:tcPr>
            <w:tcW w:type="dxa" w:w="4699"/>
            <w:shd w:val="clear" w:color="auto" w:fill="F2F4F4"/>
          </w:tcPr>
          <w:p>
            <w:pPr>
              <w:spacing w:after="40" w:before="40" w:line="240" w:lineRule="auto"/>
            </w:pPr>
            <w:r/>
            <w:r>
              <w:rPr>
                <w:rFonts w:ascii="Calibri" w:hAnsi="Calibri"/>
                <w:b w:val="0"/>
                <w:i w:val="0"/>
                <w:color w:val="1A1A1A"/>
                <w:sz w:val="17"/>
              </w:rPr>
              <w:t>Whether to include closed accounts. Defaults to false.</w:t>
            </w:r>
          </w:p>
        </w:tc>
      </w:tr>
    </w:tbl>
    <w:p>
      <w:pPr>
        <w:spacing w:after="40"/>
      </w:pPr>
    </w:p>
    <w:p>
      <w:pPr>
        <w:spacing w:before="180" w:after="60"/>
      </w:pPr>
      <w:r>
        <w:rPr>
          <w:b/>
          <w:color w:val="1A1A1A"/>
          <w:sz w:val="21"/>
        </w:rPr>
        <w:t>5.2  API Response (repeating block, one per account)</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account_id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30</w:t>
            </w:r>
          </w:p>
        </w:tc>
        <w:tc>
          <w:tcPr>
            <w:tcW w:type="dxa" w:w="2563"/>
          </w:tcPr>
          <w:p>
            <w:pPr>
              <w:spacing w:after="40" w:before="40" w:line="240" w:lineRule="auto"/>
            </w:pPr>
            <w:r/>
            <w:r>
              <w:rPr>
                <w:rFonts w:ascii="Calibri" w:hAnsi="Calibri"/>
                <w:b w:val="0"/>
                <w:i w:val="0"/>
                <w:color w:val="1A1A1A"/>
                <w:sz w:val="17"/>
              </w:rPr>
              <w:t>ACC_01J8X2P4</w:t>
            </w:r>
          </w:p>
        </w:tc>
        <w:tc>
          <w:tcPr>
            <w:tcW w:type="dxa" w:w="5947"/>
          </w:tcPr>
          <w:p>
            <w:pPr>
              <w:spacing w:after="40" w:before="40" w:line="240" w:lineRule="auto"/>
            </w:pPr>
            <w:r/>
            <w:r>
              <w:rPr>
                <w:rFonts w:ascii="Calibri" w:hAnsi="Calibri"/>
                <w:b w:val="0"/>
                <w:i w:val="0"/>
                <w:color w:val="1A1A1A"/>
                <w:sz w:val="17"/>
              </w:rPr>
              <w:t>Unique account identifier, stable across calls.</w:t>
            </w:r>
          </w:p>
        </w:tc>
      </w:tr>
      <w:tr>
        <w:tc>
          <w:tcPr>
            <w:tcW w:type="dxa" w:w="3168"/>
            <w:shd w:val="clear" w:color="auto" w:fill="F2F4F4"/>
          </w:tcPr>
          <w:p>
            <w:pPr>
              <w:spacing w:after="40" w:before="40" w:line="240" w:lineRule="auto"/>
            </w:pPr>
            <w:r/>
            <w:r>
              <w:rPr>
                <w:rFonts w:ascii="Consolas" w:hAnsi="Consolas"/>
                <w:b w:val="0"/>
                <w:color w:val="1A1A1A"/>
                <w:sz w:val="17"/>
              </w:rPr>
              <w:t>account_type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20</w:t>
            </w:r>
          </w:p>
        </w:tc>
        <w:tc>
          <w:tcPr>
            <w:tcW w:type="dxa" w:w="2563"/>
            <w:shd w:val="clear" w:color="auto" w:fill="F2F4F4"/>
          </w:tcPr>
          <w:p>
            <w:pPr>
              <w:spacing w:after="40" w:before="40" w:line="240" w:lineRule="auto"/>
            </w:pPr>
            <w:r/>
            <w:r>
              <w:rPr>
                <w:rFonts w:ascii="Calibri" w:hAnsi="Calibri"/>
                <w:b w:val="0"/>
                <w:i w:val="0"/>
                <w:color w:val="1A1A1A"/>
                <w:sz w:val="17"/>
              </w:rPr>
              <w:t>SAVINGS</w:t>
            </w:r>
          </w:p>
        </w:tc>
        <w:tc>
          <w:tcPr>
            <w:tcW w:type="dxa" w:w="5947"/>
            <w:shd w:val="clear" w:color="auto" w:fill="F2F4F4"/>
          </w:tcPr>
          <w:p>
            <w:pPr>
              <w:spacing w:after="40" w:before="40" w:line="240" w:lineRule="auto"/>
            </w:pPr>
            <w:r/>
            <w:r>
              <w:rPr>
                <w:rFonts w:ascii="Calibri" w:hAnsi="Calibri"/>
                <w:b w:val="0"/>
                <w:i w:val="0"/>
                <w:color w:val="1A1A1A"/>
                <w:sz w:val="17"/>
              </w:rPr>
              <w:t>SAVINGS, CURRENT, FD, RD, PPF, NPS or DEMAT.</w:t>
            </w:r>
          </w:p>
        </w:tc>
      </w:tr>
      <w:tr>
        <w:tc>
          <w:tcPr>
            <w:tcW w:type="dxa" w:w="3168"/>
          </w:tcPr>
          <w:p>
            <w:pPr>
              <w:spacing w:after="40" w:before="40" w:line="240" w:lineRule="auto"/>
            </w:pPr>
            <w:r/>
            <w:r>
              <w:rPr>
                <w:rFonts w:ascii="Consolas" w:hAnsi="Consolas"/>
                <w:b w:val="0"/>
                <w:color w:val="1A1A1A"/>
                <w:sz w:val="17"/>
              </w:rPr>
              <w:t>institution_name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100</w:t>
            </w:r>
          </w:p>
        </w:tc>
        <w:tc>
          <w:tcPr>
            <w:tcW w:type="dxa" w:w="2563"/>
          </w:tcPr>
          <w:p>
            <w:pPr>
              <w:spacing w:after="40" w:before="40" w:line="240" w:lineRule="auto"/>
            </w:pPr>
            <w:r/>
            <w:r>
              <w:rPr>
                <w:rFonts w:ascii="Calibri" w:hAnsi="Calibri"/>
                <w:b w:val="0"/>
                <w:i w:val="0"/>
                <w:color w:val="1A1A1A"/>
                <w:sz w:val="17"/>
              </w:rPr>
              <w:t>IDBI Bank</w:t>
            </w:r>
          </w:p>
        </w:tc>
        <w:tc>
          <w:tcPr>
            <w:tcW w:type="dxa" w:w="5947"/>
          </w:tcPr>
          <w:p>
            <w:pPr>
              <w:spacing w:after="40" w:before="40" w:line="240" w:lineRule="auto"/>
            </w:pPr>
            <w:r/>
            <w:r>
              <w:rPr>
                <w:rFonts w:ascii="Calibri" w:hAnsi="Calibri"/>
                <w:b w:val="0"/>
                <w:i w:val="0"/>
                <w:color w:val="1A1A1A"/>
                <w:sz w:val="17"/>
              </w:rPr>
              <w:t>Holding institution. Non-IDBI values arrive via Account Aggregator.</w:t>
            </w:r>
          </w:p>
        </w:tc>
      </w:tr>
      <w:tr>
        <w:tc>
          <w:tcPr>
            <w:tcW w:type="dxa" w:w="3168"/>
            <w:shd w:val="clear" w:color="auto" w:fill="F2F4F4"/>
          </w:tcPr>
          <w:p>
            <w:pPr>
              <w:spacing w:after="40" w:before="40" w:line="240" w:lineRule="auto"/>
            </w:pPr>
            <w:r/>
            <w:r>
              <w:rPr>
                <w:rFonts w:ascii="Consolas" w:hAnsi="Consolas"/>
                <w:b w:val="0"/>
                <w:color w:val="1A1A1A"/>
                <w:sz w:val="17"/>
              </w:rPr>
              <w:t>account_number_masked</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20</w:t>
            </w:r>
          </w:p>
        </w:tc>
        <w:tc>
          <w:tcPr>
            <w:tcW w:type="dxa" w:w="2563"/>
            <w:shd w:val="clear" w:color="auto" w:fill="F2F4F4"/>
          </w:tcPr>
          <w:p>
            <w:pPr>
              <w:spacing w:after="40" w:before="40" w:line="240" w:lineRule="auto"/>
            </w:pPr>
            <w:r/>
            <w:r>
              <w:rPr>
                <w:rFonts w:ascii="Calibri" w:hAnsi="Calibri"/>
                <w:b w:val="0"/>
                <w:i w:val="0"/>
                <w:color w:val="1A1A1A"/>
                <w:sz w:val="17"/>
              </w:rPr>
              <w:t>****4412</w:t>
            </w:r>
          </w:p>
        </w:tc>
        <w:tc>
          <w:tcPr>
            <w:tcW w:type="dxa" w:w="5947"/>
            <w:shd w:val="clear" w:color="auto" w:fill="F2F4F4"/>
          </w:tcPr>
          <w:p>
            <w:pPr>
              <w:spacing w:after="40" w:before="40" w:line="240" w:lineRule="auto"/>
            </w:pPr>
            <w:r/>
            <w:r>
              <w:rPr>
                <w:rFonts w:ascii="Calibri" w:hAnsi="Calibri"/>
                <w:b w:val="0"/>
                <w:i w:val="0"/>
                <w:color w:val="1A1A1A"/>
                <w:sz w:val="17"/>
              </w:rPr>
              <w:t>Masked account number. Full number is never required.</w:t>
            </w:r>
          </w:p>
        </w:tc>
      </w:tr>
      <w:tr>
        <w:tc>
          <w:tcPr>
            <w:tcW w:type="dxa" w:w="3168"/>
          </w:tcPr>
          <w:p>
            <w:pPr>
              <w:spacing w:after="40" w:before="40" w:line="240" w:lineRule="auto"/>
            </w:pPr>
            <w:r/>
            <w:r>
              <w:rPr>
                <w:rFonts w:ascii="Consolas" w:hAnsi="Consolas"/>
                <w:b w:val="0"/>
                <w:color w:val="1A1A1A"/>
                <w:sz w:val="17"/>
              </w:rPr>
              <w:t>ifsc</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11</w:t>
            </w:r>
          </w:p>
        </w:tc>
        <w:tc>
          <w:tcPr>
            <w:tcW w:type="dxa" w:w="2563"/>
          </w:tcPr>
          <w:p>
            <w:pPr>
              <w:spacing w:after="40" w:before="40" w:line="240" w:lineRule="auto"/>
            </w:pPr>
            <w:r/>
            <w:r>
              <w:rPr>
                <w:rFonts w:ascii="Calibri" w:hAnsi="Calibri"/>
                <w:b w:val="0"/>
                <w:i w:val="0"/>
                <w:color w:val="1A1A1A"/>
                <w:sz w:val="17"/>
              </w:rPr>
              <w:t>IBKL0000123</w:t>
            </w:r>
          </w:p>
        </w:tc>
        <w:tc>
          <w:tcPr>
            <w:tcW w:type="dxa" w:w="5947"/>
          </w:tcPr>
          <w:p>
            <w:pPr>
              <w:spacing w:after="40" w:before="40" w:line="240" w:lineRule="auto"/>
            </w:pPr>
            <w:r/>
            <w:r>
              <w:rPr>
                <w:rFonts w:ascii="Calibri" w:hAnsi="Calibri"/>
                <w:b w:val="0"/>
                <w:i w:val="0"/>
                <w:color w:val="1A1A1A"/>
                <w:sz w:val="17"/>
              </w:rPr>
              <w:t>Branch identifier.</w:t>
            </w:r>
          </w:p>
        </w:tc>
      </w:tr>
      <w:tr>
        <w:tc>
          <w:tcPr>
            <w:tcW w:type="dxa" w:w="3168"/>
            <w:shd w:val="clear" w:color="auto" w:fill="F2F4F4"/>
          </w:tcPr>
          <w:p>
            <w:pPr>
              <w:spacing w:after="40" w:before="40" w:line="240" w:lineRule="auto"/>
            </w:pPr>
            <w:r/>
            <w:r>
              <w:rPr>
                <w:rFonts w:ascii="Consolas" w:hAnsi="Consolas"/>
                <w:b w:val="0"/>
                <w:color w:val="1A1A1A"/>
                <w:sz w:val="17"/>
              </w:rPr>
              <w:t>current_balance</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264500.00</w:t>
            </w:r>
          </w:p>
        </w:tc>
        <w:tc>
          <w:tcPr>
            <w:tcW w:type="dxa" w:w="5947"/>
            <w:shd w:val="clear" w:color="auto" w:fill="F2F4F4"/>
          </w:tcPr>
          <w:p>
            <w:pPr>
              <w:spacing w:after="40" w:before="40" w:line="240" w:lineRule="auto"/>
            </w:pPr>
            <w:r/>
            <w:r>
              <w:rPr>
                <w:rFonts w:ascii="Calibri" w:hAnsi="Calibri"/>
                <w:b w:val="0"/>
                <w:i w:val="0"/>
                <w:color w:val="1A1A1A"/>
                <w:sz w:val="17"/>
              </w:rPr>
              <w:t>Ledger balance as at last_synced_datetime.</w:t>
            </w:r>
          </w:p>
        </w:tc>
      </w:tr>
      <w:tr>
        <w:tc>
          <w:tcPr>
            <w:tcW w:type="dxa" w:w="3168"/>
          </w:tcPr>
          <w:p>
            <w:pPr>
              <w:spacing w:after="40" w:before="40" w:line="240" w:lineRule="auto"/>
            </w:pPr>
            <w:r/>
            <w:r>
              <w:rPr>
                <w:rFonts w:ascii="Consolas" w:hAnsi="Consolas"/>
                <w:b w:val="0"/>
                <w:color w:val="1A1A1A"/>
                <w:sz w:val="17"/>
              </w:rPr>
              <w:t>available_balance</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264500.00</w:t>
            </w:r>
          </w:p>
        </w:tc>
        <w:tc>
          <w:tcPr>
            <w:tcW w:type="dxa" w:w="5947"/>
          </w:tcPr>
          <w:p>
            <w:pPr>
              <w:spacing w:after="40" w:before="40" w:line="240" w:lineRule="auto"/>
            </w:pPr>
            <w:r/>
            <w:r>
              <w:rPr>
                <w:rFonts w:ascii="Calibri" w:hAnsi="Calibri"/>
                <w:b w:val="0"/>
                <w:i w:val="0"/>
                <w:color w:val="1A1A1A"/>
                <w:sz w:val="17"/>
              </w:rPr>
              <w:t>Balance net of holds. Used for emergency-cover calculation in preference to current_balance.</w:t>
            </w:r>
          </w:p>
        </w:tc>
      </w:tr>
      <w:tr>
        <w:tc>
          <w:tcPr>
            <w:tcW w:type="dxa" w:w="3168"/>
            <w:shd w:val="clear" w:color="auto" w:fill="F2F4F4"/>
          </w:tcPr>
          <w:p>
            <w:pPr>
              <w:spacing w:after="40" w:before="40" w:line="240" w:lineRule="auto"/>
            </w:pPr>
            <w:r/>
            <w:r>
              <w:rPr>
                <w:rFonts w:ascii="Consolas" w:hAnsi="Consolas"/>
                <w:b w:val="0"/>
                <w:color w:val="1A1A1A"/>
                <w:sz w:val="17"/>
              </w:rPr>
              <w:t>currency_code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3</w:t>
            </w:r>
          </w:p>
        </w:tc>
        <w:tc>
          <w:tcPr>
            <w:tcW w:type="dxa" w:w="2563"/>
            <w:shd w:val="clear" w:color="auto" w:fill="F2F4F4"/>
          </w:tcPr>
          <w:p>
            <w:pPr>
              <w:spacing w:after="40" w:before="40" w:line="240" w:lineRule="auto"/>
            </w:pPr>
            <w:r/>
            <w:r>
              <w:rPr>
                <w:rFonts w:ascii="Calibri" w:hAnsi="Calibri"/>
                <w:b w:val="0"/>
                <w:i w:val="0"/>
                <w:color w:val="1A1A1A"/>
                <w:sz w:val="17"/>
              </w:rPr>
              <w:t>INR</w:t>
            </w:r>
          </w:p>
        </w:tc>
        <w:tc>
          <w:tcPr>
            <w:tcW w:type="dxa" w:w="5947"/>
            <w:shd w:val="clear" w:color="auto" w:fill="F2F4F4"/>
          </w:tcPr>
          <w:p>
            <w:pPr>
              <w:spacing w:after="40" w:before="40" w:line="240" w:lineRule="auto"/>
            </w:pPr>
            <w:r/>
            <w:r>
              <w:rPr>
                <w:rFonts w:ascii="Calibri" w:hAnsi="Calibri"/>
                <w:b w:val="0"/>
                <w:i w:val="0"/>
                <w:color w:val="1A1A1A"/>
                <w:sz w:val="17"/>
              </w:rPr>
              <w:t>ISO 4217.</w:t>
            </w:r>
          </w:p>
        </w:tc>
      </w:tr>
      <w:tr>
        <w:tc>
          <w:tcPr>
            <w:tcW w:type="dxa" w:w="3168"/>
          </w:tcPr>
          <w:p>
            <w:pPr>
              <w:spacing w:after="40" w:before="40" w:line="240" w:lineRule="auto"/>
            </w:pPr>
            <w:r/>
            <w:r>
              <w:rPr>
                <w:rFonts w:ascii="Consolas" w:hAnsi="Consolas"/>
                <w:b w:val="0"/>
                <w:color w:val="1A1A1A"/>
                <w:sz w:val="17"/>
              </w:rPr>
              <w:t>account_opened_date</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12-06-19</w:t>
            </w:r>
          </w:p>
        </w:tc>
        <w:tc>
          <w:tcPr>
            <w:tcW w:type="dxa" w:w="5947"/>
          </w:tcPr>
          <w:p>
            <w:pPr>
              <w:spacing w:after="40" w:before="40" w:line="240" w:lineRule="auto"/>
            </w:pPr>
            <w:r/>
            <w:r>
              <w:rPr>
                <w:rFonts w:ascii="Calibri" w:hAnsi="Calibri"/>
                <w:b w:val="0"/>
                <w:i w:val="0"/>
                <w:color w:val="1A1A1A"/>
                <w:sz w:val="17"/>
              </w:rPr>
              <w:t>Account opening date.</w:t>
            </w:r>
          </w:p>
        </w:tc>
      </w:tr>
      <w:tr>
        <w:tc>
          <w:tcPr>
            <w:tcW w:type="dxa" w:w="3168"/>
            <w:shd w:val="clear" w:color="auto" w:fill="F2F4F4"/>
          </w:tcPr>
          <w:p>
            <w:pPr>
              <w:spacing w:after="40" w:before="40" w:line="240" w:lineRule="auto"/>
            </w:pPr>
            <w:r/>
            <w:r>
              <w:rPr>
                <w:rFonts w:ascii="Consolas" w:hAnsi="Consolas"/>
                <w:b w:val="0"/>
                <w:color w:val="1A1A1A"/>
                <w:sz w:val="17"/>
              </w:rPr>
              <w:t>maturity_date</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12-06-27</w:t>
            </w:r>
          </w:p>
        </w:tc>
        <w:tc>
          <w:tcPr>
            <w:tcW w:type="dxa" w:w="5947"/>
            <w:shd w:val="clear" w:color="auto" w:fill="F2F4F4"/>
          </w:tcPr>
          <w:p>
            <w:pPr>
              <w:spacing w:after="40" w:before="40" w:line="240" w:lineRule="auto"/>
            </w:pPr>
            <w:r/>
            <w:r>
              <w:rPr>
                <w:rFonts w:ascii="Calibri" w:hAnsi="Calibri"/>
                <w:b w:val="0"/>
                <w:i w:val="0"/>
                <w:color w:val="1A1A1A"/>
                <w:sz w:val="17"/>
              </w:rPr>
              <w:t>Applicable to FD and RD only. Drives liquidity classification and reinvestment reminders.</w:t>
            </w:r>
          </w:p>
        </w:tc>
      </w:tr>
      <w:tr>
        <w:tc>
          <w:tcPr>
            <w:tcW w:type="dxa" w:w="3168"/>
          </w:tcPr>
          <w:p>
            <w:pPr>
              <w:spacing w:after="40" w:before="40" w:line="240" w:lineRule="auto"/>
            </w:pPr>
            <w:r/>
            <w:r>
              <w:rPr>
                <w:rFonts w:ascii="Consolas" w:hAnsi="Consolas"/>
                <w:b w:val="0"/>
                <w:color w:val="1A1A1A"/>
                <w:sz w:val="17"/>
              </w:rPr>
              <w:t>interest_rate_pct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5,2</w:t>
            </w:r>
          </w:p>
        </w:tc>
        <w:tc>
          <w:tcPr>
            <w:tcW w:type="dxa" w:w="2563"/>
          </w:tcPr>
          <w:p>
            <w:pPr>
              <w:spacing w:after="40" w:before="40" w:line="240" w:lineRule="auto"/>
            </w:pPr>
            <w:r/>
            <w:r>
              <w:rPr>
                <w:rFonts w:ascii="Calibri" w:hAnsi="Calibri"/>
                <w:b w:val="0"/>
                <w:i w:val="0"/>
                <w:color w:val="1A1A1A"/>
                <w:sz w:val="17"/>
              </w:rPr>
              <w:t>7.10</w:t>
            </w:r>
          </w:p>
        </w:tc>
        <w:tc>
          <w:tcPr>
            <w:tcW w:type="dxa" w:w="5947"/>
          </w:tcPr>
          <w:p>
            <w:pPr>
              <w:spacing w:after="40" w:before="40" w:line="240" w:lineRule="auto"/>
            </w:pPr>
            <w:r/>
            <w:r>
              <w:rPr>
                <w:rFonts w:ascii="Calibri" w:hAnsi="Calibri"/>
                <w:b w:val="0"/>
                <w:i w:val="0"/>
                <w:color w:val="1A1A1A"/>
                <w:sz w:val="17"/>
              </w:rPr>
              <w:t>Contracted rate. Used for the deposit-versus-market opportunity-cost comparison.</w:t>
            </w:r>
          </w:p>
        </w:tc>
      </w:tr>
      <w:tr>
        <w:tc>
          <w:tcPr>
            <w:tcW w:type="dxa" w:w="3168"/>
            <w:shd w:val="clear" w:color="auto" w:fill="F2F4F4"/>
          </w:tcPr>
          <w:p>
            <w:pPr>
              <w:spacing w:after="40" w:before="40" w:line="240" w:lineRule="auto"/>
            </w:pPr>
            <w:r/>
            <w:r>
              <w:rPr>
                <w:rFonts w:ascii="Consolas" w:hAnsi="Consolas"/>
                <w:b w:val="0"/>
                <w:color w:val="1A1A1A"/>
                <w:sz w:val="17"/>
              </w:rPr>
              <w:t>auto_renew_flag</w:t>
            </w:r>
          </w:p>
        </w:tc>
        <w:tc>
          <w:tcPr>
            <w:tcW w:type="dxa" w:w="1123"/>
            <w:shd w:val="clear" w:color="auto" w:fill="F2F4F4"/>
          </w:tcPr>
          <w:p>
            <w:pPr>
              <w:spacing w:after="40" w:before="40" w:line="240" w:lineRule="auto"/>
            </w:pPr>
            <w:r/>
            <w:r>
              <w:rPr>
                <w:rFonts w:ascii="Calibri" w:hAnsi="Calibri"/>
                <w:b w:val="0"/>
                <w:i w:val="0"/>
                <w:color w:val="1A1A1A"/>
                <w:sz w:val="17"/>
              </w:rPr>
              <w:t>Boolean</w:t>
            </w:r>
          </w:p>
        </w:tc>
        <w:tc>
          <w:tcPr>
            <w:tcW w:type="dxa" w:w="1238"/>
            <w:shd w:val="clear" w:color="auto" w:fill="F2F4F4"/>
          </w:tcPr>
          <w:p>
            <w:pPr>
              <w:spacing w:after="40" w:before="40" w:line="240" w:lineRule="auto"/>
            </w:pPr>
            <w:r/>
            <w:r>
              <w:rPr>
                <w:rFonts w:ascii="Calibri" w:hAnsi="Calibri"/>
                <w:b w:val="0"/>
                <w:i w:val="0"/>
                <w:color w:val="1A1A1A"/>
                <w:sz w:val="17"/>
              </w:rPr>
              <w:t>1</w:t>
            </w:r>
          </w:p>
        </w:tc>
        <w:tc>
          <w:tcPr>
            <w:tcW w:type="dxa" w:w="2563"/>
            <w:shd w:val="clear" w:color="auto" w:fill="F2F4F4"/>
          </w:tcPr>
          <w:p>
            <w:pPr>
              <w:spacing w:after="40" w:before="40" w:line="240" w:lineRule="auto"/>
            </w:pPr>
            <w:r/>
            <w:r>
              <w:rPr>
                <w:rFonts w:ascii="Calibri" w:hAnsi="Calibri"/>
                <w:b w:val="0"/>
                <w:i w:val="0"/>
                <w:color w:val="1A1A1A"/>
                <w:sz w:val="17"/>
              </w:rPr>
              <w:t>true</w:t>
            </w:r>
          </w:p>
        </w:tc>
        <w:tc>
          <w:tcPr>
            <w:tcW w:type="dxa" w:w="5947"/>
            <w:shd w:val="clear" w:color="auto" w:fill="F2F4F4"/>
          </w:tcPr>
          <w:p>
            <w:pPr>
              <w:spacing w:after="40" w:before="40" w:line="240" w:lineRule="auto"/>
            </w:pPr>
            <w:r/>
            <w:r>
              <w:rPr>
                <w:rFonts w:ascii="Calibri" w:hAnsi="Calibri"/>
                <w:b w:val="0"/>
                <w:i w:val="0"/>
                <w:color w:val="1A1A1A"/>
                <w:sz w:val="17"/>
              </w:rPr>
              <w:t>Applicable to FD only.</w:t>
            </w:r>
          </w:p>
        </w:tc>
      </w:tr>
      <w:tr>
        <w:tc>
          <w:tcPr>
            <w:tcW w:type="dxa" w:w="3168"/>
          </w:tcPr>
          <w:p>
            <w:pPr>
              <w:spacing w:after="40" w:before="40" w:line="240" w:lineRule="auto"/>
            </w:pPr>
            <w:r/>
            <w:r>
              <w:rPr>
                <w:rFonts w:ascii="Consolas" w:hAnsi="Consolas"/>
                <w:b w:val="0"/>
                <w:color w:val="1A1A1A"/>
                <w:sz w:val="17"/>
              </w:rPr>
              <w:t>account_status</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15</w:t>
            </w:r>
          </w:p>
        </w:tc>
        <w:tc>
          <w:tcPr>
            <w:tcW w:type="dxa" w:w="2563"/>
          </w:tcPr>
          <w:p>
            <w:pPr>
              <w:spacing w:after="40" w:before="40" w:line="240" w:lineRule="auto"/>
            </w:pPr>
            <w:r/>
            <w:r>
              <w:rPr>
                <w:rFonts w:ascii="Calibri" w:hAnsi="Calibri"/>
                <w:b w:val="0"/>
                <w:i w:val="0"/>
                <w:color w:val="1A1A1A"/>
                <w:sz w:val="17"/>
              </w:rPr>
              <w:t>ACTIVE</w:t>
            </w:r>
          </w:p>
        </w:tc>
        <w:tc>
          <w:tcPr>
            <w:tcW w:type="dxa" w:w="5947"/>
          </w:tcPr>
          <w:p>
            <w:pPr>
              <w:spacing w:after="40" w:before="40" w:line="240" w:lineRule="auto"/>
            </w:pPr>
            <w:r/>
            <w:r>
              <w:rPr>
                <w:rFonts w:ascii="Calibri" w:hAnsi="Calibri"/>
                <w:b w:val="0"/>
                <w:i w:val="0"/>
                <w:color w:val="1A1A1A"/>
                <w:sz w:val="17"/>
              </w:rPr>
              <w:t>ACTIVE, DORMANT, FROZEN or CLOSED. Dormant and frozen accounts are excluded from surplus calculations.</w:t>
            </w:r>
          </w:p>
        </w:tc>
      </w:tr>
      <w:tr>
        <w:tc>
          <w:tcPr>
            <w:tcW w:type="dxa" w:w="3168"/>
            <w:shd w:val="clear" w:color="auto" w:fill="F2F4F4"/>
          </w:tcPr>
          <w:p>
            <w:pPr>
              <w:spacing w:after="40" w:before="40" w:line="240" w:lineRule="auto"/>
            </w:pPr>
            <w:r/>
            <w:r>
              <w:rPr>
                <w:rFonts w:ascii="Consolas" w:hAnsi="Consolas"/>
                <w:b w:val="0"/>
                <w:color w:val="1A1A1A"/>
                <w:sz w:val="17"/>
              </w:rPr>
              <w:t>linked_via</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25</w:t>
            </w:r>
          </w:p>
        </w:tc>
        <w:tc>
          <w:tcPr>
            <w:tcW w:type="dxa" w:w="2563"/>
            <w:shd w:val="clear" w:color="auto" w:fill="F2F4F4"/>
          </w:tcPr>
          <w:p>
            <w:pPr>
              <w:spacing w:after="40" w:before="40" w:line="240" w:lineRule="auto"/>
            </w:pPr>
            <w:r/>
            <w:r>
              <w:rPr>
                <w:rFonts w:ascii="Calibri" w:hAnsi="Calibri"/>
                <w:b w:val="0"/>
                <w:i w:val="0"/>
                <w:color w:val="1A1A1A"/>
                <w:sz w:val="17"/>
              </w:rPr>
              <w:t>CORE_BANKING</w:t>
            </w:r>
          </w:p>
        </w:tc>
        <w:tc>
          <w:tcPr>
            <w:tcW w:type="dxa" w:w="5947"/>
            <w:shd w:val="clear" w:color="auto" w:fill="F2F4F4"/>
          </w:tcPr>
          <w:p>
            <w:pPr>
              <w:spacing w:after="40" w:before="40" w:line="240" w:lineRule="auto"/>
            </w:pPr>
            <w:r/>
            <w:r>
              <w:rPr>
                <w:rFonts w:ascii="Calibri" w:hAnsi="Calibri"/>
                <w:b w:val="0"/>
                <w:i w:val="0"/>
                <w:color w:val="1A1A1A"/>
                <w:sz w:val="17"/>
              </w:rPr>
              <w:t>CORE_BANKING, ACCOUNT_AGGREGATOR, STATEMENT_UPLOAD or MANUAL. Determines the trust weight applied to the record.</w:t>
            </w:r>
          </w:p>
        </w:tc>
      </w:tr>
      <w:tr>
        <w:tc>
          <w:tcPr>
            <w:tcW w:type="dxa" w:w="3168"/>
          </w:tcPr>
          <w:p>
            <w:pPr>
              <w:spacing w:after="40" w:before="40" w:line="240" w:lineRule="auto"/>
            </w:pPr>
            <w:r/>
            <w:r>
              <w:rPr>
                <w:rFonts w:ascii="Consolas" w:hAnsi="Consolas"/>
                <w:b w:val="0"/>
                <w:color w:val="1A1A1A"/>
                <w:sz w:val="17"/>
              </w:rPr>
              <w:t>last_synced_datetime</w:t>
            </w:r>
          </w:p>
        </w:tc>
        <w:tc>
          <w:tcPr>
            <w:tcW w:type="dxa" w:w="1123"/>
          </w:tcPr>
          <w:p>
            <w:pPr>
              <w:spacing w:after="40" w:before="40" w:line="240" w:lineRule="auto"/>
            </w:pPr>
            <w:r/>
            <w:r>
              <w:rPr>
                <w:rFonts w:ascii="Calibri" w:hAnsi="Calibri"/>
                <w:b w:val="0"/>
                <w:i w:val="0"/>
                <w:color w:val="1A1A1A"/>
                <w:sz w:val="17"/>
              </w:rPr>
              <w:t>Datetime</w:t>
            </w:r>
          </w:p>
        </w:tc>
        <w:tc>
          <w:tcPr>
            <w:tcW w:type="dxa" w:w="1238"/>
          </w:tcPr>
          <w:p>
            <w:pPr>
              <w:spacing w:after="40" w:before="40" w:line="240" w:lineRule="auto"/>
            </w:pPr>
            <w:r/>
            <w:r>
              <w:rPr>
                <w:rFonts w:ascii="Calibri" w:hAnsi="Calibri"/>
                <w:b w:val="0"/>
                <w:i w:val="0"/>
                <w:color w:val="1A1A1A"/>
                <w:sz w:val="17"/>
              </w:rPr>
              <w:t>20</w:t>
            </w:r>
          </w:p>
        </w:tc>
        <w:tc>
          <w:tcPr>
            <w:tcW w:type="dxa" w:w="2563"/>
          </w:tcPr>
          <w:p>
            <w:pPr>
              <w:spacing w:after="40" w:before="40" w:line="240" w:lineRule="auto"/>
            </w:pPr>
            <w:r/>
            <w:r>
              <w:rPr>
                <w:rFonts w:ascii="Calibri" w:hAnsi="Calibri"/>
                <w:b w:val="0"/>
                <w:i w:val="0"/>
                <w:color w:val="1A1A1A"/>
                <w:sz w:val="17"/>
              </w:rPr>
              <w:t>2026-08-23T18:00:00Z</w:t>
            </w:r>
          </w:p>
        </w:tc>
        <w:tc>
          <w:tcPr>
            <w:tcW w:type="dxa" w:w="5947"/>
          </w:tcPr>
          <w:p>
            <w:pPr>
              <w:spacing w:after="40" w:before="40" w:line="240" w:lineRule="auto"/>
            </w:pPr>
            <w:r/>
            <w:r>
              <w:rPr>
                <w:rFonts w:ascii="Calibri" w:hAnsi="Calibri"/>
                <w:b w:val="0"/>
                <w:i w:val="0"/>
                <w:color w:val="1A1A1A"/>
                <w:sz w:val="17"/>
              </w:rPr>
              <w:t>Last successful refresh. MITRA visibly degrades its confidence when this exceeds 7 days.</w:t>
            </w:r>
          </w:p>
        </w:tc>
      </w:tr>
    </w:tbl>
    <w:p>
      <w:pPr>
        <w:spacing w:after="40"/>
      </w:pPr>
    </w:p>
    <w:p>
      <w:r>
        <w:br w:type="page"/>
      </w:r>
    </w:p>
    <w:p>
      <w:pPr>
        <w:spacing w:before="0" w:after="80"/>
      </w:pPr>
      <w:r>
        <w:rPr>
          <w:b/>
          <w:color w:val="006B6B"/>
          <w:sz w:val="34"/>
        </w:rPr>
        <w:t>6  Portfolio Holdings API</w:t>
      </w:r>
    </w:p>
    <w:p>
      <w:pPr>
        <w:spacing w:after="200"/>
      </w:pPr>
      <w:r>
        <w:rPr>
          <w:color w:val="006B6B"/>
          <w:sz w:val="12"/>
        </w:rPr>
        <w:t>────────────────────────────────────────────────────────────</w:t>
      </w:r>
    </w:p>
    <w:p>
      <w:pPr>
        <w:spacing w:after="120"/>
      </w:pPr>
      <w:r>
        <w:rPr>
          <w:b w:val="0"/>
          <w:i w:val="0"/>
          <w:color w:val="5A6363"/>
          <w:sz w:val="19"/>
        </w:rPr>
        <w:t>Investment holdings across mutual funds, equities, gold and retirement products. One record per holding.</w:t>
      </w:r>
    </w:p>
    <w:p>
      <w:pPr>
        <w:spacing w:before="180" w:after="60"/>
      </w:pPr>
      <w:r>
        <w:rPr>
          <w:b/>
          <w:color w:val="1A1A1A"/>
          <w:sz w:val="21"/>
        </w:rPr>
        <w:t>6.1  API Request</w:t>
      </w:r>
    </w:p>
    <w:tbl>
      <w:tblPr>
        <w:tblStyle w:val="TableGrid"/>
        <w:tblW w:type="auto" w:w="0"/>
        <w:jc w:val="left"/>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009"/>
            <w:shd w:val="clear" w:color="auto" w:fill="006B6B"/>
          </w:tcPr>
          <w:p>
            <w:pPr>
              <w:spacing w:after="40" w:before="40" w:line="240" w:lineRule="auto"/>
            </w:pPr>
            <w:r/>
            <w:r>
              <w:rPr>
                <w:rFonts w:ascii="Calibri" w:hAnsi="Calibri"/>
                <w:b/>
                <w:i w:val="0"/>
                <w:color w:val="FFFFFF"/>
                <w:sz w:val="17"/>
              </w:rPr>
              <w:t>Field Name</w:t>
            </w:r>
          </w:p>
        </w:tc>
        <w:tc>
          <w:tcPr>
            <w:tcW w:type="dxa" w:w="1117"/>
            <w:shd w:val="clear" w:color="auto" w:fill="006B6B"/>
          </w:tcPr>
          <w:p>
            <w:pPr>
              <w:spacing w:after="40" w:before="40" w:line="240" w:lineRule="auto"/>
            </w:pPr>
            <w:r/>
            <w:r>
              <w:rPr>
                <w:rFonts w:ascii="Calibri" w:hAnsi="Calibri"/>
                <w:b/>
                <w:i w:val="0"/>
                <w:color w:val="FFFFFF"/>
                <w:sz w:val="17"/>
              </w:rPr>
              <w:t>Field Type</w:t>
            </w:r>
          </w:p>
        </w:tc>
        <w:tc>
          <w:tcPr>
            <w:tcW w:type="dxa" w:w="1232"/>
            <w:shd w:val="clear" w:color="auto" w:fill="006B6B"/>
          </w:tcPr>
          <w:p>
            <w:pPr>
              <w:spacing w:after="40" w:before="40" w:line="240" w:lineRule="auto"/>
            </w:pPr>
            <w:r/>
            <w:r>
              <w:rPr>
                <w:rFonts w:ascii="Calibri" w:hAnsi="Calibri"/>
                <w:b/>
                <w:i w:val="0"/>
                <w:color w:val="FFFFFF"/>
                <w:sz w:val="17"/>
              </w:rPr>
              <w:t>Max Field Length</w:t>
            </w:r>
          </w:p>
        </w:tc>
        <w:tc>
          <w:tcPr>
            <w:tcW w:type="dxa" w:w="1547"/>
            <w:shd w:val="clear" w:color="auto" w:fill="006B6B"/>
          </w:tcPr>
          <w:p>
            <w:pPr>
              <w:spacing w:after="40" w:before="40" w:line="240" w:lineRule="auto"/>
            </w:pPr>
            <w:r/>
            <w:r>
              <w:rPr>
                <w:rFonts w:ascii="Calibri" w:hAnsi="Calibri"/>
                <w:b/>
                <w:i w:val="0"/>
                <w:color w:val="FFFFFF"/>
                <w:sz w:val="17"/>
              </w:rPr>
              <w:t>Mandatory/Optional</w:t>
            </w:r>
          </w:p>
        </w:tc>
        <w:tc>
          <w:tcPr>
            <w:tcW w:type="dxa" w:w="2436"/>
            <w:shd w:val="clear" w:color="auto" w:fill="006B6B"/>
          </w:tcPr>
          <w:p>
            <w:pPr>
              <w:spacing w:after="40" w:before="40" w:line="240" w:lineRule="auto"/>
            </w:pPr>
            <w:r/>
            <w:r>
              <w:rPr>
                <w:rFonts w:ascii="Calibri" w:hAnsi="Calibri"/>
                <w:b/>
                <w:i w:val="0"/>
                <w:color w:val="FFFFFF"/>
                <w:sz w:val="17"/>
              </w:rPr>
              <w:t>Sample Values</w:t>
            </w:r>
          </w:p>
        </w:tc>
        <w:tc>
          <w:tcPr>
            <w:tcW w:type="dxa" w:w="4699"/>
            <w:shd w:val="clear" w:color="auto" w:fill="006B6B"/>
          </w:tcPr>
          <w:p>
            <w:pPr>
              <w:spacing w:after="40" w:before="40" w:line="240" w:lineRule="auto"/>
            </w:pPr>
            <w:r/>
            <w:r>
              <w:rPr>
                <w:rFonts w:ascii="Calibri" w:hAnsi="Calibri"/>
                <w:b/>
                <w:i w:val="0"/>
                <w:color w:val="FFFFFF"/>
                <w:sz w:val="17"/>
              </w:rPr>
              <w:t>Description</w:t>
            </w:r>
          </w:p>
        </w:tc>
      </w:tr>
      <w:tr>
        <w:tc>
          <w:tcPr>
            <w:tcW w:type="dxa" w:w="3009"/>
          </w:tcPr>
          <w:p>
            <w:pPr>
              <w:spacing w:after="40" w:before="40" w:line="240" w:lineRule="auto"/>
            </w:pPr>
            <w:r/>
            <w:r>
              <w:rPr>
                <w:rFonts w:ascii="Consolas" w:hAnsi="Consolas"/>
                <w:b w:val="0"/>
                <w:color w:val="1A1A1A"/>
                <w:sz w:val="17"/>
              </w:rPr>
              <w:t>customer_id</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20</w:t>
            </w:r>
          </w:p>
        </w:tc>
        <w:tc>
          <w:tcPr>
            <w:tcW w:type="dxa" w:w="1547"/>
          </w:tcPr>
          <w:p>
            <w:pPr>
              <w:spacing w:after="40" w:before="40" w:line="240" w:lineRule="auto"/>
            </w:pPr>
            <w:r/>
            <w:r>
              <w:rPr>
                <w:rFonts w:ascii="Calibri" w:hAnsi="Calibri"/>
                <w:b w:val="0"/>
                <w:i w:val="0"/>
                <w:color w:val="1A1A1A"/>
                <w:sz w:val="17"/>
              </w:rPr>
              <w:t>Mandatory</w:t>
            </w:r>
          </w:p>
        </w:tc>
        <w:tc>
          <w:tcPr>
            <w:tcW w:type="dxa" w:w="2436"/>
          </w:tcPr>
          <w:p>
            <w:pPr>
              <w:spacing w:after="40" w:before="40" w:line="240" w:lineRule="auto"/>
            </w:pPr>
            <w:r/>
            <w:r>
              <w:rPr>
                <w:rFonts w:ascii="Calibri" w:hAnsi="Calibri"/>
                <w:b w:val="0"/>
                <w:i w:val="0"/>
                <w:color w:val="1A1A1A"/>
                <w:sz w:val="17"/>
              </w:rPr>
              <w:t>CUST-88214</w:t>
            </w:r>
          </w:p>
        </w:tc>
        <w:tc>
          <w:tcPr>
            <w:tcW w:type="dxa" w:w="4699"/>
          </w:tcPr>
          <w:p>
            <w:pPr>
              <w:spacing w:after="40" w:before="40" w:line="240" w:lineRule="auto"/>
            </w:pPr>
            <w:r/>
            <w:r>
              <w:rPr>
                <w:rFonts w:ascii="Calibri" w:hAnsi="Calibri"/>
                <w:b w:val="0"/>
                <w:i w:val="0"/>
                <w:color w:val="1A1A1A"/>
                <w:sz w:val="17"/>
              </w:rPr>
              <w:t>Unique customer identifier.</w:t>
            </w:r>
          </w:p>
        </w:tc>
      </w:tr>
      <w:tr>
        <w:tc>
          <w:tcPr>
            <w:tcW w:type="dxa" w:w="3009"/>
            <w:shd w:val="clear" w:color="auto" w:fill="F2F4F4"/>
          </w:tcPr>
          <w:p>
            <w:pPr>
              <w:spacing w:after="40" w:before="40" w:line="240" w:lineRule="auto"/>
            </w:pPr>
            <w:r/>
            <w:r>
              <w:rPr>
                <w:rFonts w:ascii="Consolas" w:hAnsi="Consolas"/>
                <w:b w:val="0"/>
                <w:color w:val="1A1A1A"/>
                <w:sz w:val="17"/>
              </w:rPr>
              <w:t>consent_reference</w:t>
            </w:r>
          </w:p>
        </w:tc>
        <w:tc>
          <w:tcPr>
            <w:tcW w:type="dxa" w:w="1117"/>
            <w:shd w:val="clear" w:color="auto" w:fill="F2F4F4"/>
          </w:tcPr>
          <w:p>
            <w:pPr>
              <w:spacing w:after="40" w:before="40" w:line="240" w:lineRule="auto"/>
            </w:pPr>
            <w:r/>
            <w:r>
              <w:rPr>
                <w:rFonts w:ascii="Calibri" w:hAnsi="Calibri"/>
                <w:b w:val="0"/>
                <w:i w:val="0"/>
                <w:color w:val="1A1A1A"/>
                <w:sz w:val="17"/>
              </w:rPr>
              <w:t>String</w:t>
            </w:r>
          </w:p>
        </w:tc>
        <w:tc>
          <w:tcPr>
            <w:tcW w:type="dxa" w:w="1232"/>
            <w:shd w:val="clear" w:color="auto" w:fill="F2F4F4"/>
          </w:tcPr>
          <w:p>
            <w:pPr>
              <w:spacing w:after="40" w:before="40" w:line="240" w:lineRule="auto"/>
            </w:pPr>
            <w:r/>
            <w:r>
              <w:rPr>
                <w:rFonts w:ascii="Calibri" w:hAnsi="Calibri"/>
                <w:b w:val="0"/>
                <w:i w:val="0"/>
                <w:color w:val="1A1A1A"/>
                <w:sz w:val="17"/>
              </w:rPr>
              <w:t>50</w:t>
            </w:r>
          </w:p>
        </w:tc>
        <w:tc>
          <w:tcPr>
            <w:tcW w:type="dxa" w:w="1547"/>
            <w:shd w:val="clear" w:color="auto" w:fill="F2F4F4"/>
          </w:tcPr>
          <w:p>
            <w:pPr>
              <w:spacing w:after="40" w:before="40" w:line="240" w:lineRule="auto"/>
            </w:pPr>
            <w:r/>
            <w:r>
              <w:rPr>
                <w:rFonts w:ascii="Calibri" w:hAnsi="Calibri"/>
                <w:b w:val="0"/>
                <w:i w:val="0"/>
                <w:color w:val="1A1A1A"/>
                <w:sz w:val="17"/>
              </w:rPr>
              <w:t>Mandatory</w:t>
            </w:r>
          </w:p>
        </w:tc>
        <w:tc>
          <w:tcPr>
            <w:tcW w:type="dxa" w:w="2436"/>
            <w:shd w:val="clear" w:color="auto" w:fill="F2F4F4"/>
          </w:tcPr>
          <w:p>
            <w:pPr>
              <w:spacing w:after="40" w:before="40" w:line="240" w:lineRule="auto"/>
            </w:pPr>
            <w:r/>
            <w:r>
              <w:rPr>
                <w:rFonts w:ascii="Calibri" w:hAnsi="Calibri"/>
                <w:b w:val="0"/>
                <w:i w:val="0"/>
                <w:color w:val="1A1A1A"/>
                <w:sz w:val="17"/>
              </w:rPr>
              <w:t>CONS_MITRA_982731</w:t>
            </w:r>
          </w:p>
        </w:tc>
        <w:tc>
          <w:tcPr>
            <w:tcW w:type="dxa" w:w="4699"/>
            <w:shd w:val="clear" w:color="auto" w:fill="F2F4F4"/>
          </w:tcPr>
          <w:p>
            <w:pPr>
              <w:spacing w:after="40" w:before="40" w:line="240" w:lineRule="auto"/>
            </w:pPr>
            <w:r/>
            <w:r>
              <w:rPr>
                <w:rFonts w:ascii="Calibri" w:hAnsi="Calibri"/>
                <w:b w:val="0"/>
                <w:i w:val="0"/>
                <w:color w:val="1A1A1A"/>
                <w:sz w:val="17"/>
              </w:rPr>
              <w:t>Consent artefact reference.</w:t>
            </w:r>
          </w:p>
        </w:tc>
      </w:tr>
      <w:tr>
        <w:tc>
          <w:tcPr>
            <w:tcW w:type="dxa" w:w="3009"/>
          </w:tcPr>
          <w:p>
            <w:pPr>
              <w:spacing w:after="40" w:before="40" w:line="240" w:lineRule="auto"/>
            </w:pPr>
            <w:r/>
            <w:r>
              <w:rPr>
                <w:rFonts w:ascii="Consolas" w:hAnsi="Consolas"/>
                <w:b w:val="0"/>
                <w:color w:val="1A1A1A"/>
                <w:sz w:val="17"/>
              </w:rPr>
              <w:t>asset_class</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20</w:t>
            </w:r>
          </w:p>
        </w:tc>
        <w:tc>
          <w:tcPr>
            <w:tcW w:type="dxa" w:w="1547"/>
          </w:tcPr>
          <w:p>
            <w:pPr>
              <w:spacing w:after="40" w:before="40" w:line="240" w:lineRule="auto"/>
            </w:pPr>
            <w:r/>
            <w:r>
              <w:rPr>
                <w:rFonts w:ascii="Calibri" w:hAnsi="Calibri"/>
                <w:b w:val="0"/>
                <w:i w:val="0"/>
                <w:color w:val="1A1A1A"/>
                <w:sz w:val="17"/>
              </w:rPr>
              <w:t>Optional</w:t>
            </w:r>
          </w:p>
        </w:tc>
        <w:tc>
          <w:tcPr>
            <w:tcW w:type="dxa" w:w="2436"/>
          </w:tcPr>
          <w:p>
            <w:pPr>
              <w:spacing w:after="40" w:before="40" w:line="240" w:lineRule="auto"/>
            </w:pPr>
            <w:r/>
            <w:r>
              <w:rPr>
                <w:rFonts w:ascii="Calibri" w:hAnsi="Calibri"/>
                <w:b w:val="0"/>
                <w:i w:val="0"/>
                <w:color w:val="1A1A1A"/>
                <w:sz w:val="17"/>
              </w:rPr>
              <w:t>EQUITY_MF</w:t>
            </w:r>
          </w:p>
        </w:tc>
        <w:tc>
          <w:tcPr>
            <w:tcW w:type="dxa" w:w="4699"/>
          </w:tcPr>
          <w:p>
            <w:pPr>
              <w:spacing w:after="40" w:before="40" w:line="240" w:lineRule="auto"/>
            </w:pPr>
            <w:r/>
            <w:r>
              <w:rPr>
                <w:rFonts w:ascii="Calibri" w:hAnsi="Calibri"/>
                <w:b w:val="0"/>
                <w:i w:val="0"/>
                <w:color w:val="1A1A1A"/>
                <w:sz w:val="17"/>
              </w:rPr>
              <w:t>Filter. Returns all asset classes when omitted.</w:t>
            </w:r>
          </w:p>
        </w:tc>
      </w:tr>
      <w:tr>
        <w:tc>
          <w:tcPr>
            <w:tcW w:type="dxa" w:w="3009"/>
            <w:shd w:val="clear" w:color="auto" w:fill="F2F4F4"/>
          </w:tcPr>
          <w:p>
            <w:pPr>
              <w:spacing w:after="40" w:before="40" w:line="240" w:lineRule="auto"/>
            </w:pPr>
            <w:r/>
            <w:r>
              <w:rPr>
                <w:rFonts w:ascii="Consolas" w:hAnsi="Consolas"/>
                <w:b w:val="0"/>
                <w:color w:val="1A1A1A"/>
                <w:sz w:val="17"/>
              </w:rPr>
              <w:t>valuation_date</w:t>
            </w:r>
          </w:p>
        </w:tc>
        <w:tc>
          <w:tcPr>
            <w:tcW w:type="dxa" w:w="1117"/>
            <w:shd w:val="clear" w:color="auto" w:fill="F2F4F4"/>
          </w:tcPr>
          <w:p>
            <w:pPr>
              <w:spacing w:after="40" w:before="40" w:line="240" w:lineRule="auto"/>
            </w:pPr>
            <w:r/>
            <w:r>
              <w:rPr>
                <w:rFonts w:ascii="Calibri" w:hAnsi="Calibri"/>
                <w:b w:val="0"/>
                <w:i w:val="0"/>
                <w:color w:val="1A1A1A"/>
                <w:sz w:val="17"/>
              </w:rPr>
              <w:t>Date</w:t>
            </w:r>
          </w:p>
        </w:tc>
        <w:tc>
          <w:tcPr>
            <w:tcW w:type="dxa" w:w="1232"/>
            <w:shd w:val="clear" w:color="auto" w:fill="F2F4F4"/>
          </w:tcPr>
          <w:p>
            <w:pPr>
              <w:spacing w:after="40" w:before="40" w:line="240" w:lineRule="auto"/>
            </w:pPr>
            <w:r/>
            <w:r>
              <w:rPr>
                <w:rFonts w:ascii="Calibri" w:hAnsi="Calibri"/>
                <w:b w:val="0"/>
                <w:i w:val="0"/>
                <w:color w:val="1A1A1A"/>
                <w:sz w:val="17"/>
              </w:rPr>
              <w:t>10</w:t>
            </w:r>
          </w:p>
        </w:tc>
        <w:tc>
          <w:tcPr>
            <w:tcW w:type="dxa" w:w="1547"/>
            <w:shd w:val="clear" w:color="auto" w:fill="F2F4F4"/>
          </w:tcPr>
          <w:p>
            <w:pPr>
              <w:spacing w:after="40" w:before="40" w:line="240" w:lineRule="auto"/>
            </w:pPr>
            <w:r/>
            <w:r>
              <w:rPr>
                <w:rFonts w:ascii="Calibri" w:hAnsi="Calibri"/>
                <w:b w:val="0"/>
                <w:i w:val="0"/>
                <w:color w:val="1A1A1A"/>
                <w:sz w:val="17"/>
              </w:rPr>
              <w:t>Optional</w:t>
            </w:r>
          </w:p>
        </w:tc>
        <w:tc>
          <w:tcPr>
            <w:tcW w:type="dxa" w:w="2436"/>
            <w:shd w:val="clear" w:color="auto" w:fill="F2F4F4"/>
          </w:tcPr>
          <w:p>
            <w:pPr>
              <w:spacing w:after="40" w:before="40" w:line="240" w:lineRule="auto"/>
            </w:pPr>
            <w:r/>
            <w:r>
              <w:rPr>
                <w:rFonts w:ascii="Calibri" w:hAnsi="Calibri"/>
                <w:b w:val="0"/>
                <w:i w:val="0"/>
                <w:color w:val="1A1A1A"/>
                <w:sz w:val="17"/>
              </w:rPr>
              <w:t>23-08-26</w:t>
            </w:r>
          </w:p>
        </w:tc>
        <w:tc>
          <w:tcPr>
            <w:tcW w:type="dxa" w:w="4699"/>
            <w:shd w:val="clear" w:color="auto" w:fill="F2F4F4"/>
          </w:tcPr>
          <w:p>
            <w:pPr>
              <w:spacing w:after="40" w:before="40" w:line="240" w:lineRule="auto"/>
            </w:pPr>
            <w:r/>
            <w:r>
              <w:rPr>
                <w:rFonts w:ascii="Calibri" w:hAnsi="Calibri"/>
                <w:b w:val="0"/>
                <w:i w:val="0"/>
                <w:color w:val="1A1A1A"/>
                <w:sz w:val="17"/>
              </w:rPr>
              <w:t>Valuation date. Defaults to the latest available NAV date.</w:t>
            </w:r>
          </w:p>
        </w:tc>
      </w:tr>
    </w:tbl>
    <w:p>
      <w:pPr>
        <w:spacing w:after="40"/>
      </w:pPr>
    </w:p>
    <w:p>
      <w:pPr>
        <w:spacing w:before="180" w:after="60"/>
      </w:pPr>
      <w:r>
        <w:rPr>
          <w:b/>
          <w:color w:val="1A1A1A"/>
          <w:sz w:val="21"/>
        </w:rPr>
        <w:t>6.2  API Response (repeating block, one per holding)</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holding_id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30</w:t>
            </w:r>
          </w:p>
        </w:tc>
        <w:tc>
          <w:tcPr>
            <w:tcW w:type="dxa" w:w="2563"/>
          </w:tcPr>
          <w:p>
            <w:pPr>
              <w:spacing w:after="40" w:before="40" w:line="240" w:lineRule="auto"/>
            </w:pPr>
            <w:r/>
            <w:r>
              <w:rPr>
                <w:rFonts w:ascii="Calibri" w:hAnsi="Calibri"/>
                <w:b w:val="0"/>
                <w:i w:val="0"/>
                <w:color w:val="1A1A1A"/>
                <w:sz w:val="17"/>
              </w:rPr>
              <w:t>HLD_01J8X2P4</w:t>
            </w:r>
          </w:p>
        </w:tc>
        <w:tc>
          <w:tcPr>
            <w:tcW w:type="dxa" w:w="5947"/>
          </w:tcPr>
          <w:p>
            <w:pPr>
              <w:spacing w:after="40" w:before="40" w:line="240" w:lineRule="auto"/>
            </w:pPr>
            <w:r/>
            <w:r>
              <w:rPr>
                <w:rFonts w:ascii="Calibri" w:hAnsi="Calibri"/>
                <w:b w:val="0"/>
                <w:i w:val="0"/>
                <w:color w:val="1A1A1A"/>
                <w:sz w:val="17"/>
              </w:rPr>
              <w:t>Unique holding identifier, stable across calls.</w:t>
            </w:r>
          </w:p>
        </w:tc>
      </w:tr>
      <w:tr>
        <w:tc>
          <w:tcPr>
            <w:tcW w:type="dxa" w:w="3168"/>
            <w:shd w:val="clear" w:color="auto" w:fill="F2F4F4"/>
          </w:tcPr>
          <w:p>
            <w:pPr>
              <w:spacing w:after="40" w:before="40" w:line="240" w:lineRule="auto"/>
            </w:pPr>
            <w:r/>
            <w:r>
              <w:rPr>
                <w:rFonts w:ascii="Consolas" w:hAnsi="Consolas"/>
                <w:b w:val="0"/>
                <w:color w:val="1A1A1A"/>
                <w:sz w:val="17"/>
              </w:rPr>
              <w:t>asset_class</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20</w:t>
            </w:r>
          </w:p>
        </w:tc>
        <w:tc>
          <w:tcPr>
            <w:tcW w:type="dxa" w:w="2563"/>
            <w:shd w:val="clear" w:color="auto" w:fill="F2F4F4"/>
          </w:tcPr>
          <w:p>
            <w:pPr>
              <w:spacing w:after="40" w:before="40" w:line="240" w:lineRule="auto"/>
            </w:pPr>
            <w:r/>
            <w:r>
              <w:rPr>
                <w:rFonts w:ascii="Calibri" w:hAnsi="Calibri"/>
                <w:b w:val="0"/>
                <w:i w:val="0"/>
                <w:color w:val="1A1A1A"/>
                <w:sz w:val="17"/>
              </w:rPr>
              <w:t>EQUITY_MF</w:t>
            </w:r>
          </w:p>
        </w:tc>
        <w:tc>
          <w:tcPr>
            <w:tcW w:type="dxa" w:w="5947"/>
            <w:shd w:val="clear" w:color="auto" w:fill="F2F4F4"/>
          </w:tcPr>
          <w:p>
            <w:pPr>
              <w:spacing w:after="40" w:before="40" w:line="240" w:lineRule="auto"/>
            </w:pPr>
            <w:r/>
            <w:r>
              <w:rPr>
                <w:rFonts w:ascii="Calibri" w:hAnsi="Calibri"/>
                <w:b w:val="0"/>
                <w:i w:val="0"/>
                <w:color w:val="1A1A1A"/>
                <w:sz w:val="17"/>
              </w:rPr>
              <w:t>EQUITY_MF, DEBT_MF, HYBRID_MF, EQUITY_DIRECT, FD, GOLD, NPS, PPF, EPF, REAL_ESTATE or OTHER. Drives the allocation and drift calculation.</w:t>
            </w:r>
          </w:p>
        </w:tc>
      </w:tr>
      <w:tr>
        <w:tc>
          <w:tcPr>
            <w:tcW w:type="dxa" w:w="3168"/>
          </w:tcPr>
          <w:p>
            <w:pPr>
              <w:spacing w:after="40" w:before="40" w:line="240" w:lineRule="auto"/>
            </w:pPr>
            <w:r/>
            <w:r>
              <w:rPr>
                <w:rFonts w:ascii="Consolas" w:hAnsi="Consolas"/>
                <w:b w:val="0"/>
                <w:color w:val="1A1A1A"/>
                <w:sz w:val="17"/>
              </w:rPr>
              <w:t>instrument_type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30</w:t>
            </w:r>
          </w:p>
        </w:tc>
        <w:tc>
          <w:tcPr>
            <w:tcW w:type="dxa" w:w="2563"/>
          </w:tcPr>
          <w:p>
            <w:pPr>
              <w:spacing w:after="40" w:before="40" w:line="240" w:lineRule="auto"/>
            </w:pPr>
            <w:r/>
            <w:r>
              <w:rPr>
                <w:rFonts w:ascii="Calibri" w:hAnsi="Calibri"/>
                <w:b w:val="0"/>
                <w:i w:val="0"/>
                <w:color w:val="1A1A1A"/>
                <w:sz w:val="17"/>
              </w:rPr>
              <w:t>MUTUAL_FUND</w:t>
            </w:r>
          </w:p>
        </w:tc>
        <w:tc>
          <w:tcPr>
            <w:tcW w:type="dxa" w:w="5947"/>
          </w:tcPr>
          <w:p>
            <w:pPr>
              <w:spacing w:after="40" w:before="40" w:line="240" w:lineRule="auto"/>
            </w:pPr>
            <w:r/>
            <w:r>
              <w:rPr>
                <w:rFonts w:ascii="Calibri" w:hAnsi="Calibri"/>
                <w:b w:val="0"/>
                <w:i w:val="0"/>
                <w:color w:val="1A1A1A"/>
                <w:sz w:val="17"/>
              </w:rPr>
              <w:t>MUTUAL_FUND, EQUITY, BOND, SGB, ETF or DEPOSIT.</w:t>
            </w:r>
          </w:p>
        </w:tc>
      </w:tr>
      <w:tr>
        <w:tc>
          <w:tcPr>
            <w:tcW w:type="dxa" w:w="3168"/>
            <w:shd w:val="clear" w:color="auto" w:fill="F2F4F4"/>
          </w:tcPr>
          <w:p>
            <w:pPr>
              <w:spacing w:after="40" w:before="40" w:line="240" w:lineRule="auto"/>
            </w:pPr>
            <w:r/>
            <w:r>
              <w:rPr>
                <w:rFonts w:ascii="Consolas" w:hAnsi="Consolas"/>
                <w:b w:val="0"/>
                <w:color w:val="1A1A1A"/>
                <w:sz w:val="17"/>
              </w:rPr>
              <w:t>instrument_name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150</w:t>
            </w:r>
          </w:p>
        </w:tc>
        <w:tc>
          <w:tcPr>
            <w:tcW w:type="dxa" w:w="2563"/>
            <w:shd w:val="clear" w:color="auto" w:fill="F2F4F4"/>
          </w:tcPr>
          <w:p>
            <w:pPr>
              <w:spacing w:after="40" w:before="40" w:line="240" w:lineRule="auto"/>
            </w:pPr>
            <w:r/>
            <w:r>
              <w:rPr>
                <w:rFonts w:ascii="Calibri" w:hAnsi="Calibri"/>
                <w:b w:val="0"/>
                <w:i w:val="0"/>
                <w:color w:val="1A1A1A"/>
                <w:sz w:val="17"/>
              </w:rPr>
              <w:t>Nifty 50 Index Fund</w:t>
            </w:r>
          </w:p>
        </w:tc>
        <w:tc>
          <w:tcPr>
            <w:tcW w:type="dxa" w:w="5947"/>
            <w:shd w:val="clear" w:color="auto" w:fill="F2F4F4"/>
          </w:tcPr>
          <w:p>
            <w:pPr>
              <w:spacing w:after="40" w:before="40" w:line="240" w:lineRule="auto"/>
            </w:pPr>
            <w:r/>
            <w:r>
              <w:rPr>
                <w:rFonts w:ascii="Calibri" w:hAnsi="Calibri"/>
                <w:b w:val="0"/>
                <w:i w:val="0"/>
                <w:color w:val="1A1A1A"/>
                <w:sz w:val="17"/>
              </w:rPr>
              <w:t>Scheme or security name as displayed to the customer.</w:t>
            </w:r>
          </w:p>
        </w:tc>
      </w:tr>
      <w:tr>
        <w:tc>
          <w:tcPr>
            <w:tcW w:type="dxa" w:w="3168"/>
          </w:tcPr>
          <w:p>
            <w:pPr>
              <w:spacing w:after="40" w:before="40" w:line="240" w:lineRule="auto"/>
            </w:pPr>
            <w:r/>
            <w:r>
              <w:rPr>
                <w:rFonts w:ascii="Consolas" w:hAnsi="Consolas"/>
                <w:b w:val="0"/>
                <w:color w:val="1A1A1A"/>
                <w:sz w:val="17"/>
              </w:rPr>
              <w:t>isin</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12</w:t>
            </w:r>
          </w:p>
        </w:tc>
        <w:tc>
          <w:tcPr>
            <w:tcW w:type="dxa" w:w="2563"/>
          </w:tcPr>
          <w:p>
            <w:pPr>
              <w:spacing w:after="40" w:before="40" w:line="240" w:lineRule="auto"/>
            </w:pPr>
            <w:r/>
            <w:r>
              <w:rPr>
                <w:rFonts w:ascii="Calibri" w:hAnsi="Calibri"/>
                <w:b w:val="0"/>
                <w:i w:val="0"/>
                <w:color w:val="1A1A1A"/>
                <w:sz w:val="17"/>
              </w:rPr>
              <w:t>INF209KB1TN0</w:t>
            </w:r>
          </w:p>
        </w:tc>
        <w:tc>
          <w:tcPr>
            <w:tcW w:type="dxa" w:w="5947"/>
          </w:tcPr>
          <w:p>
            <w:pPr>
              <w:spacing w:after="40" w:before="40" w:line="240" w:lineRule="auto"/>
            </w:pPr>
            <w:r/>
            <w:r>
              <w:rPr>
                <w:rFonts w:ascii="Calibri" w:hAnsi="Calibri"/>
                <w:b w:val="0"/>
                <w:i w:val="0"/>
                <w:color w:val="1A1A1A"/>
                <w:sz w:val="17"/>
              </w:rPr>
              <w:t>Preferred. Enables NAV, expense-ratio and portfolio-overlap lookup against reference data.</w:t>
            </w:r>
          </w:p>
        </w:tc>
      </w:tr>
      <w:tr>
        <w:tc>
          <w:tcPr>
            <w:tcW w:type="dxa" w:w="3168"/>
            <w:shd w:val="clear" w:color="auto" w:fill="F2F4F4"/>
          </w:tcPr>
          <w:p>
            <w:pPr>
              <w:spacing w:after="40" w:before="40" w:line="240" w:lineRule="auto"/>
            </w:pPr>
            <w:r/>
            <w:r>
              <w:rPr>
                <w:rFonts w:ascii="Consolas" w:hAnsi="Consolas"/>
                <w:b w:val="0"/>
                <w:color w:val="1A1A1A"/>
                <w:sz w:val="17"/>
              </w:rPr>
              <w:t>scheme_code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20</w:t>
            </w:r>
          </w:p>
        </w:tc>
        <w:tc>
          <w:tcPr>
            <w:tcW w:type="dxa" w:w="2563"/>
            <w:shd w:val="clear" w:color="auto" w:fill="F2F4F4"/>
          </w:tcPr>
          <w:p>
            <w:pPr>
              <w:spacing w:after="40" w:before="40" w:line="240" w:lineRule="auto"/>
            </w:pPr>
            <w:r/>
            <w:r>
              <w:rPr>
                <w:rFonts w:ascii="Calibri" w:hAnsi="Calibri"/>
                <w:b w:val="0"/>
                <w:i w:val="0"/>
                <w:color w:val="1A1A1A"/>
                <w:sz w:val="17"/>
              </w:rPr>
              <w:t>119551</w:t>
            </w:r>
          </w:p>
        </w:tc>
        <w:tc>
          <w:tcPr>
            <w:tcW w:type="dxa" w:w="5947"/>
            <w:shd w:val="clear" w:color="auto" w:fill="F2F4F4"/>
          </w:tcPr>
          <w:p>
            <w:pPr>
              <w:spacing w:after="40" w:before="40" w:line="240" w:lineRule="auto"/>
            </w:pPr>
            <w:r/>
            <w:r>
              <w:rPr>
                <w:rFonts w:ascii="Calibri" w:hAnsi="Calibri"/>
                <w:b w:val="0"/>
                <w:i w:val="0"/>
                <w:color w:val="1A1A1A"/>
                <w:sz w:val="17"/>
              </w:rPr>
              <w:t>AMFI scheme code, where ISIN is unavailable.</w:t>
            </w:r>
          </w:p>
        </w:tc>
      </w:tr>
      <w:tr>
        <w:tc>
          <w:tcPr>
            <w:tcW w:type="dxa" w:w="3168"/>
          </w:tcPr>
          <w:p>
            <w:pPr>
              <w:spacing w:after="40" w:before="40" w:line="240" w:lineRule="auto"/>
            </w:pPr>
            <w:r/>
            <w:r>
              <w:rPr>
                <w:rFonts w:ascii="Consolas" w:hAnsi="Consolas"/>
                <w:b w:val="0"/>
                <w:color w:val="1A1A1A"/>
                <w:sz w:val="17"/>
              </w:rPr>
              <w:t>folio_number_masked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20</w:t>
            </w:r>
          </w:p>
        </w:tc>
        <w:tc>
          <w:tcPr>
            <w:tcW w:type="dxa" w:w="2563"/>
          </w:tcPr>
          <w:p>
            <w:pPr>
              <w:spacing w:after="40" w:before="40" w:line="240" w:lineRule="auto"/>
            </w:pPr>
            <w:r/>
            <w:r>
              <w:rPr>
                <w:rFonts w:ascii="Calibri" w:hAnsi="Calibri"/>
                <w:b w:val="0"/>
                <w:i w:val="0"/>
                <w:color w:val="1A1A1A"/>
                <w:sz w:val="17"/>
              </w:rPr>
              <w:t>****8821</w:t>
            </w:r>
          </w:p>
        </w:tc>
        <w:tc>
          <w:tcPr>
            <w:tcW w:type="dxa" w:w="5947"/>
          </w:tcPr>
          <w:p>
            <w:pPr>
              <w:spacing w:after="40" w:before="40" w:line="240" w:lineRule="auto"/>
            </w:pPr>
            <w:r/>
            <w:r>
              <w:rPr>
                <w:rFonts w:ascii="Calibri" w:hAnsi="Calibri"/>
                <w:b w:val="0"/>
                <w:i w:val="0"/>
                <w:color w:val="1A1A1A"/>
                <w:sz w:val="17"/>
              </w:rPr>
              <w:t>Masked folio number.</w:t>
            </w:r>
          </w:p>
        </w:tc>
      </w:tr>
      <w:tr>
        <w:tc>
          <w:tcPr>
            <w:tcW w:type="dxa" w:w="3168"/>
            <w:shd w:val="clear" w:color="auto" w:fill="F2F4F4"/>
          </w:tcPr>
          <w:p>
            <w:pPr>
              <w:spacing w:after="40" w:before="40" w:line="240" w:lineRule="auto"/>
            </w:pPr>
            <w:r/>
            <w:r>
              <w:rPr>
                <w:rFonts w:ascii="Consolas" w:hAnsi="Consolas"/>
                <w:b w:val="0"/>
                <w:color w:val="1A1A1A"/>
                <w:sz w:val="17"/>
              </w:rPr>
              <w:t>units_held</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15,3</w:t>
            </w:r>
          </w:p>
        </w:tc>
        <w:tc>
          <w:tcPr>
            <w:tcW w:type="dxa" w:w="2563"/>
            <w:shd w:val="clear" w:color="auto" w:fill="F2F4F4"/>
          </w:tcPr>
          <w:p>
            <w:pPr>
              <w:spacing w:after="40" w:before="40" w:line="240" w:lineRule="auto"/>
            </w:pPr>
            <w:r/>
            <w:r>
              <w:rPr>
                <w:rFonts w:ascii="Calibri" w:hAnsi="Calibri"/>
                <w:b w:val="0"/>
                <w:i w:val="0"/>
                <w:color w:val="1A1A1A"/>
                <w:sz w:val="17"/>
              </w:rPr>
              <w:t>412.338</w:t>
            </w:r>
          </w:p>
        </w:tc>
        <w:tc>
          <w:tcPr>
            <w:tcW w:type="dxa" w:w="5947"/>
            <w:shd w:val="clear" w:color="auto" w:fill="F2F4F4"/>
          </w:tcPr>
          <w:p>
            <w:pPr>
              <w:spacing w:after="40" w:before="40" w:line="240" w:lineRule="auto"/>
            </w:pPr>
            <w:r/>
            <w:r>
              <w:rPr>
                <w:rFonts w:ascii="Calibri" w:hAnsi="Calibri"/>
                <w:b w:val="0"/>
                <w:i w:val="0"/>
                <w:color w:val="1A1A1A"/>
                <w:sz w:val="17"/>
              </w:rPr>
              <w:t>Unit balance.</w:t>
            </w:r>
          </w:p>
        </w:tc>
      </w:tr>
      <w:tr>
        <w:tc>
          <w:tcPr>
            <w:tcW w:type="dxa" w:w="3168"/>
          </w:tcPr>
          <w:p>
            <w:pPr>
              <w:spacing w:after="40" w:before="40" w:line="240" w:lineRule="auto"/>
            </w:pPr>
            <w:r/>
            <w:r>
              <w:rPr>
                <w:rFonts w:ascii="Consolas" w:hAnsi="Consolas"/>
                <w:b w:val="0"/>
                <w:color w:val="1A1A1A"/>
                <w:sz w:val="17"/>
              </w:rPr>
              <w:t>nav</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12,4</w:t>
            </w:r>
          </w:p>
        </w:tc>
        <w:tc>
          <w:tcPr>
            <w:tcW w:type="dxa" w:w="2563"/>
          </w:tcPr>
          <w:p>
            <w:pPr>
              <w:spacing w:after="40" w:before="40" w:line="240" w:lineRule="auto"/>
            </w:pPr>
            <w:r/>
            <w:r>
              <w:rPr>
                <w:rFonts w:ascii="Calibri" w:hAnsi="Calibri"/>
                <w:b w:val="0"/>
                <w:i w:val="0"/>
                <w:color w:val="1A1A1A"/>
                <w:sz w:val="17"/>
              </w:rPr>
              <w:t>209.5400</w:t>
            </w:r>
          </w:p>
        </w:tc>
        <w:tc>
          <w:tcPr>
            <w:tcW w:type="dxa" w:w="5947"/>
          </w:tcPr>
          <w:p>
            <w:pPr>
              <w:spacing w:after="40" w:before="40" w:line="240" w:lineRule="auto"/>
            </w:pPr>
            <w:r/>
            <w:r>
              <w:rPr>
                <w:rFonts w:ascii="Calibri" w:hAnsi="Calibri"/>
                <w:b w:val="0"/>
                <w:i w:val="0"/>
                <w:color w:val="1A1A1A"/>
                <w:sz w:val="17"/>
              </w:rPr>
              <w:t>Net asset value per unit.</w:t>
            </w:r>
          </w:p>
        </w:tc>
      </w:tr>
      <w:tr>
        <w:tc>
          <w:tcPr>
            <w:tcW w:type="dxa" w:w="3168"/>
            <w:shd w:val="clear" w:color="auto" w:fill="F2F4F4"/>
          </w:tcPr>
          <w:p>
            <w:pPr>
              <w:spacing w:after="40" w:before="40" w:line="240" w:lineRule="auto"/>
            </w:pPr>
            <w:r/>
            <w:r>
              <w:rPr>
                <w:rFonts w:ascii="Consolas" w:hAnsi="Consolas"/>
                <w:b w:val="0"/>
                <w:color w:val="1A1A1A"/>
                <w:sz w:val="17"/>
              </w:rPr>
              <w:t>nav_date</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23-08-26</w:t>
            </w:r>
          </w:p>
        </w:tc>
        <w:tc>
          <w:tcPr>
            <w:tcW w:type="dxa" w:w="5947"/>
            <w:shd w:val="clear" w:color="auto" w:fill="F2F4F4"/>
          </w:tcPr>
          <w:p>
            <w:pPr>
              <w:spacing w:after="40" w:before="40" w:line="240" w:lineRule="auto"/>
            </w:pPr>
            <w:r/>
            <w:r>
              <w:rPr>
                <w:rFonts w:ascii="Calibri" w:hAnsi="Calibri"/>
                <w:b w:val="0"/>
                <w:i w:val="0"/>
                <w:color w:val="1A1A1A"/>
                <w:sz w:val="17"/>
              </w:rPr>
              <w:t>NAV date. A NAV older than 3 business days is flagged stale.</w:t>
            </w:r>
          </w:p>
        </w:tc>
      </w:tr>
      <w:tr>
        <w:tc>
          <w:tcPr>
            <w:tcW w:type="dxa" w:w="3168"/>
          </w:tcPr>
          <w:p>
            <w:pPr>
              <w:spacing w:after="40" w:before="40" w:line="240" w:lineRule="auto"/>
            </w:pPr>
            <w:r/>
            <w:r>
              <w:rPr>
                <w:rFonts w:ascii="Consolas" w:hAnsi="Consolas"/>
                <w:b w:val="0"/>
                <w:color w:val="1A1A1A"/>
                <w:sz w:val="17"/>
              </w:rPr>
              <w:t>current_value</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86400.00</w:t>
            </w:r>
          </w:p>
        </w:tc>
        <w:tc>
          <w:tcPr>
            <w:tcW w:type="dxa" w:w="5947"/>
          </w:tcPr>
          <w:p>
            <w:pPr>
              <w:spacing w:after="40" w:before="40" w:line="240" w:lineRule="auto"/>
            </w:pPr>
            <w:r/>
            <w:r>
              <w:rPr>
                <w:rFonts w:ascii="Calibri" w:hAnsi="Calibri"/>
                <w:b w:val="0"/>
                <w:i w:val="0"/>
                <w:color w:val="1A1A1A"/>
                <w:sz w:val="17"/>
              </w:rPr>
              <w:t>Market value. Engineered as units_held × nav where not supplied.</w:t>
            </w:r>
          </w:p>
        </w:tc>
      </w:tr>
      <w:tr>
        <w:tc>
          <w:tcPr>
            <w:tcW w:type="dxa" w:w="3168"/>
            <w:shd w:val="clear" w:color="auto" w:fill="F2F4F4"/>
          </w:tcPr>
          <w:p>
            <w:pPr>
              <w:spacing w:after="40" w:before="40" w:line="240" w:lineRule="auto"/>
            </w:pPr>
            <w:r/>
            <w:r>
              <w:rPr>
                <w:rFonts w:ascii="Consolas" w:hAnsi="Consolas"/>
                <w:b w:val="0"/>
                <w:color w:val="1A1A1A"/>
                <w:sz w:val="17"/>
              </w:rPr>
              <w:t>invested_value</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58000.00</w:t>
            </w:r>
          </w:p>
        </w:tc>
        <w:tc>
          <w:tcPr>
            <w:tcW w:type="dxa" w:w="5947"/>
            <w:shd w:val="clear" w:color="auto" w:fill="F2F4F4"/>
          </w:tcPr>
          <w:p>
            <w:pPr>
              <w:spacing w:after="40" w:before="40" w:line="240" w:lineRule="auto"/>
            </w:pPr>
            <w:r/>
            <w:r>
              <w:rPr>
                <w:rFonts w:ascii="Calibri" w:hAnsi="Calibri"/>
                <w:b w:val="0"/>
                <w:i w:val="0"/>
                <w:color w:val="1A1A1A"/>
                <w:sz w:val="17"/>
              </w:rPr>
              <w:t>Total cost of acquisition. Required for gain and LTCG-harvest calculations.</w:t>
            </w:r>
          </w:p>
        </w:tc>
      </w:tr>
      <w:tr>
        <w:tc>
          <w:tcPr>
            <w:tcW w:type="dxa" w:w="3168"/>
          </w:tcPr>
          <w:p>
            <w:pPr>
              <w:spacing w:after="40" w:before="40" w:line="240" w:lineRule="auto"/>
            </w:pPr>
            <w:r/>
            <w:r>
              <w:rPr>
                <w:rFonts w:ascii="Consolas" w:hAnsi="Consolas"/>
                <w:b w:val="0"/>
                <w:color w:val="1A1A1A"/>
                <w:sz w:val="17"/>
              </w:rPr>
              <w:t>unrealised_gain</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28400.00</w:t>
            </w:r>
          </w:p>
        </w:tc>
        <w:tc>
          <w:tcPr>
            <w:tcW w:type="dxa" w:w="5947"/>
          </w:tcPr>
          <w:p>
            <w:pPr>
              <w:spacing w:after="40" w:before="40" w:line="240" w:lineRule="auto"/>
            </w:pPr>
            <w:r/>
            <w:r>
              <w:rPr>
                <w:rFonts w:ascii="Calibri" w:hAnsi="Calibri"/>
                <w:b w:val="0"/>
                <w:i w:val="0"/>
                <w:color w:val="1A1A1A"/>
                <w:sz w:val="17"/>
              </w:rPr>
              <w:t>Engineered as current_value − invested_value. May be negative.</w:t>
            </w:r>
          </w:p>
        </w:tc>
      </w:tr>
      <w:tr>
        <w:tc>
          <w:tcPr>
            <w:tcW w:type="dxa" w:w="3168"/>
            <w:shd w:val="clear" w:color="auto" w:fill="F2F4F4"/>
          </w:tcPr>
          <w:p>
            <w:pPr>
              <w:spacing w:after="40" w:before="40" w:line="240" w:lineRule="auto"/>
            </w:pPr>
            <w:r/>
            <w:r>
              <w:rPr>
                <w:rFonts w:ascii="Consolas" w:hAnsi="Consolas"/>
                <w:b w:val="0"/>
                <w:color w:val="1A1A1A"/>
                <w:sz w:val="17"/>
              </w:rPr>
              <w:t>xirr_pct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7,2</w:t>
            </w:r>
          </w:p>
        </w:tc>
        <w:tc>
          <w:tcPr>
            <w:tcW w:type="dxa" w:w="2563"/>
            <w:shd w:val="clear" w:color="auto" w:fill="F2F4F4"/>
          </w:tcPr>
          <w:p>
            <w:pPr>
              <w:spacing w:after="40" w:before="40" w:line="240" w:lineRule="auto"/>
            </w:pPr>
            <w:r/>
            <w:r>
              <w:rPr>
                <w:rFonts w:ascii="Calibri" w:hAnsi="Calibri"/>
                <w:b w:val="0"/>
                <w:i w:val="0"/>
                <w:color w:val="1A1A1A"/>
                <w:sz w:val="17"/>
              </w:rPr>
              <w:t>12.40</w:t>
            </w:r>
          </w:p>
        </w:tc>
        <w:tc>
          <w:tcPr>
            <w:tcW w:type="dxa" w:w="5947"/>
            <w:shd w:val="clear" w:color="auto" w:fill="F2F4F4"/>
          </w:tcPr>
          <w:p>
            <w:pPr>
              <w:spacing w:after="40" w:before="40" w:line="240" w:lineRule="auto"/>
            </w:pPr>
            <w:r/>
            <w:r>
              <w:rPr>
                <w:rFonts w:ascii="Calibri" w:hAnsi="Calibri"/>
                <w:b w:val="0"/>
                <w:i w:val="0"/>
                <w:color w:val="1A1A1A"/>
                <w:sz w:val="17"/>
              </w:rPr>
              <w:t>Engineered annualised return from the cashflow history. Replaces a simple growth percentage, which misstates return for SIP holdings.</w:t>
            </w:r>
          </w:p>
        </w:tc>
      </w:tr>
      <w:tr>
        <w:tc>
          <w:tcPr>
            <w:tcW w:type="dxa" w:w="3168"/>
          </w:tcPr>
          <w:p>
            <w:pPr>
              <w:spacing w:after="40" w:before="40" w:line="240" w:lineRule="auto"/>
            </w:pPr>
            <w:r/>
            <w:r>
              <w:rPr>
                <w:rFonts w:ascii="Consolas" w:hAnsi="Consolas"/>
                <w:b w:val="0"/>
                <w:color w:val="1A1A1A"/>
                <w:sz w:val="17"/>
              </w:rPr>
              <w:t>plan_type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DIRECT</w:t>
            </w:r>
          </w:p>
        </w:tc>
        <w:tc>
          <w:tcPr>
            <w:tcW w:type="dxa" w:w="5947"/>
          </w:tcPr>
          <w:p>
            <w:pPr>
              <w:spacing w:after="40" w:before="40" w:line="240" w:lineRule="auto"/>
            </w:pPr>
            <w:r/>
            <w:r>
              <w:rPr>
                <w:rFonts w:ascii="Calibri" w:hAnsi="Calibri"/>
                <w:b w:val="0"/>
                <w:i w:val="0"/>
                <w:color w:val="1A1A1A"/>
                <w:sz w:val="17"/>
              </w:rPr>
              <w:t>DIRECT or REGULAR. Drives the fee-drag insight — the single largest recoverable cost MITRA identifies.</w:t>
            </w:r>
          </w:p>
        </w:tc>
      </w:tr>
      <w:tr>
        <w:tc>
          <w:tcPr>
            <w:tcW w:type="dxa" w:w="3168"/>
            <w:shd w:val="clear" w:color="auto" w:fill="F2F4F4"/>
          </w:tcPr>
          <w:p>
            <w:pPr>
              <w:spacing w:after="40" w:before="40" w:line="240" w:lineRule="auto"/>
            </w:pPr>
            <w:r/>
            <w:r>
              <w:rPr>
                <w:rFonts w:ascii="Consolas" w:hAnsi="Consolas"/>
                <w:b w:val="0"/>
                <w:color w:val="1A1A1A"/>
                <w:sz w:val="17"/>
              </w:rPr>
              <w:t>expense_ratio_pct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5,2</w:t>
            </w:r>
          </w:p>
        </w:tc>
        <w:tc>
          <w:tcPr>
            <w:tcW w:type="dxa" w:w="2563"/>
            <w:shd w:val="clear" w:color="auto" w:fill="F2F4F4"/>
          </w:tcPr>
          <w:p>
            <w:pPr>
              <w:spacing w:after="40" w:before="40" w:line="240" w:lineRule="auto"/>
            </w:pPr>
            <w:r/>
            <w:r>
              <w:rPr>
                <w:rFonts w:ascii="Calibri" w:hAnsi="Calibri"/>
                <w:b w:val="0"/>
                <w:i w:val="0"/>
                <w:color w:val="1A1A1A"/>
                <w:sz w:val="17"/>
              </w:rPr>
              <w:t>0.20</w:t>
            </w:r>
          </w:p>
        </w:tc>
        <w:tc>
          <w:tcPr>
            <w:tcW w:type="dxa" w:w="5947"/>
            <w:shd w:val="clear" w:color="auto" w:fill="F2F4F4"/>
          </w:tcPr>
          <w:p>
            <w:pPr>
              <w:spacing w:after="40" w:before="40" w:line="240" w:lineRule="auto"/>
            </w:pPr>
            <w:r/>
            <w:r>
              <w:rPr>
                <w:rFonts w:ascii="Calibri" w:hAnsi="Calibri"/>
                <w:b w:val="0"/>
                <w:i w:val="0"/>
                <w:color w:val="1A1A1A"/>
                <w:sz w:val="17"/>
              </w:rPr>
              <w:t>Current total expense ratio.</w:t>
            </w:r>
          </w:p>
        </w:tc>
      </w:tr>
      <w:tr>
        <w:tc>
          <w:tcPr>
            <w:tcW w:type="dxa" w:w="3168"/>
          </w:tcPr>
          <w:p>
            <w:pPr>
              <w:spacing w:after="40" w:before="40" w:line="240" w:lineRule="auto"/>
            </w:pPr>
            <w:r/>
            <w:r>
              <w:rPr>
                <w:rFonts w:ascii="Consolas" w:hAnsi="Consolas"/>
                <w:b w:val="0"/>
                <w:color w:val="1A1A1A"/>
                <w:sz w:val="17"/>
              </w:rPr>
              <w:t>direct_expense_ratio_pct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5,2</w:t>
            </w:r>
          </w:p>
        </w:tc>
        <w:tc>
          <w:tcPr>
            <w:tcW w:type="dxa" w:w="2563"/>
          </w:tcPr>
          <w:p>
            <w:pPr>
              <w:spacing w:after="40" w:before="40" w:line="240" w:lineRule="auto"/>
            </w:pPr>
            <w:r/>
            <w:r>
              <w:rPr>
                <w:rFonts w:ascii="Calibri" w:hAnsi="Calibri"/>
                <w:b w:val="0"/>
                <w:i w:val="0"/>
                <w:color w:val="1A1A1A"/>
                <w:sz w:val="17"/>
              </w:rPr>
              <w:t>0.20</w:t>
            </w:r>
          </w:p>
        </w:tc>
        <w:tc>
          <w:tcPr>
            <w:tcW w:type="dxa" w:w="5947"/>
          </w:tcPr>
          <w:p>
            <w:pPr>
              <w:spacing w:after="40" w:before="40" w:line="240" w:lineRule="auto"/>
            </w:pPr>
            <w:r/>
            <w:r>
              <w:rPr>
                <w:rFonts w:ascii="Calibri" w:hAnsi="Calibri"/>
                <w:b w:val="0"/>
                <w:i w:val="0"/>
                <w:color w:val="1A1A1A"/>
                <w:sz w:val="17"/>
              </w:rPr>
              <w:t>Expense ratio of the corresponding direct plan. Enables the switch-saving calculation.</w:t>
            </w:r>
          </w:p>
        </w:tc>
      </w:tr>
      <w:tr>
        <w:tc>
          <w:tcPr>
            <w:tcW w:type="dxa" w:w="3168"/>
            <w:shd w:val="clear" w:color="auto" w:fill="F2F4F4"/>
          </w:tcPr>
          <w:p>
            <w:pPr>
              <w:spacing w:after="40" w:before="40" w:line="240" w:lineRule="auto"/>
            </w:pPr>
            <w:r/>
            <w:r>
              <w:rPr>
                <w:rFonts w:ascii="Consolas" w:hAnsi="Consolas"/>
                <w:b w:val="0"/>
                <w:color w:val="1A1A1A"/>
                <w:sz w:val="17"/>
              </w:rPr>
              <w:t>sip_active</w:t>
            </w:r>
          </w:p>
        </w:tc>
        <w:tc>
          <w:tcPr>
            <w:tcW w:type="dxa" w:w="1123"/>
            <w:shd w:val="clear" w:color="auto" w:fill="F2F4F4"/>
          </w:tcPr>
          <w:p>
            <w:pPr>
              <w:spacing w:after="40" w:before="40" w:line="240" w:lineRule="auto"/>
            </w:pPr>
            <w:r/>
            <w:r>
              <w:rPr>
                <w:rFonts w:ascii="Calibri" w:hAnsi="Calibri"/>
                <w:b w:val="0"/>
                <w:i w:val="0"/>
                <w:color w:val="1A1A1A"/>
                <w:sz w:val="17"/>
              </w:rPr>
              <w:t>Boolean</w:t>
            </w:r>
          </w:p>
        </w:tc>
        <w:tc>
          <w:tcPr>
            <w:tcW w:type="dxa" w:w="1238"/>
            <w:shd w:val="clear" w:color="auto" w:fill="F2F4F4"/>
          </w:tcPr>
          <w:p>
            <w:pPr>
              <w:spacing w:after="40" w:before="40" w:line="240" w:lineRule="auto"/>
            </w:pPr>
            <w:r/>
            <w:r>
              <w:rPr>
                <w:rFonts w:ascii="Calibri" w:hAnsi="Calibri"/>
                <w:b w:val="0"/>
                <w:i w:val="0"/>
                <w:color w:val="1A1A1A"/>
                <w:sz w:val="17"/>
              </w:rPr>
              <w:t>1</w:t>
            </w:r>
          </w:p>
        </w:tc>
        <w:tc>
          <w:tcPr>
            <w:tcW w:type="dxa" w:w="2563"/>
            <w:shd w:val="clear" w:color="auto" w:fill="F2F4F4"/>
          </w:tcPr>
          <w:p>
            <w:pPr>
              <w:spacing w:after="40" w:before="40" w:line="240" w:lineRule="auto"/>
            </w:pPr>
            <w:r/>
            <w:r>
              <w:rPr>
                <w:rFonts w:ascii="Calibri" w:hAnsi="Calibri"/>
                <w:b w:val="0"/>
                <w:i w:val="0"/>
                <w:color w:val="1A1A1A"/>
                <w:sz w:val="17"/>
              </w:rPr>
              <w:t>true</w:t>
            </w:r>
          </w:p>
        </w:tc>
        <w:tc>
          <w:tcPr>
            <w:tcW w:type="dxa" w:w="5947"/>
            <w:shd w:val="clear" w:color="auto" w:fill="F2F4F4"/>
          </w:tcPr>
          <w:p>
            <w:pPr>
              <w:spacing w:after="40" w:before="40" w:line="240" w:lineRule="auto"/>
            </w:pPr>
            <w:r/>
            <w:r>
              <w:rPr>
                <w:rFonts w:ascii="Calibri" w:hAnsi="Calibri"/>
                <w:b w:val="0"/>
                <w:i w:val="0"/>
                <w:color w:val="1A1A1A"/>
                <w:sz w:val="17"/>
              </w:rPr>
              <w:t>Whether a systematic instruction is running.</w:t>
            </w:r>
          </w:p>
        </w:tc>
      </w:tr>
      <w:tr>
        <w:tc>
          <w:tcPr>
            <w:tcW w:type="dxa" w:w="3168"/>
          </w:tcPr>
          <w:p>
            <w:pPr>
              <w:spacing w:after="40" w:before="40" w:line="240" w:lineRule="auto"/>
            </w:pPr>
            <w:r/>
            <w:r>
              <w:rPr>
                <w:rFonts w:ascii="Consolas" w:hAnsi="Consolas"/>
                <w:b w:val="0"/>
                <w:color w:val="1A1A1A"/>
                <w:sz w:val="17"/>
              </w:rPr>
              <w:t>sip_amount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5000.00</w:t>
            </w:r>
          </w:p>
        </w:tc>
        <w:tc>
          <w:tcPr>
            <w:tcW w:type="dxa" w:w="5947"/>
          </w:tcPr>
          <w:p>
            <w:pPr>
              <w:spacing w:after="40" w:before="40" w:line="240" w:lineRule="auto"/>
            </w:pPr>
            <w:r/>
            <w:r>
              <w:rPr>
                <w:rFonts w:ascii="Calibri" w:hAnsi="Calibri"/>
                <w:b w:val="0"/>
                <w:i w:val="0"/>
                <w:color w:val="1A1A1A"/>
                <w:sz w:val="17"/>
              </w:rPr>
              <w:t>Monthly instalment where sip_active is true.</w:t>
            </w:r>
          </w:p>
        </w:tc>
      </w:tr>
      <w:tr>
        <w:tc>
          <w:tcPr>
            <w:tcW w:type="dxa" w:w="3168"/>
            <w:shd w:val="clear" w:color="auto" w:fill="F2F4F4"/>
          </w:tcPr>
          <w:p>
            <w:pPr>
              <w:spacing w:after="40" w:before="40" w:line="240" w:lineRule="auto"/>
            </w:pPr>
            <w:r/>
            <w:r>
              <w:rPr>
                <w:rFonts w:ascii="Consolas" w:hAnsi="Consolas"/>
                <w:b w:val="0"/>
                <w:color w:val="1A1A1A"/>
                <w:sz w:val="17"/>
              </w:rPr>
              <w:t>sip_start_date</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05-01-24</w:t>
            </w:r>
          </w:p>
        </w:tc>
        <w:tc>
          <w:tcPr>
            <w:tcW w:type="dxa" w:w="5947"/>
            <w:shd w:val="clear" w:color="auto" w:fill="F2F4F4"/>
          </w:tcPr>
          <w:p>
            <w:pPr>
              <w:spacing w:after="40" w:before="40" w:line="240" w:lineRule="auto"/>
            </w:pPr>
            <w:r/>
            <w:r>
              <w:rPr>
                <w:rFonts w:ascii="Calibri" w:hAnsi="Calibri"/>
                <w:b w:val="0"/>
                <w:i w:val="0"/>
                <w:color w:val="1A1A1A"/>
                <w:sz w:val="17"/>
              </w:rPr>
              <w:t>SIP commencement date. Used for the consistency component of the behavioural profile.</w:t>
            </w:r>
          </w:p>
        </w:tc>
      </w:tr>
      <w:tr>
        <w:tc>
          <w:tcPr>
            <w:tcW w:type="dxa" w:w="3168"/>
          </w:tcPr>
          <w:p>
            <w:pPr>
              <w:spacing w:after="40" w:before="40" w:line="240" w:lineRule="auto"/>
            </w:pPr>
            <w:r/>
            <w:r>
              <w:rPr>
                <w:rFonts w:ascii="Consolas" w:hAnsi="Consolas"/>
                <w:b w:val="0"/>
                <w:color w:val="1A1A1A"/>
                <w:sz w:val="17"/>
              </w:rPr>
              <w:t>lock_in_end_date</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05-01-27</w:t>
            </w:r>
          </w:p>
        </w:tc>
        <w:tc>
          <w:tcPr>
            <w:tcW w:type="dxa" w:w="5947"/>
          </w:tcPr>
          <w:p>
            <w:pPr>
              <w:spacing w:after="40" w:before="40" w:line="240" w:lineRule="auto"/>
            </w:pPr>
            <w:r/>
            <w:r>
              <w:rPr>
                <w:rFonts w:ascii="Calibri" w:hAnsi="Calibri"/>
                <w:b w:val="0"/>
                <w:i w:val="0"/>
                <w:color w:val="1A1A1A"/>
                <w:sz w:val="17"/>
              </w:rPr>
              <w:t>Applicable to ELSS, NPS and tax-saver deposits. Prevents MITRA recommending a locked holding as liquid.</w:t>
            </w:r>
          </w:p>
        </w:tc>
      </w:tr>
      <w:tr>
        <w:tc>
          <w:tcPr>
            <w:tcW w:type="dxa" w:w="3168"/>
            <w:shd w:val="clear" w:color="auto" w:fill="F2F4F4"/>
          </w:tcPr>
          <w:p>
            <w:pPr>
              <w:spacing w:after="40" w:before="40" w:line="240" w:lineRule="auto"/>
            </w:pPr>
            <w:r/>
            <w:r>
              <w:rPr>
                <w:rFonts w:ascii="Consolas" w:hAnsi="Consolas"/>
                <w:b w:val="0"/>
                <w:color w:val="1A1A1A"/>
                <w:sz w:val="17"/>
              </w:rPr>
              <w:t>liquid_flag</w:t>
            </w:r>
          </w:p>
        </w:tc>
        <w:tc>
          <w:tcPr>
            <w:tcW w:type="dxa" w:w="1123"/>
            <w:shd w:val="clear" w:color="auto" w:fill="F2F4F4"/>
          </w:tcPr>
          <w:p>
            <w:pPr>
              <w:spacing w:after="40" w:before="40" w:line="240" w:lineRule="auto"/>
            </w:pPr>
            <w:r/>
            <w:r>
              <w:rPr>
                <w:rFonts w:ascii="Calibri" w:hAnsi="Calibri"/>
                <w:b w:val="0"/>
                <w:i w:val="0"/>
                <w:color w:val="1A1A1A"/>
                <w:sz w:val="17"/>
              </w:rPr>
              <w:t>Boolean</w:t>
            </w:r>
          </w:p>
        </w:tc>
        <w:tc>
          <w:tcPr>
            <w:tcW w:type="dxa" w:w="1238"/>
            <w:shd w:val="clear" w:color="auto" w:fill="F2F4F4"/>
          </w:tcPr>
          <w:p>
            <w:pPr>
              <w:spacing w:after="40" w:before="40" w:line="240" w:lineRule="auto"/>
            </w:pPr>
            <w:r/>
            <w:r>
              <w:rPr>
                <w:rFonts w:ascii="Calibri" w:hAnsi="Calibri"/>
                <w:b w:val="0"/>
                <w:i w:val="0"/>
                <w:color w:val="1A1A1A"/>
                <w:sz w:val="17"/>
              </w:rPr>
              <w:t>1</w:t>
            </w:r>
          </w:p>
        </w:tc>
        <w:tc>
          <w:tcPr>
            <w:tcW w:type="dxa" w:w="2563"/>
            <w:shd w:val="clear" w:color="auto" w:fill="F2F4F4"/>
          </w:tcPr>
          <w:p>
            <w:pPr>
              <w:spacing w:after="40" w:before="40" w:line="240" w:lineRule="auto"/>
            </w:pPr>
            <w:r/>
            <w:r>
              <w:rPr>
                <w:rFonts w:ascii="Calibri" w:hAnsi="Calibri"/>
                <w:b w:val="0"/>
                <w:i w:val="0"/>
                <w:color w:val="1A1A1A"/>
                <w:sz w:val="17"/>
              </w:rPr>
              <w:t>true</w:t>
            </w:r>
          </w:p>
        </w:tc>
        <w:tc>
          <w:tcPr>
            <w:tcW w:type="dxa" w:w="5947"/>
            <w:shd w:val="clear" w:color="auto" w:fill="F2F4F4"/>
          </w:tcPr>
          <w:p>
            <w:pPr>
              <w:spacing w:after="40" w:before="40" w:line="240" w:lineRule="auto"/>
            </w:pPr>
            <w:r/>
            <w:r>
              <w:rPr>
                <w:rFonts w:ascii="Calibri" w:hAnsi="Calibri"/>
                <w:b w:val="0"/>
                <w:i w:val="0"/>
                <w:color w:val="1A1A1A"/>
                <w:sz w:val="17"/>
              </w:rPr>
              <w:t>Whether the holding is redeemable within 3 working days.</w:t>
            </w:r>
          </w:p>
        </w:tc>
      </w:tr>
      <w:tr>
        <w:tc>
          <w:tcPr>
            <w:tcW w:type="dxa" w:w="3168"/>
          </w:tcPr>
          <w:p>
            <w:pPr>
              <w:spacing w:after="40" w:before="40" w:line="240" w:lineRule="auto"/>
            </w:pPr>
            <w:r/>
            <w:r>
              <w:rPr>
                <w:rFonts w:ascii="Consolas" w:hAnsi="Consolas"/>
                <w:b w:val="0"/>
                <w:color w:val="1A1A1A"/>
                <w:sz w:val="17"/>
              </w:rPr>
              <w:t>exit_load_pct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5,2</w:t>
            </w:r>
          </w:p>
        </w:tc>
        <w:tc>
          <w:tcPr>
            <w:tcW w:type="dxa" w:w="2563"/>
          </w:tcPr>
          <w:p>
            <w:pPr>
              <w:spacing w:after="40" w:before="40" w:line="240" w:lineRule="auto"/>
            </w:pPr>
            <w:r/>
            <w:r>
              <w:rPr>
                <w:rFonts w:ascii="Calibri" w:hAnsi="Calibri"/>
                <w:b w:val="0"/>
                <w:i w:val="0"/>
                <w:color w:val="1A1A1A"/>
                <w:sz w:val="17"/>
              </w:rPr>
              <w:t>1.00</w:t>
            </w:r>
          </w:p>
        </w:tc>
        <w:tc>
          <w:tcPr>
            <w:tcW w:type="dxa" w:w="5947"/>
          </w:tcPr>
          <w:p>
            <w:pPr>
              <w:spacing w:after="40" w:before="40" w:line="240" w:lineRule="auto"/>
            </w:pPr>
            <w:r/>
            <w:r>
              <w:rPr>
                <w:rFonts w:ascii="Calibri" w:hAnsi="Calibri"/>
                <w:b w:val="0"/>
                <w:i w:val="0"/>
                <w:color w:val="1A1A1A"/>
                <w:sz w:val="17"/>
              </w:rPr>
              <w:t>Applicable exit load. Netted from any switch or redemption recommendation.</w:t>
            </w:r>
          </w:p>
        </w:tc>
      </w:tr>
      <w:tr>
        <w:tc>
          <w:tcPr>
            <w:tcW w:type="dxa" w:w="3168"/>
            <w:shd w:val="clear" w:color="auto" w:fill="F2F4F4"/>
          </w:tcPr>
          <w:p>
            <w:pPr>
              <w:spacing w:after="40" w:before="40" w:line="240" w:lineRule="auto"/>
            </w:pPr>
            <w:r/>
            <w:r>
              <w:rPr>
                <w:rFonts w:ascii="Consolas" w:hAnsi="Consolas"/>
                <w:b w:val="0"/>
                <w:color w:val="1A1A1A"/>
                <w:sz w:val="17"/>
              </w:rPr>
              <w:t>acquisition_date</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05-01-24</w:t>
            </w:r>
          </w:p>
        </w:tc>
        <w:tc>
          <w:tcPr>
            <w:tcW w:type="dxa" w:w="5947"/>
            <w:shd w:val="clear" w:color="auto" w:fill="F2F4F4"/>
          </w:tcPr>
          <w:p>
            <w:pPr>
              <w:spacing w:after="40" w:before="40" w:line="240" w:lineRule="auto"/>
            </w:pPr>
            <w:r/>
            <w:r>
              <w:rPr>
                <w:rFonts w:ascii="Calibri" w:hAnsi="Calibri"/>
                <w:b w:val="0"/>
                <w:i w:val="0"/>
                <w:color w:val="1A1A1A"/>
                <w:sz w:val="17"/>
              </w:rPr>
              <w:t>Earliest acquisition date. Determines long-term versus short-term capital-gains treatment.</w:t>
            </w:r>
          </w:p>
        </w:tc>
      </w:tr>
      <w:tr>
        <w:tc>
          <w:tcPr>
            <w:tcW w:type="dxa" w:w="3168"/>
          </w:tcPr>
          <w:p>
            <w:pPr>
              <w:spacing w:after="40" w:before="40" w:line="240" w:lineRule="auto"/>
            </w:pPr>
            <w:r/>
            <w:r>
              <w:rPr>
                <w:rFonts w:ascii="Consolas" w:hAnsi="Consolas"/>
                <w:b w:val="0"/>
                <w:color w:val="1A1A1A"/>
                <w:sz w:val="17"/>
              </w:rPr>
              <w:t>riskometer</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20</w:t>
            </w:r>
          </w:p>
        </w:tc>
        <w:tc>
          <w:tcPr>
            <w:tcW w:type="dxa" w:w="2563"/>
          </w:tcPr>
          <w:p>
            <w:pPr>
              <w:spacing w:after="40" w:before="40" w:line="240" w:lineRule="auto"/>
            </w:pPr>
            <w:r/>
            <w:r>
              <w:rPr>
                <w:rFonts w:ascii="Calibri" w:hAnsi="Calibri"/>
                <w:b w:val="0"/>
                <w:i w:val="0"/>
                <w:color w:val="1A1A1A"/>
                <w:sz w:val="17"/>
              </w:rPr>
              <w:t>VERY_HIGH</w:t>
            </w:r>
          </w:p>
        </w:tc>
        <w:tc>
          <w:tcPr>
            <w:tcW w:type="dxa" w:w="5947"/>
          </w:tcPr>
          <w:p>
            <w:pPr>
              <w:spacing w:after="40" w:before="40" w:line="240" w:lineRule="auto"/>
            </w:pPr>
            <w:r/>
            <w:r>
              <w:rPr>
                <w:rFonts w:ascii="Calibri" w:hAnsi="Calibri"/>
                <w:b w:val="0"/>
                <w:i w:val="0"/>
                <w:color w:val="1A1A1A"/>
                <w:sz w:val="17"/>
              </w:rPr>
              <w:t>SEBI riskometer band. Required for suitability checking against the customer's risk profile.</w:t>
            </w:r>
          </w:p>
        </w:tc>
      </w:tr>
      <w:tr>
        <w:tc>
          <w:tcPr>
            <w:tcW w:type="dxa" w:w="3168"/>
            <w:shd w:val="clear" w:color="auto" w:fill="F2F4F4"/>
          </w:tcPr>
          <w:p>
            <w:pPr>
              <w:spacing w:after="40" w:before="40" w:line="240" w:lineRule="auto"/>
            </w:pPr>
            <w:r/>
            <w:r>
              <w:rPr>
                <w:rFonts w:ascii="Consolas" w:hAnsi="Consolas"/>
                <w:b w:val="0"/>
                <w:color w:val="1A1A1A"/>
                <w:sz w:val="17"/>
              </w:rPr>
              <w:t>data_source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30</w:t>
            </w:r>
          </w:p>
        </w:tc>
        <w:tc>
          <w:tcPr>
            <w:tcW w:type="dxa" w:w="2563"/>
            <w:shd w:val="clear" w:color="auto" w:fill="F2F4F4"/>
          </w:tcPr>
          <w:p>
            <w:pPr>
              <w:spacing w:after="40" w:before="40" w:line="240" w:lineRule="auto"/>
            </w:pPr>
            <w:r/>
            <w:r>
              <w:rPr>
                <w:rFonts w:ascii="Calibri" w:hAnsi="Calibri"/>
                <w:b w:val="0"/>
                <w:i w:val="0"/>
                <w:color w:val="1A1A1A"/>
                <w:sz w:val="17"/>
              </w:rPr>
              <w:t>AA_CAMS</w:t>
            </w:r>
          </w:p>
        </w:tc>
        <w:tc>
          <w:tcPr>
            <w:tcW w:type="dxa" w:w="5947"/>
            <w:shd w:val="clear" w:color="auto" w:fill="F2F4F4"/>
          </w:tcPr>
          <w:p>
            <w:pPr>
              <w:spacing w:after="40" w:before="40" w:line="240" w:lineRule="auto"/>
            </w:pPr>
            <w:r/>
            <w:r>
              <w:rPr>
                <w:rFonts w:ascii="Calibri" w:hAnsi="Calibri"/>
                <w:b w:val="0"/>
                <w:i w:val="0"/>
                <w:color w:val="1A1A1A"/>
                <w:sz w:val="17"/>
              </w:rPr>
              <w:t>Origin of the record: CORE_BANKING, AA_CAMS, AA_KFIN, STATEMENT_UPLOAD or MANUAL.</w:t>
            </w:r>
          </w:p>
        </w:tc>
      </w:tr>
    </w:tbl>
    <w:p>
      <w:pPr>
        <w:spacing w:after="40"/>
      </w:pPr>
    </w:p>
    <w:p>
      <w:r>
        <w:br w:type="page"/>
      </w:r>
    </w:p>
    <w:p>
      <w:pPr>
        <w:spacing w:before="0" w:after="80"/>
      </w:pPr>
      <w:r>
        <w:rPr>
          <w:b/>
          <w:color w:val="006B6B"/>
          <w:sz w:val="34"/>
        </w:rPr>
        <w:t>7  Transactions API</w:t>
      </w:r>
    </w:p>
    <w:p>
      <w:pPr>
        <w:spacing w:after="200"/>
      </w:pPr>
      <w:r>
        <w:rPr>
          <w:color w:val="006B6B"/>
          <w:sz w:val="12"/>
        </w:rPr>
        <w:t>────────────────────────────────────────────────────────────</w:t>
      </w:r>
    </w:p>
    <w:p>
      <w:pPr>
        <w:spacing w:after="120"/>
      </w:pPr>
      <w:r>
        <w:rPr>
          <w:b w:val="0"/>
          <w:i w:val="0"/>
          <w:color w:val="5A6363"/>
          <w:sz w:val="19"/>
        </w:rPr>
        <w:t>Transaction history. MITRA requires a minimum of 6 months and prefers 24 months; below 3 months the spending-anomaly and recurring-payment detection are suppressed rather than shown at low confidence.</w:t>
      </w:r>
    </w:p>
    <w:p>
      <w:pPr>
        <w:spacing w:before="180" w:after="60"/>
      </w:pPr>
      <w:r>
        <w:rPr>
          <w:b/>
          <w:color w:val="1A1A1A"/>
          <w:sz w:val="21"/>
        </w:rPr>
        <w:t>7.1  API Request</w:t>
      </w:r>
    </w:p>
    <w:tbl>
      <w:tblPr>
        <w:tblStyle w:val="TableGrid"/>
        <w:tblW w:type="auto" w:w="0"/>
        <w:jc w:val="left"/>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009"/>
            <w:shd w:val="clear" w:color="auto" w:fill="006B6B"/>
          </w:tcPr>
          <w:p>
            <w:pPr>
              <w:spacing w:after="40" w:before="40" w:line="240" w:lineRule="auto"/>
            </w:pPr>
            <w:r/>
            <w:r>
              <w:rPr>
                <w:rFonts w:ascii="Calibri" w:hAnsi="Calibri"/>
                <w:b/>
                <w:i w:val="0"/>
                <w:color w:val="FFFFFF"/>
                <w:sz w:val="17"/>
              </w:rPr>
              <w:t>Field Name</w:t>
            </w:r>
          </w:p>
        </w:tc>
        <w:tc>
          <w:tcPr>
            <w:tcW w:type="dxa" w:w="1117"/>
            <w:shd w:val="clear" w:color="auto" w:fill="006B6B"/>
          </w:tcPr>
          <w:p>
            <w:pPr>
              <w:spacing w:after="40" w:before="40" w:line="240" w:lineRule="auto"/>
            </w:pPr>
            <w:r/>
            <w:r>
              <w:rPr>
                <w:rFonts w:ascii="Calibri" w:hAnsi="Calibri"/>
                <w:b/>
                <w:i w:val="0"/>
                <w:color w:val="FFFFFF"/>
                <w:sz w:val="17"/>
              </w:rPr>
              <w:t>Field Type</w:t>
            </w:r>
          </w:p>
        </w:tc>
        <w:tc>
          <w:tcPr>
            <w:tcW w:type="dxa" w:w="1232"/>
            <w:shd w:val="clear" w:color="auto" w:fill="006B6B"/>
          </w:tcPr>
          <w:p>
            <w:pPr>
              <w:spacing w:after="40" w:before="40" w:line="240" w:lineRule="auto"/>
            </w:pPr>
            <w:r/>
            <w:r>
              <w:rPr>
                <w:rFonts w:ascii="Calibri" w:hAnsi="Calibri"/>
                <w:b/>
                <w:i w:val="0"/>
                <w:color w:val="FFFFFF"/>
                <w:sz w:val="17"/>
              </w:rPr>
              <w:t>Max Field Length</w:t>
            </w:r>
          </w:p>
        </w:tc>
        <w:tc>
          <w:tcPr>
            <w:tcW w:type="dxa" w:w="1547"/>
            <w:shd w:val="clear" w:color="auto" w:fill="006B6B"/>
          </w:tcPr>
          <w:p>
            <w:pPr>
              <w:spacing w:after="40" w:before="40" w:line="240" w:lineRule="auto"/>
            </w:pPr>
            <w:r/>
            <w:r>
              <w:rPr>
                <w:rFonts w:ascii="Calibri" w:hAnsi="Calibri"/>
                <w:b/>
                <w:i w:val="0"/>
                <w:color w:val="FFFFFF"/>
                <w:sz w:val="17"/>
              </w:rPr>
              <w:t>Mandatory/Optional</w:t>
            </w:r>
          </w:p>
        </w:tc>
        <w:tc>
          <w:tcPr>
            <w:tcW w:type="dxa" w:w="2436"/>
            <w:shd w:val="clear" w:color="auto" w:fill="006B6B"/>
          </w:tcPr>
          <w:p>
            <w:pPr>
              <w:spacing w:after="40" w:before="40" w:line="240" w:lineRule="auto"/>
            </w:pPr>
            <w:r/>
            <w:r>
              <w:rPr>
                <w:rFonts w:ascii="Calibri" w:hAnsi="Calibri"/>
                <w:b/>
                <w:i w:val="0"/>
                <w:color w:val="FFFFFF"/>
                <w:sz w:val="17"/>
              </w:rPr>
              <w:t>Sample Values</w:t>
            </w:r>
          </w:p>
        </w:tc>
        <w:tc>
          <w:tcPr>
            <w:tcW w:type="dxa" w:w="4699"/>
            <w:shd w:val="clear" w:color="auto" w:fill="006B6B"/>
          </w:tcPr>
          <w:p>
            <w:pPr>
              <w:spacing w:after="40" w:before="40" w:line="240" w:lineRule="auto"/>
            </w:pPr>
            <w:r/>
            <w:r>
              <w:rPr>
                <w:rFonts w:ascii="Calibri" w:hAnsi="Calibri"/>
                <w:b/>
                <w:i w:val="0"/>
                <w:color w:val="FFFFFF"/>
                <w:sz w:val="17"/>
              </w:rPr>
              <w:t>Description</w:t>
            </w:r>
          </w:p>
        </w:tc>
      </w:tr>
      <w:tr>
        <w:tc>
          <w:tcPr>
            <w:tcW w:type="dxa" w:w="3009"/>
          </w:tcPr>
          <w:p>
            <w:pPr>
              <w:spacing w:after="40" w:before="40" w:line="240" w:lineRule="auto"/>
            </w:pPr>
            <w:r/>
            <w:r>
              <w:rPr>
                <w:rFonts w:ascii="Consolas" w:hAnsi="Consolas"/>
                <w:b w:val="0"/>
                <w:color w:val="1A1A1A"/>
                <w:sz w:val="17"/>
              </w:rPr>
              <w:t>customer_id</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20</w:t>
            </w:r>
          </w:p>
        </w:tc>
        <w:tc>
          <w:tcPr>
            <w:tcW w:type="dxa" w:w="1547"/>
          </w:tcPr>
          <w:p>
            <w:pPr>
              <w:spacing w:after="40" w:before="40" w:line="240" w:lineRule="auto"/>
            </w:pPr>
            <w:r/>
            <w:r>
              <w:rPr>
                <w:rFonts w:ascii="Calibri" w:hAnsi="Calibri"/>
                <w:b w:val="0"/>
                <w:i w:val="0"/>
                <w:color w:val="1A1A1A"/>
                <w:sz w:val="17"/>
              </w:rPr>
              <w:t>Mandatory</w:t>
            </w:r>
          </w:p>
        </w:tc>
        <w:tc>
          <w:tcPr>
            <w:tcW w:type="dxa" w:w="2436"/>
          </w:tcPr>
          <w:p>
            <w:pPr>
              <w:spacing w:after="40" w:before="40" w:line="240" w:lineRule="auto"/>
            </w:pPr>
            <w:r/>
            <w:r>
              <w:rPr>
                <w:rFonts w:ascii="Calibri" w:hAnsi="Calibri"/>
                <w:b w:val="0"/>
                <w:i w:val="0"/>
                <w:color w:val="1A1A1A"/>
                <w:sz w:val="17"/>
              </w:rPr>
              <w:t>CUST-88214</w:t>
            </w:r>
          </w:p>
        </w:tc>
        <w:tc>
          <w:tcPr>
            <w:tcW w:type="dxa" w:w="4699"/>
          </w:tcPr>
          <w:p>
            <w:pPr>
              <w:spacing w:after="40" w:before="40" w:line="240" w:lineRule="auto"/>
            </w:pPr>
            <w:r/>
            <w:r>
              <w:rPr>
                <w:rFonts w:ascii="Calibri" w:hAnsi="Calibri"/>
                <w:b w:val="0"/>
                <w:i w:val="0"/>
                <w:color w:val="1A1A1A"/>
                <w:sz w:val="17"/>
              </w:rPr>
              <w:t>Unique customer identifier.</w:t>
            </w:r>
          </w:p>
        </w:tc>
      </w:tr>
      <w:tr>
        <w:tc>
          <w:tcPr>
            <w:tcW w:type="dxa" w:w="3009"/>
            <w:shd w:val="clear" w:color="auto" w:fill="F2F4F4"/>
          </w:tcPr>
          <w:p>
            <w:pPr>
              <w:spacing w:after="40" w:before="40" w:line="240" w:lineRule="auto"/>
            </w:pPr>
            <w:r/>
            <w:r>
              <w:rPr>
                <w:rFonts w:ascii="Consolas" w:hAnsi="Consolas"/>
                <w:b w:val="0"/>
                <w:color w:val="1A1A1A"/>
                <w:sz w:val="17"/>
              </w:rPr>
              <w:t>consent_reference</w:t>
            </w:r>
          </w:p>
        </w:tc>
        <w:tc>
          <w:tcPr>
            <w:tcW w:type="dxa" w:w="1117"/>
            <w:shd w:val="clear" w:color="auto" w:fill="F2F4F4"/>
          </w:tcPr>
          <w:p>
            <w:pPr>
              <w:spacing w:after="40" w:before="40" w:line="240" w:lineRule="auto"/>
            </w:pPr>
            <w:r/>
            <w:r>
              <w:rPr>
                <w:rFonts w:ascii="Calibri" w:hAnsi="Calibri"/>
                <w:b w:val="0"/>
                <w:i w:val="0"/>
                <w:color w:val="1A1A1A"/>
                <w:sz w:val="17"/>
              </w:rPr>
              <w:t>String</w:t>
            </w:r>
          </w:p>
        </w:tc>
        <w:tc>
          <w:tcPr>
            <w:tcW w:type="dxa" w:w="1232"/>
            <w:shd w:val="clear" w:color="auto" w:fill="F2F4F4"/>
          </w:tcPr>
          <w:p>
            <w:pPr>
              <w:spacing w:after="40" w:before="40" w:line="240" w:lineRule="auto"/>
            </w:pPr>
            <w:r/>
            <w:r>
              <w:rPr>
                <w:rFonts w:ascii="Calibri" w:hAnsi="Calibri"/>
                <w:b w:val="0"/>
                <w:i w:val="0"/>
                <w:color w:val="1A1A1A"/>
                <w:sz w:val="17"/>
              </w:rPr>
              <w:t>50</w:t>
            </w:r>
          </w:p>
        </w:tc>
        <w:tc>
          <w:tcPr>
            <w:tcW w:type="dxa" w:w="1547"/>
            <w:shd w:val="clear" w:color="auto" w:fill="F2F4F4"/>
          </w:tcPr>
          <w:p>
            <w:pPr>
              <w:spacing w:after="40" w:before="40" w:line="240" w:lineRule="auto"/>
            </w:pPr>
            <w:r/>
            <w:r>
              <w:rPr>
                <w:rFonts w:ascii="Calibri" w:hAnsi="Calibri"/>
                <w:b w:val="0"/>
                <w:i w:val="0"/>
                <w:color w:val="1A1A1A"/>
                <w:sz w:val="17"/>
              </w:rPr>
              <w:t>Mandatory</w:t>
            </w:r>
          </w:p>
        </w:tc>
        <w:tc>
          <w:tcPr>
            <w:tcW w:type="dxa" w:w="2436"/>
            <w:shd w:val="clear" w:color="auto" w:fill="F2F4F4"/>
          </w:tcPr>
          <w:p>
            <w:pPr>
              <w:spacing w:after="40" w:before="40" w:line="240" w:lineRule="auto"/>
            </w:pPr>
            <w:r/>
            <w:r>
              <w:rPr>
                <w:rFonts w:ascii="Calibri" w:hAnsi="Calibri"/>
                <w:b w:val="0"/>
                <w:i w:val="0"/>
                <w:color w:val="1A1A1A"/>
                <w:sz w:val="17"/>
              </w:rPr>
              <w:t>CONS_MITRA_982731</w:t>
            </w:r>
          </w:p>
        </w:tc>
        <w:tc>
          <w:tcPr>
            <w:tcW w:type="dxa" w:w="4699"/>
            <w:shd w:val="clear" w:color="auto" w:fill="F2F4F4"/>
          </w:tcPr>
          <w:p>
            <w:pPr>
              <w:spacing w:after="40" w:before="40" w:line="240" w:lineRule="auto"/>
            </w:pPr>
            <w:r/>
            <w:r>
              <w:rPr>
                <w:rFonts w:ascii="Calibri" w:hAnsi="Calibri"/>
                <w:b w:val="0"/>
                <w:i w:val="0"/>
                <w:color w:val="1A1A1A"/>
                <w:sz w:val="17"/>
              </w:rPr>
              <w:t>Consent artefact reference.</w:t>
            </w:r>
          </w:p>
        </w:tc>
      </w:tr>
      <w:tr>
        <w:tc>
          <w:tcPr>
            <w:tcW w:type="dxa" w:w="3009"/>
          </w:tcPr>
          <w:p>
            <w:pPr>
              <w:spacing w:after="40" w:before="40" w:line="240" w:lineRule="auto"/>
            </w:pPr>
            <w:r/>
            <w:r>
              <w:rPr>
                <w:rFonts w:ascii="Consolas" w:hAnsi="Consolas"/>
                <w:b w:val="0"/>
                <w:color w:val="1A1A1A"/>
                <w:sz w:val="17"/>
              </w:rPr>
              <w:t>account_id</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30</w:t>
            </w:r>
          </w:p>
        </w:tc>
        <w:tc>
          <w:tcPr>
            <w:tcW w:type="dxa" w:w="1547"/>
          </w:tcPr>
          <w:p>
            <w:pPr>
              <w:spacing w:after="40" w:before="40" w:line="240" w:lineRule="auto"/>
            </w:pPr>
            <w:r/>
            <w:r>
              <w:rPr>
                <w:rFonts w:ascii="Calibri" w:hAnsi="Calibri"/>
                <w:b w:val="0"/>
                <w:i w:val="0"/>
                <w:color w:val="1A1A1A"/>
                <w:sz w:val="17"/>
              </w:rPr>
              <w:t>Optional</w:t>
            </w:r>
          </w:p>
        </w:tc>
        <w:tc>
          <w:tcPr>
            <w:tcW w:type="dxa" w:w="2436"/>
          </w:tcPr>
          <w:p>
            <w:pPr>
              <w:spacing w:after="40" w:before="40" w:line="240" w:lineRule="auto"/>
            </w:pPr>
            <w:r/>
            <w:r>
              <w:rPr>
                <w:rFonts w:ascii="Calibri" w:hAnsi="Calibri"/>
                <w:b w:val="0"/>
                <w:i w:val="0"/>
                <w:color w:val="1A1A1A"/>
                <w:sz w:val="17"/>
              </w:rPr>
              <w:t>ACC_01J8X2P4</w:t>
            </w:r>
          </w:p>
        </w:tc>
        <w:tc>
          <w:tcPr>
            <w:tcW w:type="dxa" w:w="4699"/>
          </w:tcPr>
          <w:p>
            <w:pPr>
              <w:spacing w:after="40" w:before="40" w:line="240" w:lineRule="auto"/>
            </w:pPr>
            <w:r/>
            <w:r>
              <w:rPr>
                <w:rFonts w:ascii="Calibri" w:hAnsi="Calibri"/>
                <w:b w:val="0"/>
                <w:i w:val="0"/>
                <w:color w:val="1A1A1A"/>
                <w:sz w:val="17"/>
              </w:rPr>
              <w:t>Filter to one account. Returns all consented accounts when omitted.</w:t>
            </w:r>
          </w:p>
        </w:tc>
      </w:tr>
      <w:tr>
        <w:tc>
          <w:tcPr>
            <w:tcW w:type="dxa" w:w="3009"/>
            <w:shd w:val="clear" w:color="auto" w:fill="F2F4F4"/>
          </w:tcPr>
          <w:p>
            <w:pPr>
              <w:spacing w:after="40" w:before="40" w:line="240" w:lineRule="auto"/>
            </w:pPr>
            <w:r/>
            <w:r>
              <w:rPr>
                <w:rFonts w:ascii="Consolas" w:hAnsi="Consolas"/>
                <w:b w:val="0"/>
                <w:color w:val="1A1A1A"/>
                <w:sz w:val="17"/>
              </w:rPr>
              <w:t>from_date</w:t>
            </w:r>
          </w:p>
        </w:tc>
        <w:tc>
          <w:tcPr>
            <w:tcW w:type="dxa" w:w="1117"/>
            <w:shd w:val="clear" w:color="auto" w:fill="F2F4F4"/>
          </w:tcPr>
          <w:p>
            <w:pPr>
              <w:spacing w:after="40" w:before="40" w:line="240" w:lineRule="auto"/>
            </w:pPr>
            <w:r/>
            <w:r>
              <w:rPr>
                <w:rFonts w:ascii="Calibri" w:hAnsi="Calibri"/>
                <w:b w:val="0"/>
                <w:i w:val="0"/>
                <w:color w:val="1A1A1A"/>
                <w:sz w:val="17"/>
              </w:rPr>
              <w:t>Date</w:t>
            </w:r>
          </w:p>
        </w:tc>
        <w:tc>
          <w:tcPr>
            <w:tcW w:type="dxa" w:w="1232"/>
            <w:shd w:val="clear" w:color="auto" w:fill="F2F4F4"/>
          </w:tcPr>
          <w:p>
            <w:pPr>
              <w:spacing w:after="40" w:before="40" w:line="240" w:lineRule="auto"/>
            </w:pPr>
            <w:r/>
            <w:r>
              <w:rPr>
                <w:rFonts w:ascii="Calibri" w:hAnsi="Calibri"/>
                <w:b w:val="0"/>
                <w:i w:val="0"/>
                <w:color w:val="1A1A1A"/>
                <w:sz w:val="17"/>
              </w:rPr>
              <w:t>10</w:t>
            </w:r>
          </w:p>
        </w:tc>
        <w:tc>
          <w:tcPr>
            <w:tcW w:type="dxa" w:w="1547"/>
            <w:shd w:val="clear" w:color="auto" w:fill="F2F4F4"/>
          </w:tcPr>
          <w:p>
            <w:pPr>
              <w:spacing w:after="40" w:before="40" w:line="240" w:lineRule="auto"/>
            </w:pPr>
            <w:r/>
            <w:r>
              <w:rPr>
                <w:rFonts w:ascii="Calibri" w:hAnsi="Calibri"/>
                <w:b w:val="0"/>
                <w:i w:val="0"/>
                <w:color w:val="1A1A1A"/>
                <w:sz w:val="17"/>
              </w:rPr>
              <w:t>Mandatory</w:t>
            </w:r>
          </w:p>
        </w:tc>
        <w:tc>
          <w:tcPr>
            <w:tcW w:type="dxa" w:w="2436"/>
            <w:shd w:val="clear" w:color="auto" w:fill="F2F4F4"/>
          </w:tcPr>
          <w:p>
            <w:pPr>
              <w:spacing w:after="40" w:before="40" w:line="240" w:lineRule="auto"/>
            </w:pPr>
            <w:r/>
            <w:r>
              <w:rPr>
                <w:rFonts w:ascii="Calibri" w:hAnsi="Calibri"/>
                <w:b w:val="0"/>
                <w:i w:val="0"/>
                <w:color w:val="1A1A1A"/>
                <w:sz w:val="17"/>
              </w:rPr>
              <w:t>01-08-25</w:t>
            </w:r>
          </w:p>
        </w:tc>
        <w:tc>
          <w:tcPr>
            <w:tcW w:type="dxa" w:w="4699"/>
            <w:shd w:val="clear" w:color="auto" w:fill="F2F4F4"/>
          </w:tcPr>
          <w:p>
            <w:pPr>
              <w:spacing w:after="40" w:before="40" w:line="240" w:lineRule="auto"/>
            </w:pPr>
            <w:r/>
            <w:r>
              <w:rPr>
                <w:rFonts w:ascii="Calibri" w:hAnsi="Calibri"/>
                <w:b w:val="0"/>
                <w:i w:val="0"/>
                <w:color w:val="1A1A1A"/>
                <w:sz w:val="17"/>
              </w:rPr>
              <w:t>Start of the requested window.</w:t>
            </w:r>
          </w:p>
        </w:tc>
      </w:tr>
      <w:tr>
        <w:tc>
          <w:tcPr>
            <w:tcW w:type="dxa" w:w="3009"/>
          </w:tcPr>
          <w:p>
            <w:pPr>
              <w:spacing w:after="40" w:before="40" w:line="240" w:lineRule="auto"/>
            </w:pPr>
            <w:r/>
            <w:r>
              <w:rPr>
                <w:rFonts w:ascii="Consolas" w:hAnsi="Consolas"/>
                <w:b w:val="0"/>
                <w:color w:val="1A1A1A"/>
                <w:sz w:val="17"/>
              </w:rPr>
              <w:t>to_date</w:t>
            </w:r>
          </w:p>
        </w:tc>
        <w:tc>
          <w:tcPr>
            <w:tcW w:type="dxa" w:w="1117"/>
          </w:tcPr>
          <w:p>
            <w:pPr>
              <w:spacing w:after="40" w:before="40" w:line="240" w:lineRule="auto"/>
            </w:pPr>
            <w:r/>
            <w:r>
              <w:rPr>
                <w:rFonts w:ascii="Calibri" w:hAnsi="Calibri"/>
                <w:b w:val="0"/>
                <w:i w:val="0"/>
                <w:color w:val="1A1A1A"/>
                <w:sz w:val="17"/>
              </w:rPr>
              <w:t>Date</w:t>
            </w:r>
          </w:p>
        </w:tc>
        <w:tc>
          <w:tcPr>
            <w:tcW w:type="dxa" w:w="1232"/>
          </w:tcPr>
          <w:p>
            <w:pPr>
              <w:spacing w:after="40" w:before="40" w:line="240" w:lineRule="auto"/>
            </w:pPr>
            <w:r/>
            <w:r>
              <w:rPr>
                <w:rFonts w:ascii="Calibri" w:hAnsi="Calibri"/>
                <w:b w:val="0"/>
                <w:i w:val="0"/>
                <w:color w:val="1A1A1A"/>
                <w:sz w:val="17"/>
              </w:rPr>
              <w:t>10</w:t>
            </w:r>
          </w:p>
        </w:tc>
        <w:tc>
          <w:tcPr>
            <w:tcW w:type="dxa" w:w="1547"/>
          </w:tcPr>
          <w:p>
            <w:pPr>
              <w:spacing w:after="40" w:before="40" w:line="240" w:lineRule="auto"/>
            </w:pPr>
            <w:r/>
            <w:r>
              <w:rPr>
                <w:rFonts w:ascii="Calibri" w:hAnsi="Calibri"/>
                <w:b w:val="0"/>
                <w:i w:val="0"/>
                <w:color w:val="1A1A1A"/>
                <w:sz w:val="17"/>
              </w:rPr>
              <w:t>Mandatory</w:t>
            </w:r>
          </w:p>
        </w:tc>
        <w:tc>
          <w:tcPr>
            <w:tcW w:type="dxa" w:w="2436"/>
          </w:tcPr>
          <w:p>
            <w:pPr>
              <w:spacing w:after="40" w:before="40" w:line="240" w:lineRule="auto"/>
            </w:pPr>
            <w:r/>
            <w:r>
              <w:rPr>
                <w:rFonts w:ascii="Calibri" w:hAnsi="Calibri"/>
                <w:b w:val="0"/>
                <w:i w:val="0"/>
                <w:color w:val="1A1A1A"/>
                <w:sz w:val="17"/>
              </w:rPr>
              <w:t>24-08-26</w:t>
            </w:r>
          </w:p>
        </w:tc>
        <w:tc>
          <w:tcPr>
            <w:tcW w:type="dxa" w:w="4699"/>
          </w:tcPr>
          <w:p>
            <w:pPr>
              <w:spacing w:after="40" w:before="40" w:line="240" w:lineRule="auto"/>
            </w:pPr>
            <w:r/>
            <w:r>
              <w:rPr>
                <w:rFonts w:ascii="Calibri" w:hAnsi="Calibri"/>
                <w:b w:val="0"/>
                <w:i w:val="0"/>
                <w:color w:val="1A1A1A"/>
                <w:sz w:val="17"/>
              </w:rPr>
              <w:t>End of the requested window.</w:t>
            </w:r>
          </w:p>
        </w:tc>
      </w:tr>
      <w:tr>
        <w:tc>
          <w:tcPr>
            <w:tcW w:type="dxa" w:w="3009"/>
            <w:shd w:val="clear" w:color="auto" w:fill="F2F4F4"/>
          </w:tcPr>
          <w:p>
            <w:pPr>
              <w:spacing w:after="40" w:before="40" w:line="240" w:lineRule="auto"/>
            </w:pPr>
            <w:r/>
            <w:r>
              <w:rPr>
                <w:rFonts w:ascii="Consolas" w:hAnsi="Consolas"/>
                <w:b w:val="0"/>
                <w:color w:val="1A1A1A"/>
                <w:sz w:val="17"/>
              </w:rPr>
              <w:t>page_size</w:t>
            </w:r>
          </w:p>
        </w:tc>
        <w:tc>
          <w:tcPr>
            <w:tcW w:type="dxa" w:w="1117"/>
            <w:shd w:val="clear" w:color="auto" w:fill="F2F4F4"/>
          </w:tcPr>
          <w:p>
            <w:pPr>
              <w:spacing w:after="40" w:before="40" w:line="240" w:lineRule="auto"/>
            </w:pPr>
            <w:r/>
            <w:r>
              <w:rPr>
                <w:rFonts w:ascii="Calibri" w:hAnsi="Calibri"/>
                <w:b w:val="0"/>
                <w:i w:val="0"/>
                <w:color w:val="1A1A1A"/>
                <w:sz w:val="17"/>
              </w:rPr>
              <w:t>Integer</w:t>
            </w:r>
          </w:p>
        </w:tc>
        <w:tc>
          <w:tcPr>
            <w:tcW w:type="dxa" w:w="1232"/>
            <w:shd w:val="clear" w:color="auto" w:fill="F2F4F4"/>
          </w:tcPr>
          <w:p>
            <w:pPr>
              <w:spacing w:after="40" w:before="40" w:line="240" w:lineRule="auto"/>
            </w:pPr>
            <w:r/>
            <w:r>
              <w:rPr>
                <w:rFonts w:ascii="Calibri" w:hAnsi="Calibri"/>
                <w:b w:val="0"/>
                <w:i w:val="0"/>
                <w:color w:val="1A1A1A"/>
                <w:sz w:val="17"/>
              </w:rPr>
              <w:t>4</w:t>
            </w:r>
          </w:p>
        </w:tc>
        <w:tc>
          <w:tcPr>
            <w:tcW w:type="dxa" w:w="1547"/>
            <w:shd w:val="clear" w:color="auto" w:fill="F2F4F4"/>
          </w:tcPr>
          <w:p>
            <w:pPr>
              <w:spacing w:after="40" w:before="40" w:line="240" w:lineRule="auto"/>
            </w:pPr>
            <w:r/>
            <w:r>
              <w:rPr>
                <w:rFonts w:ascii="Calibri" w:hAnsi="Calibri"/>
                <w:b w:val="0"/>
                <w:i w:val="0"/>
                <w:color w:val="1A1A1A"/>
                <w:sz w:val="17"/>
              </w:rPr>
              <w:t>Optional</w:t>
            </w:r>
          </w:p>
        </w:tc>
        <w:tc>
          <w:tcPr>
            <w:tcW w:type="dxa" w:w="2436"/>
            <w:shd w:val="clear" w:color="auto" w:fill="F2F4F4"/>
          </w:tcPr>
          <w:p>
            <w:pPr>
              <w:spacing w:after="40" w:before="40" w:line="240" w:lineRule="auto"/>
            </w:pPr>
            <w:r/>
            <w:r>
              <w:rPr>
                <w:rFonts w:ascii="Calibri" w:hAnsi="Calibri"/>
                <w:b w:val="0"/>
                <w:i w:val="0"/>
                <w:color w:val="1A1A1A"/>
                <w:sz w:val="17"/>
              </w:rPr>
              <w:t>500</w:t>
            </w:r>
          </w:p>
        </w:tc>
        <w:tc>
          <w:tcPr>
            <w:tcW w:type="dxa" w:w="4699"/>
            <w:shd w:val="clear" w:color="auto" w:fill="F2F4F4"/>
          </w:tcPr>
          <w:p>
            <w:pPr>
              <w:spacing w:after="40" w:before="40" w:line="240" w:lineRule="auto"/>
            </w:pPr>
            <w:r/>
            <w:r>
              <w:rPr>
                <w:rFonts w:ascii="Calibri" w:hAnsi="Calibri"/>
                <w:b w:val="0"/>
                <w:i w:val="0"/>
                <w:color w:val="1A1A1A"/>
                <w:sz w:val="17"/>
              </w:rPr>
              <w:t>Records per page. Maximum 1000, default 500.</w:t>
            </w:r>
          </w:p>
        </w:tc>
      </w:tr>
      <w:tr>
        <w:tc>
          <w:tcPr>
            <w:tcW w:type="dxa" w:w="3009"/>
          </w:tcPr>
          <w:p>
            <w:pPr>
              <w:spacing w:after="40" w:before="40" w:line="240" w:lineRule="auto"/>
            </w:pPr>
            <w:r/>
            <w:r>
              <w:rPr>
                <w:rFonts w:ascii="Consolas" w:hAnsi="Consolas"/>
                <w:b w:val="0"/>
                <w:color w:val="1A1A1A"/>
                <w:sz w:val="17"/>
              </w:rPr>
              <w:t>cursor</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200</w:t>
            </w:r>
          </w:p>
        </w:tc>
        <w:tc>
          <w:tcPr>
            <w:tcW w:type="dxa" w:w="1547"/>
          </w:tcPr>
          <w:p>
            <w:pPr>
              <w:spacing w:after="40" w:before="40" w:line="240" w:lineRule="auto"/>
            </w:pPr>
            <w:r/>
            <w:r>
              <w:rPr>
                <w:rFonts w:ascii="Calibri" w:hAnsi="Calibri"/>
                <w:b w:val="0"/>
                <w:i w:val="0"/>
                <w:color w:val="1A1A1A"/>
                <w:sz w:val="17"/>
              </w:rPr>
              <w:t>Optional</w:t>
            </w:r>
          </w:p>
        </w:tc>
        <w:tc>
          <w:tcPr>
            <w:tcW w:type="dxa" w:w="2436"/>
          </w:tcPr>
          <w:p>
            <w:pPr>
              <w:spacing w:after="40" w:before="40" w:line="240" w:lineRule="auto"/>
            </w:pPr>
            <w:r/>
            <w:r>
              <w:rPr>
                <w:rFonts w:ascii="Calibri" w:hAnsi="Calibri"/>
                <w:b w:val="0"/>
                <w:i w:val="0"/>
                <w:color w:val="1A1A1A"/>
                <w:sz w:val="17"/>
              </w:rPr>
              <w:t>eyJrIjoiMjAyNi0w</w:t>
            </w:r>
          </w:p>
        </w:tc>
        <w:tc>
          <w:tcPr>
            <w:tcW w:type="dxa" w:w="4699"/>
          </w:tcPr>
          <w:p>
            <w:pPr>
              <w:spacing w:after="40" w:before="40" w:line="240" w:lineRule="auto"/>
            </w:pPr>
            <w:r/>
            <w:r>
              <w:rPr>
                <w:rFonts w:ascii="Calibri" w:hAnsi="Calibri"/>
                <w:b w:val="0"/>
                <w:i w:val="0"/>
                <w:color w:val="1A1A1A"/>
                <w:sz w:val="17"/>
              </w:rPr>
              <w:t>Opaque continuation token. Cursor pagination is required — offset pagination is unstable at transaction volumes.</w:t>
            </w:r>
          </w:p>
        </w:tc>
      </w:tr>
    </w:tbl>
    <w:p>
      <w:pPr>
        <w:spacing w:after="40"/>
      </w:pPr>
    </w:p>
    <w:p>
      <w:pPr>
        <w:spacing w:before="180" w:after="60"/>
      </w:pPr>
      <w:r>
        <w:rPr>
          <w:b/>
          <w:color w:val="1A1A1A"/>
          <w:sz w:val="21"/>
        </w:rPr>
        <w:t>7.2  API Response (repeating block, one per transaction)</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transaction_id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40</w:t>
            </w:r>
          </w:p>
        </w:tc>
        <w:tc>
          <w:tcPr>
            <w:tcW w:type="dxa" w:w="2563"/>
          </w:tcPr>
          <w:p>
            <w:pPr>
              <w:spacing w:after="40" w:before="40" w:line="240" w:lineRule="auto"/>
            </w:pPr>
            <w:r/>
            <w:r>
              <w:rPr>
                <w:rFonts w:ascii="Calibri" w:hAnsi="Calibri"/>
                <w:b w:val="0"/>
                <w:i w:val="0"/>
                <w:color w:val="1A1A1A"/>
                <w:sz w:val="17"/>
              </w:rPr>
              <w:t>TXN_01J8X2P4K9</w:t>
            </w:r>
          </w:p>
        </w:tc>
        <w:tc>
          <w:tcPr>
            <w:tcW w:type="dxa" w:w="5947"/>
          </w:tcPr>
          <w:p>
            <w:pPr>
              <w:spacing w:after="40" w:before="40" w:line="240" w:lineRule="auto"/>
            </w:pPr>
            <w:r/>
            <w:r>
              <w:rPr>
                <w:rFonts w:ascii="Calibri" w:hAnsi="Calibri"/>
                <w:b w:val="0"/>
                <w:i w:val="0"/>
                <w:color w:val="1A1A1A"/>
                <w:sz w:val="17"/>
              </w:rPr>
              <w:t>Unique, stable transaction identifier. Required for idempotent re-ingestion.</w:t>
            </w:r>
          </w:p>
        </w:tc>
      </w:tr>
      <w:tr>
        <w:tc>
          <w:tcPr>
            <w:tcW w:type="dxa" w:w="3168"/>
            <w:shd w:val="clear" w:color="auto" w:fill="F2F4F4"/>
          </w:tcPr>
          <w:p>
            <w:pPr>
              <w:spacing w:after="40" w:before="40" w:line="240" w:lineRule="auto"/>
            </w:pPr>
            <w:r/>
            <w:r>
              <w:rPr>
                <w:rFonts w:ascii="Consolas" w:hAnsi="Consolas"/>
                <w:b w:val="0"/>
                <w:color w:val="1A1A1A"/>
                <w:sz w:val="17"/>
              </w:rPr>
              <w:t>account_id</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30</w:t>
            </w:r>
          </w:p>
        </w:tc>
        <w:tc>
          <w:tcPr>
            <w:tcW w:type="dxa" w:w="2563"/>
            <w:shd w:val="clear" w:color="auto" w:fill="F2F4F4"/>
          </w:tcPr>
          <w:p>
            <w:pPr>
              <w:spacing w:after="40" w:before="40" w:line="240" w:lineRule="auto"/>
            </w:pPr>
            <w:r/>
            <w:r>
              <w:rPr>
                <w:rFonts w:ascii="Calibri" w:hAnsi="Calibri"/>
                <w:b w:val="0"/>
                <w:i w:val="0"/>
                <w:color w:val="1A1A1A"/>
                <w:sz w:val="17"/>
              </w:rPr>
              <w:t>ACC_01J8X2P4</w:t>
            </w:r>
          </w:p>
        </w:tc>
        <w:tc>
          <w:tcPr>
            <w:tcW w:type="dxa" w:w="5947"/>
            <w:shd w:val="clear" w:color="auto" w:fill="F2F4F4"/>
          </w:tcPr>
          <w:p>
            <w:pPr>
              <w:spacing w:after="40" w:before="40" w:line="240" w:lineRule="auto"/>
            </w:pPr>
            <w:r/>
            <w:r>
              <w:rPr>
                <w:rFonts w:ascii="Calibri" w:hAnsi="Calibri"/>
                <w:b w:val="0"/>
                <w:i w:val="0"/>
                <w:color w:val="1A1A1A"/>
                <w:sz w:val="17"/>
              </w:rPr>
              <w:t>Owning account.</w:t>
            </w:r>
          </w:p>
        </w:tc>
      </w:tr>
      <w:tr>
        <w:tc>
          <w:tcPr>
            <w:tcW w:type="dxa" w:w="3168"/>
          </w:tcPr>
          <w:p>
            <w:pPr>
              <w:spacing w:after="40" w:before="40" w:line="240" w:lineRule="auto"/>
            </w:pPr>
            <w:r/>
            <w:r>
              <w:rPr>
                <w:rFonts w:ascii="Consolas" w:hAnsi="Consolas"/>
                <w:b w:val="0"/>
                <w:color w:val="1A1A1A"/>
                <w:sz w:val="17"/>
              </w:rPr>
              <w:t>transaction_date</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02-06-26</w:t>
            </w:r>
          </w:p>
        </w:tc>
        <w:tc>
          <w:tcPr>
            <w:tcW w:type="dxa" w:w="5947"/>
          </w:tcPr>
          <w:p>
            <w:pPr>
              <w:spacing w:after="40" w:before="40" w:line="240" w:lineRule="auto"/>
            </w:pPr>
            <w:r/>
            <w:r>
              <w:rPr>
                <w:rFonts w:ascii="Calibri" w:hAnsi="Calibri"/>
                <w:b w:val="0"/>
                <w:i w:val="0"/>
                <w:color w:val="1A1A1A"/>
                <w:sz w:val="17"/>
              </w:rPr>
              <w:t>Transaction date.</w:t>
            </w:r>
          </w:p>
        </w:tc>
      </w:tr>
      <w:tr>
        <w:tc>
          <w:tcPr>
            <w:tcW w:type="dxa" w:w="3168"/>
            <w:shd w:val="clear" w:color="auto" w:fill="F2F4F4"/>
          </w:tcPr>
          <w:p>
            <w:pPr>
              <w:spacing w:after="40" w:before="40" w:line="240" w:lineRule="auto"/>
            </w:pPr>
            <w:r/>
            <w:r>
              <w:rPr>
                <w:rFonts w:ascii="Consolas" w:hAnsi="Consolas"/>
                <w:b w:val="0"/>
                <w:color w:val="1A1A1A"/>
                <w:sz w:val="17"/>
              </w:rPr>
              <w:t>value_date</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02-06-26</w:t>
            </w:r>
          </w:p>
        </w:tc>
        <w:tc>
          <w:tcPr>
            <w:tcW w:type="dxa" w:w="5947"/>
            <w:shd w:val="clear" w:color="auto" w:fill="F2F4F4"/>
          </w:tcPr>
          <w:p>
            <w:pPr>
              <w:spacing w:after="40" w:before="40" w:line="240" w:lineRule="auto"/>
            </w:pPr>
            <w:r/>
            <w:r>
              <w:rPr>
                <w:rFonts w:ascii="Calibri" w:hAnsi="Calibri"/>
                <w:b w:val="0"/>
                <w:i w:val="0"/>
                <w:color w:val="1A1A1A"/>
                <w:sz w:val="17"/>
              </w:rPr>
              <w:t>Value date, where it differs from transaction date.</w:t>
            </w:r>
          </w:p>
        </w:tc>
      </w:tr>
      <w:tr>
        <w:tc>
          <w:tcPr>
            <w:tcW w:type="dxa" w:w="3168"/>
          </w:tcPr>
          <w:p>
            <w:pPr>
              <w:spacing w:after="40" w:before="40" w:line="240" w:lineRule="auto"/>
            </w:pPr>
            <w:r/>
            <w:r>
              <w:rPr>
                <w:rFonts w:ascii="Consolas" w:hAnsi="Consolas"/>
                <w:b w:val="0"/>
                <w:color w:val="1A1A1A"/>
                <w:sz w:val="17"/>
              </w:rPr>
              <w:t>narration</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200</w:t>
            </w:r>
          </w:p>
        </w:tc>
        <w:tc>
          <w:tcPr>
            <w:tcW w:type="dxa" w:w="2563"/>
          </w:tcPr>
          <w:p>
            <w:pPr>
              <w:spacing w:after="40" w:before="40" w:line="240" w:lineRule="auto"/>
            </w:pPr>
            <w:r/>
            <w:r>
              <w:rPr>
                <w:rFonts w:ascii="Calibri" w:hAnsi="Calibri"/>
                <w:b w:val="0"/>
                <w:i w:val="0"/>
                <w:color w:val="1A1A1A"/>
                <w:sz w:val="17"/>
              </w:rPr>
              <w:t>UPI/SWIGGY/9821443</w:t>
            </w:r>
          </w:p>
        </w:tc>
        <w:tc>
          <w:tcPr>
            <w:tcW w:type="dxa" w:w="5947"/>
          </w:tcPr>
          <w:p>
            <w:pPr>
              <w:spacing w:after="40" w:before="40" w:line="240" w:lineRule="auto"/>
            </w:pPr>
            <w:r/>
            <w:r>
              <w:rPr>
                <w:rFonts w:ascii="Calibri" w:hAnsi="Calibri"/>
                <w:b w:val="0"/>
                <w:i w:val="0"/>
                <w:color w:val="1A1A1A"/>
                <w:sz w:val="17"/>
              </w:rPr>
              <w:t>Raw bank narration. MITRA's categoriser operates on this field.</w:t>
            </w:r>
          </w:p>
        </w:tc>
      </w:tr>
      <w:tr>
        <w:tc>
          <w:tcPr>
            <w:tcW w:type="dxa" w:w="3168"/>
            <w:shd w:val="clear" w:color="auto" w:fill="F2F4F4"/>
          </w:tcPr>
          <w:p>
            <w:pPr>
              <w:spacing w:after="40" w:before="40" w:line="240" w:lineRule="auto"/>
            </w:pPr>
            <w:r/>
            <w:r>
              <w:rPr>
                <w:rFonts w:ascii="Consolas" w:hAnsi="Consolas"/>
                <w:b w:val="0"/>
                <w:color w:val="1A1A1A"/>
                <w:sz w:val="17"/>
              </w:rPr>
              <w:t>normalised_merchant</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100</w:t>
            </w:r>
          </w:p>
        </w:tc>
        <w:tc>
          <w:tcPr>
            <w:tcW w:type="dxa" w:w="2563"/>
            <w:shd w:val="clear" w:color="auto" w:fill="F2F4F4"/>
          </w:tcPr>
          <w:p>
            <w:pPr>
              <w:spacing w:after="40" w:before="40" w:line="240" w:lineRule="auto"/>
            </w:pPr>
            <w:r/>
            <w:r>
              <w:rPr>
                <w:rFonts w:ascii="Calibri" w:hAnsi="Calibri"/>
                <w:b w:val="0"/>
                <w:i w:val="0"/>
                <w:color w:val="1A1A1A"/>
                <w:sz w:val="17"/>
              </w:rPr>
              <w:t>Swiggy</w:t>
            </w:r>
          </w:p>
        </w:tc>
        <w:tc>
          <w:tcPr>
            <w:tcW w:type="dxa" w:w="5947"/>
            <w:shd w:val="clear" w:color="auto" w:fill="F2F4F4"/>
          </w:tcPr>
          <w:p>
            <w:pPr>
              <w:spacing w:after="40" w:before="40" w:line="240" w:lineRule="auto"/>
            </w:pPr>
            <w:r/>
            <w:r>
              <w:rPr>
                <w:rFonts w:ascii="Calibri" w:hAnsi="Calibri"/>
                <w:b w:val="0"/>
                <w:i w:val="0"/>
                <w:color w:val="1A1A1A"/>
                <w:sz w:val="17"/>
              </w:rPr>
              <w:t>Engineered. Merchant extracted from the narration. Supplied by MITRA where the source cannot.</w:t>
            </w:r>
          </w:p>
        </w:tc>
      </w:tr>
      <w:tr>
        <w:tc>
          <w:tcPr>
            <w:tcW w:type="dxa" w:w="3168"/>
          </w:tcPr>
          <w:p>
            <w:pPr>
              <w:spacing w:after="40" w:before="40" w:line="240" w:lineRule="auto"/>
            </w:pPr>
            <w:r/>
            <w:r>
              <w:rPr>
                <w:rFonts w:ascii="Consolas" w:hAnsi="Consolas"/>
                <w:b w:val="0"/>
                <w:color w:val="1A1A1A"/>
                <w:sz w:val="17"/>
              </w:rPr>
              <w:t>amount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650.00</w:t>
            </w:r>
          </w:p>
        </w:tc>
        <w:tc>
          <w:tcPr>
            <w:tcW w:type="dxa" w:w="5947"/>
          </w:tcPr>
          <w:p>
            <w:pPr>
              <w:spacing w:after="40" w:before="40" w:line="240" w:lineRule="auto"/>
            </w:pPr>
            <w:r/>
            <w:r>
              <w:rPr>
                <w:rFonts w:ascii="Calibri" w:hAnsi="Calibri"/>
                <w:b w:val="0"/>
                <w:i w:val="0"/>
                <w:color w:val="1A1A1A"/>
                <w:sz w:val="17"/>
              </w:rPr>
              <w:t>Absolute transaction amount. Direction is carried in transaction_type, not in the sign.</w:t>
            </w:r>
          </w:p>
        </w:tc>
      </w:tr>
      <w:tr>
        <w:tc>
          <w:tcPr>
            <w:tcW w:type="dxa" w:w="3168"/>
            <w:shd w:val="clear" w:color="auto" w:fill="F2F4F4"/>
          </w:tcPr>
          <w:p>
            <w:pPr>
              <w:spacing w:after="40" w:before="40" w:line="240" w:lineRule="auto"/>
            </w:pPr>
            <w:r/>
            <w:r>
              <w:rPr>
                <w:rFonts w:ascii="Consolas" w:hAnsi="Consolas"/>
                <w:b w:val="0"/>
                <w:color w:val="1A1A1A"/>
                <w:sz w:val="17"/>
              </w:rPr>
              <w:t>transaction_type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6</w:t>
            </w:r>
          </w:p>
        </w:tc>
        <w:tc>
          <w:tcPr>
            <w:tcW w:type="dxa" w:w="2563"/>
            <w:shd w:val="clear" w:color="auto" w:fill="F2F4F4"/>
          </w:tcPr>
          <w:p>
            <w:pPr>
              <w:spacing w:after="40" w:before="40" w:line="240" w:lineRule="auto"/>
            </w:pPr>
            <w:r/>
            <w:r>
              <w:rPr>
                <w:rFonts w:ascii="Calibri" w:hAnsi="Calibri"/>
                <w:b w:val="0"/>
                <w:i w:val="0"/>
                <w:color w:val="1A1A1A"/>
                <w:sz w:val="17"/>
              </w:rPr>
              <w:t>DEBIT</w:t>
            </w:r>
          </w:p>
        </w:tc>
        <w:tc>
          <w:tcPr>
            <w:tcW w:type="dxa" w:w="5947"/>
            <w:shd w:val="clear" w:color="auto" w:fill="F2F4F4"/>
          </w:tcPr>
          <w:p>
            <w:pPr>
              <w:spacing w:after="40" w:before="40" w:line="240" w:lineRule="auto"/>
            </w:pPr>
            <w:r/>
            <w:r>
              <w:rPr>
                <w:rFonts w:ascii="Calibri" w:hAnsi="Calibri"/>
                <w:b w:val="0"/>
                <w:i w:val="0"/>
                <w:color w:val="1A1A1A"/>
                <w:sz w:val="17"/>
              </w:rPr>
              <w:t>DEBIT or CREDIT.</w:t>
            </w:r>
          </w:p>
        </w:tc>
      </w:tr>
      <w:tr>
        <w:tc>
          <w:tcPr>
            <w:tcW w:type="dxa" w:w="3168"/>
          </w:tcPr>
          <w:p>
            <w:pPr>
              <w:spacing w:after="40" w:before="40" w:line="240" w:lineRule="auto"/>
            </w:pPr>
            <w:r/>
            <w:r>
              <w:rPr>
                <w:rFonts w:ascii="Consolas" w:hAnsi="Consolas"/>
                <w:b w:val="0"/>
                <w:color w:val="1A1A1A"/>
                <w:sz w:val="17"/>
              </w:rPr>
              <w:t>transaction_mode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20</w:t>
            </w:r>
          </w:p>
        </w:tc>
        <w:tc>
          <w:tcPr>
            <w:tcW w:type="dxa" w:w="2563"/>
          </w:tcPr>
          <w:p>
            <w:pPr>
              <w:spacing w:after="40" w:before="40" w:line="240" w:lineRule="auto"/>
            </w:pPr>
            <w:r/>
            <w:r>
              <w:rPr>
                <w:rFonts w:ascii="Calibri" w:hAnsi="Calibri"/>
                <w:b w:val="0"/>
                <w:i w:val="0"/>
                <w:color w:val="1A1A1A"/>
                <w:sz w:val="17"/>
              </w:rPr>
              <w:t>UPI</w:t>
            </w:r>
          </w:p>
        </w:tc>
        <w:tc>
          <w:tcPr>
            <w:tcW w:type="dxa" w:w="5947"/>
          </w:tcPr>
          <w:p>
            <w:pPr>
              <w:spacing w:after="40" w:before="40" w:line="240" w:lineRule="auto"/>
            </w:pPr>
            <w:r/>
            <w:r>
              <w:rPr>
                <w:rFonts w:ascii="Calibri" w:hAnsi="Calibri"/>
                <w:b w:val="0"/>
                <w:i w:val="0"/>
                <w:color w:val="1A1A1A"/>
                <w:sz w:val="17"/>
              </w:rPr>
              <w:t>UPI, NEFT, IMPS, RTGS, CARD, ATM, CASH, CHEQUE, ACH or INTERNAL. UPI counts drive the round-up feature.</w:t>
            </w:r>
          </w:p>
        </w:tc>
      </w:tr>
      <w:tr>
        <w:tc>
          <w:tcPr>
            <w:tcW w:type="dxa" w:w="3168"/>
            <w:shd w:val="clear" w:color="auto" w:fill="F2F4F4"/>
          </w:tcPr>
          <w:p>
            <w:pPr>
              <w:spacing w:after="40" w:before="40" w:line="240" w:lineRule="auto"/>
            </w:pPr>
            <w:r/>
            <w:r>
              <w:rPr>
                <w:rFonts w:ascii="Consolas" w:hAnsi="Consolas"/>
                <w:b w:val="0"/>
                <w:color w:val="1A1A1A"/>
                <w:sz w:val="17"/>
              </w:rPr>
              <w:t>balance_after</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263850.00</w:t>
            </w:r>
          </w:p>
        </w:tc>
        <w:tc>
          <w:tcPr>
            <w:tcW w:type="dxa" w:w="5947"/>
            <w:shd w:val="clear" w:color="auto" w:fill="F2F4F4"/>
          </w:tcPr>
          <w:p>
            <w:pPr>
              <w:spacing w:after="40" w:before="40" w:line="240" w:lineRule="auto"/>
            </w:pPr>
            <w:r/>
            <w:r>
              <w:rPr>
                <w:rFonts w:ascii="Calibri" w:hAnsi="Calibri"/>
                <w:b w:val="0"/>
                <w:i w:val="0"/>
                <w:color w:val="1A1A1A"/>
                <w:sz w:val="17"/>
              </w:rPr>
              <w:t>Running balance after posting. Enables balance reconstruction where a statement window is incomplete.</w:t>
            </w:r>
          </w:p>
        </w:tc>
      </w:tr>
      <w:tr>
        <w:tc>
          <w:tcPr>
            <w:tcW w:type="dxa" w:w="3168"/>
          </w:tcPr>
          <w:p>
            <w:pPr>
              <w:spacing w:after="40" w:before="40" w:line="240" w:lineRule="auto"/>
            </w:pPr>
            <w:r/>
            <w:r>
              <w:rPr>
                <w:rFonts w:ascii="Consolas" w:hAnsi="Consolas"/>
                <w:b w:val="0"/>
                <w:color w:val="1A1A1A"/>
                <w:sz w:val="17"/>
              </w:rPr>
              <w:t>category_code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30</w:t>
            </w:r>
          </w:p>
        </w:tc>
        <w:tc>
          <w:tcPr>
            <w:tcW w:type="dxa" w:w="2563"/>
          </w:tcPr>
          <w:p>
            <w:pPr>
              <w:spacing w:after="40" w:before="40" w:line="240" w:lineRule="auto"/>
            </w:pPr>
            <w:r/>
            <w:r>
              <w:rPr>
                <w:rFonts w:ascii="Calibri" w:hAnsi="Calibri"/>
                <w:b w:val="0"/>
                <w:i w:val="0"/>
                <w:color w:val="1A1A1A"/>
                <w:sz w:val="17"/>
              </w:rPr>
              <w:t>DINING_DELIVERY</w:t>
            </w:r>
          </w:p>
        </w:tc>
        <w:tc>
          <w:tcPr>
            <w:tcW w:type="dxa" w:w="5947"/>
          </w:tcPr>
          <w:p>
            <w:pPr>
              <w:spacing w:after="40" w:before="40" w:line="240" w:lineRule="auto"/>
            </w:pPr>
            <w:r/>
            <w:r>
              <w:rPr>
                <w:rFonts w:ascii="Calibri" w:hAnsi="Calibri"/>
                <w:b w:val="0"/>
                <w:i w:val="0"/>
                <w:color w:val="1A1A1A"/>
                <w:sz w:val="17"/>
              </w:rPr>
              <w:t>Engineered. See Section 7.3 for the permitted value set. MITRA derives this where not supplied.</w:t>
            </w:r>
          </w:p>
        </w:tc>
      </w:tr>
      <w:tr>
        <w:tc>
          <w:tcPr>
            <w:tcW w:type="dxa" w:w="3168"/>
            <w:shd w:val="clear" w:color="auto" w:fill="F2F4F4"/>
          </w:tcPr>
          <w:p>
            <w:pPr>
              <w:spacing w:after="40" w:before="40" w:line="240" w:lineRule="auto"/>
            </w:pPr>
            <w:r/>
            <w:r>
              <w:rPr>
                <w:rFonts w:ascii="Consolas" w:hAnsi="Consolas"/>
                <w:b w:val="0"/>
                <w:color w:val="1A1A1A"/>
                <w:sz w:val="17"/>
              </w:rPr>
              <w:t>category_confidence</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3,2</w:t>
            </w:r>
          </w:p>
        </w:tc>
        <w:tc>
          <w:tcPr>
            <w:tcW w:type="dxa" w:w="2563"/>
            <w:shd w:val="clear" w:color="auto" w:fill="F2F4F4"/>
          </w:tcPr>
          <w:p>
            <w:pPr>
              <w:spacing w:after="40" w:before="40" w:line="240" w:lineRule="auto"/>
            </w:pPr>
            <w:r/>
            <w:r>
              <w:rPr>
                <w:rFonts w:ascii="Calibri" w:hAnsi="Calibri"/>
                <w:b w:val="0"/>
                <w:i w:val="0"/>
                <w:color w:val="1A1A1A"/>
                <w:sz w:val="17"/>
              </w:rPr>
              <w:t>0.94</w:t>
            </w:r>
          </w:p>
        </w:tc>
        <w:tc>
          <w:tcPr>
            <w:tcW w:type="dxa" w:w="5947"/>
            <w:shd w:val="clear" w:color="auto" w:fill="F2F4F4"/>
          </w:tcPr>
          <w:p>
            <w:pPr>
              <w:spacing w:after="40" w:before="40" w:line="240" w:lineRule="auto"/>
            </w:pPr>
            <w:r/>
            <w:r>
              <w:rPr>
                <w:rFonts w:ascii="Calibri" w:hAnsi="Calibri"/>
                <w:b w:val="0"/>
                <w:i w:val="0"/>
                <w:color w:val="1A1A1A"/>
                <w:sz w:val="17"/>
              </w:rPr>
              <w:t>Engineered. 0.00–1.00. Rows below 0.60 are surfaced to the customer for confirmation rather than used silently.</w:t>
            </w:r>
          </w:p>
        </w:tc>
      </w:tr>
      <w:tr>
        <w:tc>
          <w:tcPr>
            <w:tcW w:type="dxa" w:w="3168"/>
          </w:tcPr>
          <w:p>
            <w:pPr>
              <w:spacing w:after="40" w:before="40" w:line="240" w:lineRule="auto"/>
            </w:pPr>
            <w:r/>
            <w:r>
              <w:rPr>
                <w:rFonts w:ascii="Consolas" w:hAnsi="Consolas"/>
                <w:b w:val="0"/>
                <w:color w:val="1A1A1A"/>
                <w:sz w:val="17"/>
              </w:rPr>
              <w:t>category_source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RULE</w:t>
            </w:r>
          </w:p>
        </w:tc>
        <w:tc>
          <w:tcPr>
            <w:tcW w:type="dxa" w:w="5947"/>
          </w:tcPr>
          <w:p>
            <w:pPr>
              <w:spacing w:after="40" w:before="40" w:line="240" w:lineRule="auto"/>
            </w:pPr>
            <w:r/>
            <w:r>
              <w:rPr>
                <w:rFonts w:ascii="Calibri" w:hAnsi="Calibri"/>
                <w:b w:val="0"/>
                <w:i w:val="0"/>
                <w:color w:val="1A1A1A"/>
                <w:sz w:val="17"/>
              </w:rPr>
              <w:t>RULE, MODEL or CUSTOMER. A customer correction always supersedes and is retained as a training signal.</w:t>
            </w:r>
          </w:p>
        </w:tc>
      </w:tr>
      <w:tr>
        <w:tc>
          <w:tcPr>
            <w:tcW w:type="dxa" w:w="3168"/>
            <w:shd w:val="clear" w:color="auto" w:fill="F2F4F4"/>
          </w:tcPr>
          <w:p>
            <w:pPr>
              <w:spacing w:after="40" w:before="40" w:line="240" w:lineRule="auto"/>
            </w:pPr>
            <w:r/>
            <w:r>
              <w:rPr>
                <w:rFonts w:ascii="Consolas" w:hAnsi="Consolas"/>
                <w:b w:val="0"/>
                <w:color w:val="1A1A1A"/>
                <w:sz w:val="17"/>
              </w:rPr>
              <w:t>essential_flag</w:t>
            </w:r>
          </w:p>
        </w:tc>
        <w:tc>
          <w:tcPr>
            <w:tcW w:type="dxa" w:w="1123"/>
            <w:shd w:val="clear" w:color="auto" w:fill="F2F4F4"/>
          </w:tcPr>
          <w:p>
            <w:pPr>
              <w:spacing w:after="40" w:before="40" w:line="240" w:lineRule="auto"/>
            </w:pPr>
            <w:r/>
            <w:r>
              <w:rPr>
                <w:rFonts w:ascii="Calibri" w:hAnsi="Calibri"/>
                <w:b w:val="0"/>
                <w:i w:val="0"/>
                <w:color w:val="1A1A1A"/>
                <w:sz w:val="17"/>
              </w:rPr>
              <w:t>Boolean</w:t>
            </w:r>
          </w:p>
        </w:tc>
        <w:tc>
          <w:tcPr>
            <w:tcW w:type="dxa" w:w="1238"/>
            <w:shd w:val="clear" w:color="auto" w:fill="F2F4F4"/>
          </w:tcPr>
          <w:p>
            <w:pPr>
              <w:spacing w:after="40" w:before="40" w:line="240" w:lineRule="auto"/>
            </w:pPr>
            <w:r/>
            <w:r>
              <w:rPr>
                <w:rFonts w:ascii="Calibri" w:hAnsi="Calibri"/>
                <w:b w:val="0"/>
                <w:i w:val="0"/>
                <w:color w:val="1A1A1A"/>
                <w:sz w:val="17"/>
              </w:rPr>
              <w:t>1</w:t>
            </w:r>
          </w:p>
        </w:tc>
        <w:tc>
          <w:tcPr>
            <w:tcW w:type="dxa" w:w="2563"/>
            <w:shd w:val="clear" w:color="auto" w:fill="F2F4F4"/>
          </w:tcPr>
          <w:p>
            <w:pPr>
              <w:spacing w:after="40" w:before="40" w:line="240" w:lineRule="auto"/>
            </w:pPr>
            <w:r/>
            <w:r>
              <w:rPr>
                <w:rFonts w:ascii="Calibri" w:hAnsi="Calibri"/>
                <w:b w:val="0"/>
                <w:i w:val="0"/>
                <w:color w:val="1A1A1A"/>
                <w:sz w:val="17"/>
              </w:rPr>
              <w:t>false</w:t>
            </w:r>
          </w:p>
        </w:tc>
        <w:tc>
          <w:tcPr>
            <w:tcW w:type="dxa" w:w="5947"/>
            <w:shd w:val="clear" w:color="auto" w:fill="F2F4F4"/>
          </w:tcPr>
          <w:p>
            <w:pPr>
              <w:spacing w:after="40" w:before="40" w:line="240" w:lineRule="auto"/>
            </w:pPr>
            <w:r/>
            <w:r>
              <w:rPr>
                <w:rFonts w:ascii="Calibri" w:hAnsi="Calibri"/>
                <w:b w:val="0"/>
                <w:i w:val="0"/>
                <w:color w:val="1A1A1A"/>
                <w:sz w:val="17"/>
              </w:rPr>
              <w:t>Engineered. Whether the category is discretionary. Only non-essential categories are proposed for trimming.</w:t>
            </w:r>
          </w:p>
        </w:tc>
      </w:tr>
      <w:tr>
        <w:tc>
          <w:tcPr>
            <w:tcW w:type="dxa" w:w="3168"/>
          </w:tcPr>
          <w:p>
            <w:pPr>
              <w:spacing w:after="40" w:before="40" w:line="240" w:lineRule="auto"/>
            </w:pPr>
            <w:r/>
            <w:r>
              <w:rPr>
                <w:rFonts w:ascii="Consolas" w:hAnsi="Consolas"/>
                <w:b w:val="0"/>
                <w:color w:val="1A1A1A"/>
                <w:sz w:val="17"/>
              </w:rPr>
              <w:t>recurring_flag</w:t>
            </w:r>
          </w:p>
        </w:tc>
        <w:tc>
          <w:tcPr>
            <w:tcW w:type="dxa" w:w="1123"/>
          </w:tcPr>
          <w:p>
            <w:pPr>
              <w:spacing w:after="40" w:before="40" w:line="240" w:lineRule="auto"/>
            </w:pPr>
            <w:r/>
            <w:r>
              <w:rPr>
                <w:rFonts w:ascii="Calibri" w:hAnsi="Calibri"/>
                <w:b w:val="0"/>
                <w:i w:val="0"/>
                <w:color w:val="1A1A1A"/>
                <w:sz w:val="17"/>
              </w:rPr>
              <w:t>Boolean</w:t>
            </w:r>
          </w:p>
        </w:tc>
        <w:tc>
          <w:tcPr>
            <w:tcW w:type="dxa" w:w="1238"/>
          </w:tcPr>
          <w:p>
            <w:pPr>
              <w:spacing w:after="40" w:before="40" w:line="240" w:lineRule="auto"/>
            </w:pPr>
            <w:r/>
            <w:r>
              <w:rPr>
                <w:rFonts w:ascii="Calibri" w:hAnsi="Calibri"/>
                <w:b w:val="0"/>
                <w:i w:val="0"/>
                <w:color w:val="1A1A1A"/>
                <w:sz w:val="17"/>
              </w:rPr>
              <w:t>1</w:t>
            </w:r>
          </w:p>
        </w:tc>
        <w:tc>
          <w:tcPr>
            <w:tcW w:type="dxa" w:w="2563"/>
          </w:tcPr>
          <w:p>
            <w:pPr>
              <w:spacing w:after="40" w:before="40" w:line="240" w:lineRule="auto"/>
            </w:pPr>
            <w:r/>
            <w:r>
              <w:rPr>
                <w:rFonts w:ascii="Calibri" w:hAnsi="Calibri"/>
                <w:b w:val="0"/>
                <w:i w:val="0"/>
                <w:color w:val="1A1A1A"/>
                <w:sz w:val="17"/>
              </w:rPr>
              <w:t>false</w:t>
            </w:r>
          </w:p>
        </w:tc>
        <w:tc>
          <w:tcPr>
            <w:tcW w:type="dxa" w:w="5947"/>
          </w:tcPr>
          <w:p>
            <w:pPr>
              <w:spacing w:after="40" w:before="40" w:line="240" w:lineRule="auto"/>
            </w:pPr>
            <w:r/>
            <w:r>
              <w:rPr>
                <w:rFonts w:ascii="Calibri" w:hAnsi="Calibri"/>
                <w:b w:val="0"/>
                <w:i w:val="0"/>
                <w:color w:val="1A1A1A"/>
                <w:sz w:val="17"/>
              </w:rPr>
              <w:t>Engineered. Set where the merchant recurs at a consistent amount across two or more distinct months.</w:t>
            </w:r>
          </w:p>
        </w:tc>
      </w:tr>
      <w:tr>
        <w:tc>
          <w:tcPr>
            <w:tcW w:type="dxa" w:w="3168"/>
            <w:shd w:val="clear" w:color="auto" w:fill="F2F4F4"/>
          </w:tcPr>
          <w:p>
            <w:pPr>
              <w:spacing w:after="40" w:before="40" w:line="240" w:lineRule="auto"/>
            </w:pPr>
            <w:r/>
            <w:r>
              <w:rPr>
                <w:rFonts w:ascii="Consolas" w:hAnsi="Consolas"/>
                <w:b w:val="0"/>
                <w:color w:val="1A1A1A"/>
                <w:sz w:val="17"/>
              </w:rPr>
              <w:t>counterparty_name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100</w:t>
            </w:r>
          </w:p>
        </w:tc>
        <w:tc>
          <w:tcPr>
            <w:tcW w:type="dxa" w:w="2563"/>
            <w:shd w:val="clear" w:color="auto" w:fill="F2F4F4"/>
          </w:tcPr>
          <w:p>
            <w:pPr>
              <w:spacing w:after="40" w:before="40" w:line="240" w:lineRule="auto"/>
            </w:pPr>
            <w:r/>
            <w:r>
              <w:rPr>
                <w:rFonts w:ascii="Calibri" w:hAnsi="Calibri"/>
                <w:b w:val="0"/>
                <w:i w:val="0"/>
                <w:color w:val="1A1A1A"/>
                <w:sz w:val="17"/>
              </w:rPr>
              <w:t>Swiggy Ltd</w:t>
            </w:r>
          </w:p>
        </w:tc>
        <w:tc>
          <w:tcPr>
            <w:tcW w:type="dxa" w:w="5947"/>
            <w:shd w:val="clear" w:color="auto" w:fill="F2F4F4"/>
          </w:tcPr>
          <w:p>
            <w:pPr>
              <w:spacing w:after="40" w:before="40" w:line="240" w:lineRule="auto"/>
            </w:pPr>
            <w:r/>
            <w:r>
              <w:rPr>
                <w:rFonts w:ascii="Calibri" w:hAnsi="Calibri"/>
                <w:b w:val="0"/>
                <w:i w:val="0"/>
                <w:color w:val="1A1A1A"/>
                <w:sz w:val="17"/>
              </w:rPr>
              <w:t>Counterparty, where available from the payment rail.</w:t>
            </w:r>
          </w:p>
        </w:tc>
      </w:tr>
      <w:tr>
        <w:tc>
          <w:tcPr>
            <w:tcW w:type="dxa" w:w="3168"/>
          </w:tcPr>
          <w:p>
            <w:pPr>
              <w:spacing w:after="40" w:before="40" w:line="240" w:lineRule="auto"/>
            </w:pPr>
            <w:r/>
            <w:r>
              <w:rPr>
                <w:rFonts w:ascii="Consolas" w:hAnsi="Consolas"/>
                <w:b w:val="0"/>
                <w:color w:val="1A1A1A"/>
                <w:sz w:val="17"/>
              </w:rPr>
              <w:t>reference_number</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40</w:t>
            </w:r>
          </w:p>
        </w:tc>
        <w:tc>
          <w:tcPr>
            <w:tcW w:type="dxa" w:w="2563"/>
          </w:tcPr>
          <w:p>
            <w:pPr>
              <w:spacing w:after="40" w:before="40" w:line="240" w:lineRule="auto"/>
            </w:pPr>
            <w:r/>
            <w:r>
              <w:rPr>
                <w:rFonts w:ascii="Calibri" w:hAnsi="Calibri"/>
                <w:b w:val="0"/>
                <w:i w:val="0"/>
                <w:color w:val="1A1A1A"/>
                <w:sz w:val="17"/>
              </w:rPr>
              <w:t>UPI2026060298214</w:t>
            </w:r>
          </w:p>
        </w:tc>
        <w:tc>
          <w:tcPr>
            <w:tcW w:type="dxa" w:w="5947"/>
          </w:tcPr>
          <w:p>
            <w:pPr>
              <w:spacing w:after="40" w:before="40" w:line="240" w:lineRule="auto"/>
            </w:pPr>
            <w:r/>
            <w:r>
              <w:rPr>
                <w:rFonts w:ascii="Calibri" w:hAnsi="Calibri"/>
                <w:b w:val="0"/>
                <w:i w:val="0"/>
                <w:color w:val="1A1A1A"/>
                <w:sz w:val="17"/>
              </w:rPr>
              <w:t>Payment reference, for dispute traceability.</w:t>
            </w:r>
          </w:p>
        </w:tc>
      </w:tr>
    </w:tbl>
    <w:p>
      <w:pPr>
        <w:spacing w:after="40"/>
      </w:pPr>
    </w:p>
    <w:p>
      <w:pPr>
        <w:spacing w:before="180" w:after="60"/>
      </w:pPr>
      <w:r>
        <w:rPr>
          <w:b/>
          <w:color w:val="1A1A1A"/>
          <w:sz w:val="21"/>
        </w:rPr>
        <w:t>7.3  Permitted values — category_code</w:t>
      </w:r>
    </w:p>
    <w:p>
      <w:pPr>
        <w:spacing w:after="120"/>
      </w:pPr>
      <w:r>
        <w:rPr>
          <w:b w:val="0"/>
          <w:i w:val="0"/>
          <w:color w:val="5A6363"/>
          <w:sz w:val="19"/>
        </w:rPr>
        <w:t>Rows that match no rule are returned as OTHER with a confidence below 0.60 and routed to the customer-review queue.</w:t>
      </w:r>
    </w:p>
    <w:tbl>
      <w:tblPr>
        <w:tblStyle w:val="TableGrid"/>
        <w:tblW w:type="auto" w:w="0"/>
        <w:tblLayout w:type="fixed"/>
        <w:tblLook w:firstColumn="1" w:firstRow="1" w:lastColumn="0" w:lastRow="0" w:noHBand="0" w:noVBand="1" w:val="04A0"/>
      </w:tblPr>
      <w:tblGrid>
        <w:gridCol w:w="4704"/>
        <w:gridCol w:w="4704"/>
        <w:gridCol w:w="4704"/>
      </w:tblGrid>
      <w:tr>
        <w:trPr>
          <w:tblHeader w:val="true"/>
        </w:trPr>
        <w:tc>
          <w:tcPr>
            <w:tcW w:type="dxa" w:w="3159"/>
            <w:shd w:val="clear" w:color="auto" w:fill="006B6B"/>
          </w:tcPr>
          <w:p>
            <w:pPr>
              <w:spacing w:after="40" w:before="40" w:line="240" w:lineRule="auto"/>
            </w:pPr>
            <w:r/>
            <w:r>
              <w:rPr>
                <w:rFonts w:ascii="Calibri" w:hAnsi="Calibri"/>
                <w:b/>
                <w:i w:val="0"/>
                <w:color w:val="FFFFFF"/>
                <w:sz w:val="17"/>
              </w:rPr>
              <w:t>category_code</w:t>
            </w:r>
          </w:p>
        </w:tc>
        <w:tc>
          <w:tcPr>
            <w:tcW w:type="dxa" w:w="1404"/>
            <w:shd w:val="clear" w:color="auto" w:fill="006B6B"/>
          </w:tcPr>
          <w:p>
            <w:pPr>
              <w:spacing w:after="40" w:before="40" w:line="240" w:lineRule="auto"/>
            </w:pPr>
            <w:r/>
            <w:r>
              <w:rPr>
                <w:rFonts w:ascii="Calibri" w:hAnsi="Calibri"/>
                <w:b/>
                <w:i w:val="0"/>
                <w:color w:val="FFFFFF"/>
                <w:sz w:val="17"/>
              </w:rPr>
              <w:t>Essential</w:t>
            </w:r>
          </w:p>
        </w:tc>
        <w:tc>
          <w:tcPr>
            <w:tcW w:type="dxa" w:w="9477"/>
            <w:shd w:val="clear" w:color="auto" w:fill="006B6B"/>
          </w:tcPr>
          <w:p>
            <w:pPr>
              <w:spacing w:after="40" w:before="40" w:line="240" w:lineRule="auto"/>
            </w:pPr>
            <w:r/>
            <w:r>
              <w:rPr>
                <w:rFonts w:ascii="Calibri" w:hAnsi="Calibri"/>
                <w:b/>
                <w:i w:val="0"/>
                <w:color w:val="FFFFFF"/>
                <w:sz w:val="17"/>
              </w:rPr>
              <w:t>Covers</w:t>
            </w:r>
          </w:p>
        </w:tc>
      </w:tr>
      <w:tr>
        <w:tc>
          <w:tcPr>
            <w:tcW w:type="dxa" w:w="3159"/>
          </w:tcPr>
          <w:p>
            <w:pPr>
              <w:spacing w:after="40" w:before="40" w:line="240" w:lineRule="auto"/>
            </w:pPr>
            <w:r/>
            <w:r>
              <w:rPr>
                <w:rFonts w:ascii="Consolas" w:hAnsi="Consolas"/>
                <w:b w:val="0"/>
                <w:color w:val="1A1A1A"/>
                <w:sz w:val="17"/>
              </w:rPr>
              <w:t>RENT_UTILITIES</w:t>
            </w:r>
          </w:p>
        </w:tc>
        <w:tc>
          <w:tcPr>
            <w:tcW w:type="dxa" w:w="1404"/>
          </w:tcPr>
          <w:p>
            <w:pPr>
              <w:spacing w:after="40" w:before="40" w:line="240" w:lineRule="auto"/>
            </w:pPr>
            <w:r/>
            <w:r>
              <w:rPr>
                <w:rFonts w:ascii="Calibri" w:hAnsi="Calibri"/>
                <w:b w:val="0"/>
                <w:i w:val="0"/>
                <w:color w:val="1A1A1A"/>
                <w:sz w:val="18"/>
              </w:rPr>
              <w:t>Yes</w:t>
            </w:r>
          </w:p>
        </w:tc>
        <w:tc>
          <w:tcPr>
            <w:tcW w:type="dxa" w:w="9477"/>
          </w:tcPr>
          <w:p>
            <w:pPr>
              <w:spacing w:after="40" w:before="40" w:line="240" w:lineRule="auto"/>
            </w:pPr>
            <w:r/>
            <w:r>
              <w:rPr>
                <w:rFonts w:ascii="Calibri" w:hAnsi="Calibri"/>
                <w:b w:val="0"/>
                <w:i w:val="0"/>
                <w:color w:val="1A1A1A"/>
                <w:sz w:val="18"/>
              </w:rPr>
              <w:t>Rent, electricity, water, gas, broadband, society maintenance</w:t>
            </w:r>
          </w:p>
        </w:tc>
      </w:tr>
      <w:tr>
        <w:tc>
          <w:tcPr>
            <w:tcW w:type="dxa" w:w="3159"/>
            <w:shd w:val="clear" w:color="auto" w:fill="F2F4F4"/>
          </w:tcPr>
          <w:p>
            <w:pPr>
              <w:spacing w:after="40" w:before="40" w:line="240" w:lineRule="auto"/>
            </w:pPr>
            <w:r/>
            <w:r>
              <w:rPr>
                <w:rFonts w:ascii="Consolas" w:hAnsi="Consolas"/>
                <w:b w:val="0"/>
                <w:color w:val="1A1A1A"/>
                <w:sz w:val="17"/>
              </w:rPr>
              <w:t>GROCERIES</w:t>
            </w:r>
          </w:p>
        </w:tc>
        <w:tc>
          <w:tcPr>
            <w:tcW w:type="dxa" w:w="1404"/>
            <w:shd w:val="clear" w:color="auto" w:fill="F2F4F4"/>
          </w:tcPr>
          <w:p>
            <w:pPr>
              <w:spacing w:after="40" w:before="40" w:line="240" w:lineRule="auto"/>
            </w:pPr>
            <w:r/>
            <w:r>
              <w:rPr>
                <w:rFonts w:ascii="Calibri" w:hAnsi="Calibri"/>
                <w:b w:val="0"/>
                <w:i w:val="0"/>
                <w:color w:val="1A1A1A"/>
                <w:sz w:val="18"/>
              </w:rPr>
              <w:t>Yes</w:t>
            </w:r>
          </w:p>
        </w:tc>
        <w:tc>
          <w:tcPr>
            <w:tcW w:type="dxa" w:w="9477"/>
            <w:shd w:val="clear" w:color="auto" w:fill="F2F4F4"/>
          </w:tcPr>
          <w:p>
            <w:pPr>
              <w:spacing w:after="40" w:before="40" w:line="240" w:lineRule="auto"/>
            </w:pPr>
            <w:r/>
            <w:r>
              <w:rPr>
                <w:rFonts w:ascii="Calibri" w:hAnsi="Calibri"/>
                <w:b w:val="0"/>
                <w:i w:val="0"/>
                <w:color w:val="1A1A1A"/>
                <w:sz w:val="18"/>
              </w:rPr>
              <w:t>Supermarkets, quick-commerce, kirana</w:t>
            </w:r>
          </w:p>
        </w:tc>
      </w:tr>
      <w:tr>
        <w:tc>
          <w:tcPr>
            <w:tcW w:type="dxa" w:w="3159"/>
          </w:tcPr>
          <w:p>
            <w:pPr>
              <w:spacing w:after="40" w:before="40" w:line="240" w:lineRule="auto"/>
            </w:pPr>
            <w:r/>
            <w:r>
              <w:rPr>
                <w:rFonts w:ascii="Consolas" w:hAnsi="Consolas"/>
                <w:b w:val="0"/>
                <w:color w:val="1A1A1A"/>
                <w:sz w:val="17"/>
              </w:rPr>
              <w:t>DINING_DELIVERY</w:t>
            </w:r>
          </w:p>
        </w:tc>
        <w:tc>
          <w:tcPr>
            <w:tcW w:type="dxa" w:w="1404"/>
          </w:tcPr>
          <w:p>
            <w:pPr>
              <w:spacing w:after="40" w:before="40" w:line="240" w:lineRule="auto"/>
            </w:pPr>
            <w:r/>
            <w:r>
              <w:rPr>
                <w:rFonts w:ascii="Calibri" w:hAnsi="Calibri"/>
                <w:b w:val="0"/>
                <w:i w:val="0"/>
                <w:color w:val="1A1A1A"/>
                <w:sz w:val="18"/>
              </w:rPr>
              <w:t>No</w:t>
            </w:r>
          </w:p>
        </w:tc>
        <w:tc>
          <w:tcPr>
            <w:tcW w:type="dxa" w:w="9477"/>
          </w:tcPr>
          <w:p>
            <w:pPr>
              <w:spacing w:after="40" w:before="40" w:line="240" w:lineRule="auto"/>
            </w:pPr>
            <w:r/>
            <w:r>
              <w:rPr>
                <w:rFonts w:ascii="Calibri" w:hAnsi="Calibri"/>
                <w:b w:val="0"/>
                <w:i w:val="0"/>
                <w:color w:val="1A1A1A"/>
                <w:sz w:val="18"/>
              </w:rPr>
              <w:t>Restaurants, food delivery aggregators, cafes</w:t>
            </w:r>
          </w:p>
        </w:tc>
      </w:tr>
      <w:tr>
        <w:tc>
          <w:tcPr>
            <w:tcW w:type="dxa" w:w="3159"/>
            <w:shd w:val="clear" w:color="auto" w:fill="F2F4F4"/>
          </w:tcPr>
          <w:p>
            <w:pPr>
              <w:spacing w:after="40" w:before="40" w:line="240" w:lineRule="auto"/>
            </w:pPr>
            <w:r/>
            <w:r>
              <w:rPr>
                <w:rFonts w:ascii="Consolas" w:hAnsi="Consolas"/>
                <w:b w:val="0"/>
                <w:color w:val="1A1A1A"/>
                <w:sz w:val="17"/>
              </w:rPr>
              <w:t>SHOPPING</w:t>
            </w:r>
          </w:p>
        </w:tc>
        <w:tc>
          <w:tcPr>
            <w:tcW w:type="dxa" w:w="1404"/>
            <w:shd w:val="clear" w:color="auto" w:fill="F2F4F4"/>
          </w:tcPr>
          <w:p>
            <w:pPr>
              <w:spacing w:after="40" w:before="40" w:line="240" w:lineRule="auto"/>
            </w:pPr>
            <w:r/>
            <w:r>
              <w:rPr>
                <w:rFonts w:ascii="Calibri" w:hAnsi="Calibri"/>
                <w:b w:val="0"/>
                <w:i w:val="0"/>
                <w:color w:val="1A1A1A"/>
                <w:sz w:val="18"/>
              </w:rPr>
              <w:t>No</w:t>
            </w:r>
          </w:p>
        </w:tc>
        <w:tc>
          <w:tcPr>
            <w:tcW w:type="dxa" w:w="9477"/>
            <w:shd w:val="clear" w:color="auto" w:fill="F2F4F4"/>
          </w:tcPr>
          <w:p>
            <w:pPr>
              <w:spacing w:after="40" w:before="40" w:line="240" w:lineRule="auto"/>
            </w:pPr>
            <w:r/>
            <w:r>
              <w:rPr>
                <w:rFonts w:ascii="Calibri" w:hAnsi="Calibri"/>
                <w:b w:val="0"/>
                <w:i w:val="0"/>
                <w:color w:val="1A1A1A"/>
                <w:sz w:val="18"/>
              </w:rPr>
              <w:t>E-commerce, apparel, electronics, general retail</w:t>
            </w:r>
          </w:p>
        </w:tc>
      </w:tr>
      <w:tr>
        <w:tc>
          <w:tcPr>
            <w:tcW w:type="dxa" w:w="3159"/>
          </w:tcPr>
          <w:p>
            <w:pPr>
              <w:spacing w:after="40" w:before="40" w:line="240" w:lineRule="auto"/>
            </w:pPr>
            <w:r/>
            <w:r>
              <w:rPr>
                <w:rFonts w:ascii="Consolas" w:hAnsi="Consolas"/>
                <w:b w:val="0"/>
                <w:color w:val="1A1A1A"/>
                <w:sz w:val="17"/>
              </w:rPr>
              <w:t>TRANSPORT_FUEL</w:t>
            </w:r>
          </w:p>
        </w:tc>
        <w:tc>
          <w:tcPr>
            <w:tcW w:type="dxa" w:w="1404"/>
          </w:tcPr>
          <w:p>
            <w:pPr>
              <w:spacing w:after="40" w:before="40" w:line="240" w:lineRule="auto"/>
            </w:pPr>
            <w:r/>
            <w:r>
              <w:rPr>
                <w:rFonts w:ascii="Calibri" w:hAnsi="Calibri"/>
                <w:b w:val="0"/>
                <w:i w:val="0"/>
                <w:color w:val="1A1A1A"/>
                <w:sz w:val="18"/>
              </w:rPr>
              <w:t>Yes</w:t>
            </w:r>
          </w:p>
        </w:tc>
        <w:tc>
          <w:tcPr>
            <w:tcW w:type="dxa" w:w="9477"/>
          </w:tcPr>
          <w:p>
            <w:pPr>
              <w:spacing w:after="40" w:before="40" w:line="240" w:lineRule="auto"/>
            </w:pPr>
            <w:r/>
            <w:r>
              <w:rPr>
                <w:rFonts w:ascii="Calibri" w:hAnsi="Calibri"/>
                <w:b w:val="0"/>
                <w:i w:val="0"/>
                <w:color w:val="1A1A1A"/>
                <w:sz w:val="18"/>
              </w:rPr>
              <w:t>Ride-hailing, fuel, metro, rail, tolls</w:t>
            </w:r>
          </w:p>
        </w:tc>
      </w:tr>
      <w:tr>
        <w:tc>
          <w:tcPr>
            <w:tcW w:type="dxa" w:w="3159"/>
            <w:shd w:val="clear" w:color="auto" w:fill="F2F4F4"/>
          </w:tcPr>
          <w:p>
            <w:pPr>
              <w:spacing w:after="40" w:before="40" w:line="240" w:lineRule="auto"/>
            </w:pPr>
            <w:r/>
            <w:r>
              <w:rPr>
                <w:rFonts w:ascii="Consolas" w:hAnsi="Consolas"/>
                <w:b w:val="0"/>
                <w:color w:val="1A1A1A"/>
                <w:sz w:val="17"/>
              </w:rPr>
              <w:t>SUBSCRIPTIONS</w:t>
            </w:r>
          </w:p>
        </w:tc>
        <w:tc>
          <w:tcPr>
            <w:tcW w:type="dxa" w:w="1404"/>
            <w:shd w:val="clear" w:color="auto" w:fill="F2F4F4"/>
          </w:tcPr>
          <w:p>
            <w:pPr>
              <w:spacing w:after="40" w:before="40" w:line="240" w:lineRule="auto"/>
            </w:pPr>
            <w:r/>
            <w:r>
              <w:rPr>
                <w:rFonts w:ascii="Calibri" w:hAnsi="Calibri"/>
                <w:b w:val="0"/>
                <w:i w:val="0"/>
                <w:color w:val="1A1A1A"/>
                <w:sz w:val="18"/>
              </w:rPr>
              <w:t>No</w:t>
            </w:r>
          </w:p>
        </w:tc>
        <w:tc>
          <w:tcPr>
            <w:tcW w:type="dxa" w:w="9477"/>
            <w:shd w:val="clear" w:color="auto" w:fill="F2F4F4"/>
          </w:tcPr>
          <w:p>
            <w:pPr>
              <w:spacing w:after="40" w:before="40" w:line="240" w:lineRule="auto"/>
            </w:pPr>
            <w:r/>
            <w:r>
              <w:rPr>
                <w:rFonts w:ascii="Calibri" w:hAnsi="Calibri"/>
                <w:b w:val="0"/>
                <w:i w:val="0"/>
                <w:color w:val="1A1A1A"/>
                <w:sz w:val="18"/>
              </w:rPr>
              <w:t>Streaming, software, membership services</w:t>
            </w:r>
          </w:p>
        </w:tc>
      </w:tr>
      <w:tr>
        <w:tc>
          <w:tcPr>
            <w:tcW w:type="dxa" w:w="3159"/>
          </w:tcPr>
          <w:p>
            <w:pPr>
              <w:spacing w:after="40" w:before="40" w:line="240" w:lineRule="auto"/>
            </w:pPr>
            <w:r/>
            <w:r>
              <w:rPr>
                <w:rFonts w:ascii="Consolas" w:hAnsi="Consolas"/>
                <w:b w:val="0"/>
                <w:color w:val="1A1A1A"/>
                <w:sz w:val="17"/>
              </w:rPr>
              <w:t>HEALTH_FITNESS</w:t>
            </w:r>
          </w:p>
        </w:tc>
        <w:tc>
          <w:tcPr>
            <w:tcW w:type="dxa" w:w="1404"/>
          </w:tcPr>
          <w:p>
            <w:pPr>
              <w:spacing w:after="40" w:before="40" w:line="240" w:lineRule="auto"/>
            </w:pPr>
            <w:r/>
            <w:r>
              <w:rPr>
                <w:rFonts w:ascii="Calibri" w:hAnsi="Calibri"/>
                <w:b w:val="0"/>
                <w:i w:val="0"/>
                <w:color w:val="1A1A1A"/>
                <w:sz w:val="18"/>
              </w:rPr>
              <w:t>Yes</w:t>
            </w:r>
          </w:p>
        </w:tc>
        <w:tc>
          <w:tcPr>
            <w:tcW w:type="dxa" w:w="9477"/>
          </w:tcPr>
          <w:p>
            <w:pPr>
              <w:spacing w:after="40" w:before="40" w:line="240" w:lineRule="auto"/>
            </w:pPr>
            <w:r/>
            <w:r>
              <w:rPr>
                <w:rFonts w:ascii="Calibri" w:hAnsi="Calibri"/>
                <w:b w:val="0"/>
                <w:i w:val="0"/>
                <w:color w:val="1A1A1A"/>
                <w:sz w:val="18"/>
              </w:rPr>
              <w:t>Pharmacy, hospital, clinic, diagnostics, gym</w:t>
            </w:r>
          </w:p>
        </w:tc>
      </w:tr>
      <w:tr>
        <w:tc>
          <w:tcPr>
            <w:tcW w:type="dxa" w:w="3159"/>
            <w:shd w:val="clear" w:color="auto" w:fill="F2F4F4"/>
          </w:tcPr>
          <w:p>
            <w:pPr>
              <w:spacing w:after="40" w:before="40" w:line="240" w:lineRule="auto"/>
            </w:pPr>
            <w:r/>
            <w:r>
              <w:rPr>
                <w:rFonts w:ascii="Consolas" w:hAnsi="Consolas"/>
                <w:b w:val="0"/>
                <w:color w:val="1A1A1A"/>
                <w:sz w:val="17"/>
              </w:rPr>
              <w:t>ENTERTAINMENT</w:t>
            </w:r>
          </w:p>
        </w:tc>
        <w:tc>
          <w:tcPr>
            <w:tcW w:type="dxa" w:w="1404"/>
            <w:shd w:val="clear" w:color="auto" w:fill="F2F4F4"/>
          </w:tcPr>
          <w:p>
            <w:pPr>
              <w:spacing w:after="40" w:before="40" w:line="240" w:lineRule="auto"/>
            </w:pPr>
            <w:r/>
            <w:r>
              <w:rPr>
                <w:rFonts w:ascii="Calibri" w:hAnsi="Calibri"/>
                <w:b w:val="0"/>
                <w:i w:val="0"/>
                <w:color w:val="1A1A1A"/>
                <w:sz w:val="18"/>
              </w:rPr>
              <w:t>No</w:t>
            </w:r>
          </w:p>
        </w:tc>
        <w:tc>
          <w:tcPr>
            <w:tcW w:type="dxa" w:w="9477"/>
            <w:shd w:val="clear" w:color="auto" w:fill="F2F4F4"/>
          </w:tcPr>
          <w:p>
            <w:pPr>
              <w:spacing w:after="40" w:before="40" w:line="240" w:lineRule="auto"/>
            </w:pPr>
            <w:r/>
            <w:r>
              <w:rPr>
                <w:rFonts w:ascii="Calibri" w:hAnsi="Calibri"/>
                <w:b w:val="0"/>
                <w:i w:val="0"/>
                <w:color w:val="1A1A1A"/>
                <w:sz w:val="18"/>
              </w:rPr>
              <w:t>Cinema, events, gaming</w:t>
            </w:r>
          </w:p>
        </w:tc>
      </w:tr>
      <w:tr>
        <w:tc>
          <w:tcPr>
            <w:tcW w:type="dxa" w:w="3159"/>
          </w:tcPr>
          <w:p>
            <w:pPr>
              <w:spacing w:after="40" w:before="40" w:line="240" w:lineRule="auto"/>
            </w:pPr>
            <w:r/>
            <w:r>
              <w:rPr>
                <w:rFonts w:ascii="Consolas" w:hAnsi="Consolas"/>
                <w:b w:val="0"/>
                <w:color w:val="1A1A1A"/>
                <w:sz w:val="17"/>
              </w:rPr>
              <w:t>EDUCATION</w:t>
            </w:r>
          </w:p>
        </w:tc>
        <w:tc>
          <w:tcPr>
            <w:tcW w:type="dxa" w:w="1404"/>
          </w:tcPr>
          <w:p>
            <w:pPr>
              <w:spacing w:after="40" w:before="40" w:line="240" w:lineRule="auto"/>
            </w:pPr>
            <w:r/>
            <w:r>
              <w:rPr>
                <w:rFonts w:ascii="Calibri" w:hAnsi="Calibri"/>
                <w:b w:val="0"/>
                <w:i w:val="0"/>
                <w:color w:val="1A1A1A"/>
                <w:sz w:val="18"/>
              </w:rPr>
              <w:t>Yes</w:t>
            </w:r>
          </w:p>
        </w:tc>
        <w:tc>
          <w:tcPr>
            <w:tcW w:type="dxa" w:w="9477"/>
          </w:tcPr>
          <w:p>
            <w:pPr>
              <w:spacing w:after="40" w:before="40" w:line="240" w:lineRule="auto"/>
            </w:pPr>
            <w:r/>
            <w:r>
              <w:rPr>
                <w:rFonts w:ascii="Calibri" w:hAnsi="Calibri"/>
                <w:b w:val="0"/>
                <w:i w:val="0"/>
                <w:color w:val="1A1A1A"/>
                <w:sz w:val="18"/>
              </w:rPr>
              <w:t>School and college fees, courses, coaching</w:t>
            </w:r>
          </w:p>
        </w:tc>
      </w:tr>
      <w:tr>
        <w:tc>
          <w:tcPr>
            <w:tcW w:type="dxa" w:w="3159"/>
            <w:shd w:val="clear" w:color="auto" w:fill="F2F4F4"/>
          </w:tcPr>
          <w:p>
            <w:pPr>
              <w:spacing w:after="40" w:before="40" w:line="240" w:lineRule="auto"/>
            </w:pPr>
            <w:r/>
            <w:r>
              <w:rPr>
                <w:rFonts w:ascii="Consolas" w:hAnsi="Consolas"/>
                <w:b w:val="0"/>
                <w:color w:val="1A1A1A"/>
                <w:sz w:val="17"/>
              </w:rPr>
              <w:t>INSURANCE_PREMIUM</w:t>
            </w:r>
          </w:p>
        </w:tc>
        <w:tc>
          <w:tcPr>
            <w:tcW w:type="dxa" w:w="1404"/>
            <w:shd w:val="clear" w:color="auto" w:fill="F2F4F4"/>
          </w:tcPr>
          <w:p>
            <w:pPr>
              <w:spacing w:after="40" w:before="40" w:line="240" w:lineRule="auto"/>
            </w:pPr>
            <w:r/>
            <w:r>
              <w:rPr>
                <w:rFonts w:ascii="Calibri" w:hAnsi="Calibri"/>
                <w:b w:val="0"/>
                <w:i w:val="0"/>
                <w:color w:val="1A1A1A"/>
                <w:sz w:val="18"/>
              </w:rPr>
              <w:t>Yes</w:t>
            </w:r>
          </w:p>
        </w:tc>
        <w:tc>
          <w:tcPr>
            <w:tcW w:type="dxa" w:w="9477"/>
            <w:shd w:val="clear" w:color="auto" w:fill="F2F4F4"/>
          </w:tcPr>
          <w:p>
            <w:pPr>
              <w:spacing w:after="40" w:before="40" w:line="240" w:lineRule="auto"/>
            </w:pPr>
            <w:r/>
            <w:r>
              <w:rPr>
                <w:rFonts w:ascii="Calibri" w:hAnsi="Calibri"/>
                <w:b w:val="0"/>
                <w:i w:val="0"/>
                <w:color w:val="1A1A1A"/>
                <w:sz w:val="18"/>
              </w:rPr>
              <w:t>Life, health and motor premium debits</w:t>
            </w:r>
          </w:p>
        </w:tc>
      </w:tr>
      <w:tr>
        <w:tc>
          <w:tcPr>
            <w:tcW w:type="dxa" w:w="3159"/>
          </w:tcPr>
          <w:p>
            <w:pPr>
              <w:spacing w:after="40" w:before="40" w:line="240" w:lineRule="auto"/>
            </w:pPr>
            <w:r/>
            <w:r>
              <w:rPr>
                <w:rFonts w:ascii="Consolas" w:hAnsi="Consolas"/>
                <w:b w:val="0"/>
                <w:color w:val="1A1A1A"/>
                <w:sz w:val="17"/>
              </w:rPr>
              <w:t>EMI_LOAN</w:t>
            </w:r>
          </w:p>
        </w:tc>
        <w:tc>
          <w:tcPr>
            <w:tcW w:type="dxa" w:w="1404"/>
          </w:tcPr>
          <w:p>
            <w:pPr>
              <w:spacing w:after="40" w:before="40" w:line="240" w:lineRule="auto"/>
            </w:pPr>
            <w:r/>
            <w:r>
              <w:rPr>
                <w:rFonts w:ascii="Calibri" w:hAnsi="Calibri"/>
                <w:b w:val="0"/>
                <w:i w:val="0"/>
                <w:color w:val="1A1A1A"/>
                <w:sz w:val="18"/>
              </w:rPr>
              <w:t>Yes</w:t>
            </w:r>
          </w:p>
        </w:tc>
        <w:tc>
          <w:tcPr>
            <w:tcW w:type="dxa" w:w="9477"/>
          </w:tcPr>
          <w:p>
            <w:pPr>
              <w:spacing w:after="40" w:before="40" w:line="240" w:lineRule="auto"/>
            </w:pPr>
            <w:r/>
            <w:r>
              <w:rPr>
                <w:rFonts w:ascii="Calibri" w:hAnsi="Calibri"/>
                <w:b w:val="0"/>
                <w:i w:val="0"/>
                <w:color w:val="1A1A1A"/>
                <w:sz w:val="18"/>
              </w:rPr>
              <w:t>Loan instalments and credit-card repayments</w:t>
            </w:r>
          </w:p>
        </w:tc>
      </w:tr>
      <w:tr>
        <w:tc>
          <w:tcPr>
            <w:tcW w:type="dxa" w:w="3159"/>
            <w:shd w:val="clear" w:color="auto" w:fill="F2F4F4"/>
          </w:tcPr>
          <w:p>
            <w:pPr>
              <w:spacing w:after="40" w:before="40" w:line="240" w:lineRule="auto"/>
            </w:pPr>
            <w:r/>
            <w:r>
              <w:rPr>
                <w:rFonts w:ascii="Consolas" w:hAnsi="Consolas"/>
                <w:b w:val="0"/>
                <w:color w:val="1A1A1A"/>
                <w:sz w:val="17"/>
              </w:rPr>
              <w:t>INVESTMENTS</w:t>
            </w:r>
          </w:p>
        </w:tc>
        <w:tc>
          <w:tcPr>
            <w:tcW w:type="dxa" w:w="1404"/>
            <w:shd w:val="clear" w:color="auto" w:fill="F2F4F4"/>
          </w:tcPr>
          <w:p>
            <w:pPr>
              <w:spacing w:after="40" w:before="40" w:line="240" w:lineRule="auto"/>
            </w:pPr>
            <w:r/>
            <w:r>
              <w:rPr>
                <w:rFonts w:ascii="Calibri" w:hAnsi="Calibri"/>
                <w:b w:val="0"/>
                <w:i w:val="0"/>
                <w:color w:val="1A1A1A"/>
                <w:sz w:val="18"/>
              </w:rPr>
              <w:t>No</w:t>
            </w:r>
          </w:p>
        </w:tc>
        <w:tc>
          <w:tcPr>
            <w:tcW w:type="dxa" w:w="9477"/>
            <w:shd w:val="clear" w:color="auto" w:fill="F2F4F4"/>
          </w:tcPr>
          <w:p>
            <w:pPr>
              <w:spacing w:after="40" w:before="40" w:line="240" w:lineRule="auto"/>
            </w:pPr>
            <w:r/>
            <w:r>
              <w:rPr>
                <w:rFonts w:ascii="Calibri" w:hAnsi="Calibri"/>
                <w:b w:val="0"/>
                <w:i w:val="0"/>
                <w:color w:val="1A1A1A"/>
                <w:sz w:val="18"/>
              </w:rPr>
              <w:t>SIP debits, broker transfers, deposit creation. Excluded from spend and counted as invested.</w:t>
            </w:r>
          </w:p>
        </w:tc>
      </w:tr>
      <w:tr>
        <w:tc>
          <w:tcPr>
            <w:tcW w:type="dxa" w:w="3159"/>
          </w:tcPr>
          <w:p>
            <w:pPr>
              <w:spacing w:after="40" w:before="40" w:line="240" w:lineRule="auto"/>
            </w:pPr>
            <w:r/>
            <w:r>
              <w:rPr>
                <w:rFonts w:ascii="Consolas" w:hAnsi="Consolas"/>
                <w:b w:val="0"/>
                <w:color w:val="1A1A1A"/>
                <w:sz w:val="17"/>
              </w:rPr>
              <w:t>TRANSFERS</w:t>
            </w:r>
          </w:p>
        </w:tc>
        <w:tc>
          <w:tcPr>
            <w:tcW w:type="dxa" w:w="1404"/>
          </w:tcPr>
          <w:p>
            <w:pPr>
              <w:spacing w:after="40" w:before="40" w:line="240" w:lineRule="auto"/>
            </w:pPr>
            <w:r/>
            <w:r>
              <w:rPr>
                <w:rFonts w:ascii="Calibri" w:hAnsi="Calibri"/>
                <w:b w:val="0"/>
                <w:i w:val="0"/>
                <w:color w:val="1A1A1A"/>
                <w:sz w:val="18"/>
              </w:rPr>
              <w:t>No</w:t>
            </w:r>
          </w:p>
        </w:tc>
        <w:tc>
          <w:tcPr>
            <w:tcW w:type="dxa" w:w="9477"/>
          </w:tcPr>
          <w:p>
            <w:pPr>
              <w:spacing w:after="40" w:before="40" w:line="240" w:lineRule="auto"/>
            </w:pPr>
            <w:r/>
            <w:r>
              <w:rPr>
                <w:rFonts w:ascii="Calibri" w:hAnsi="Calibri"/>
                <w:b w:val="0"/>
                <w:i w:val="0"/>
                <w:color w:val="1A1A1A"/>
                <w:sz w:val="18"/>
              </w:rPr>
              <w:t>Self-transfers and person-to-person transfers. Excluded from spend to avoid double-counting.</w:t>
            </w:r>
          </w:p>
        </w:tc>
      </w:tr>
      <w:tr>
        <w:tc>
          <w:tcPr>
            <w:tcW w:type="dxa" w:w="3159"/>
            <w:shd w:val="clear" w:color="auto" w:fill="F2F4F4"/>
          </w:tcPr>
          <w:p>
            <w:pPr>
              <w:spacing w:after="40" w:before="40" w:line="240" w:lineRule="auto"/>
            </w:pPr>
            <w:r/>
            <w:r>
              <w:rPr>
                <w:rFonts w:ascii="Consolas" w:hAnsi="Consolas"/>
                <w:b w:val="0"/>
                <w:color w:val="1A1A1A"/>
                <w:sz w:val="17"/>
              </w:rPr>
              <w:t>CASH_WITHDRAWAL</w:t>
            </w:r>
          </w:p>
        </w:tc>
        <w:tc>
          <w:tcPr>
            <w:tcW w:type="dxa" w:w="1404"/>
            <w:shd w:val="clear" w:color="auto" w:fill="F2F4F4"/>
          </w:tcPr>
          <w:p>
            <w:pPr>
              <w:spacing w:after="40" w:before="40" w:line="240" w:lineRule="auto"/>
            </w:pPr>
            <w:r/>
            <w:r>
              <w:rPr>
                <w:rFonts w:ascii="Calibri" w:hAnsi="Calibri"/>
                <w:b w:val="0"/>
                <w:i w:val="0"/>
                <w:color w:val="1A1A1A"/>
                <w:sz w:val="18"/>
              </w:rPr>
              <w:t>No</w:t>
            </w:r>
          </w:p>
        </w:tc>
        <w:tc>
          <w:tcPr>
            <w:tcW w:type="dxa" w:w="9477"/>
            <w:shd w:val="clear" w:color="auto" w:fill="F2F4F4"/>
          </w:tcPr>
          <w:p>
            <w:pPr>
              <w:spacing w:after="40" w:before="40" w:line="240" w:lineRule="auto"/>
            </w:pPr>
            <w:r/>
            <w:r>
              <w:rPr>
                <w:rFonts w:ascii="Calibri" w:hAnsi="Calibri"/>
                <w:b w:val="0"/>
                <w:i w:val="0"/>
                <w:color w:val="1A1A1A"/>
                <w:sz w:val="18"/>
              </w:rPr>
              <w:t>ATM and cash withdrawals. Cannot be categorised further and is reported separately.</w:t>
            </w:r>
          </w:p>
        </w:tc>
      </w:tr>
      <w:tr>
        <w:tc>
          <w:tcPr>
            <w:tcW w:type="dxa" w:w="3159"/>
          </w:tcPr>
          <w:p>
            <w:pPr>
              <w:spacing w:after="40" w:before="40" w:line="240" w:lineRule="auto"/>
            </w:pPr>
            <w:r/>
            <w:r>
              <w:rPr>
                <w:rFonts w:ascii="Consolas" w:hAnsi="Consolas"/>
                <w:b w:val="0"/>
                <w:color w:val="1A1A1A"/>
                <w:sz w:val="17"/>
              </w:rPr>
              <w:t>BUSINESS_EXPENSE</w:t>
            </w:r>
          </w:p>
        </w:tc>
        <w:tc>
          <w:tcPr>
            <w:tcW w:type="dxa" w:w="1404"/>
          </w:tcPr>
          <w:p>
            <w:pPr>
              <w:spacing w:after="40" w:before="40" w:line="240" w:lineRule="auto"/>
            </w:pPr>
            <w:r/>
            <w:r>
              <w:rPr>
                <w:rFonts w:ascii="Calibri" w:hAnsi="Calibri"/>
                <w:b w:val="0"/>
                <w:i w:val="0"/>
                <w:color w:val="1A1A1A"/>
                <w:sz w:val="18"/>
              </w:rPr>
              <w:t>Yes</w:t>
            </w:r>
          </w:p>
        </w:tc>
        <w:tc>
          <w:tcPr>
            <w:tcW w:type="dxa" w:w="9477"/>
          </w:tcPr>
          <w:p>
            <w:pPr>
              <w:spacing w:after="40" w:before="40" w:line="240" w:lineRule="auto"/>
            </w:pPr>
            <w:r/>
            <w:r>
              <w:rPr>
                <w:rFonts w:ascii="Calibri" w:hAnsi="Calibri"/>
                <w:b w:val="0"/>
                <w:i w:val="0"/>
                <w:color w:val="1A1A1A"/>
                <w:sz w:val="18"/>
              </w:rPr>
              <w:t>Inventory, supplies and business services — relevant to self-employed customers</w:t>
            </w:r>
          </w:p>
        </w:tc>
      </w:tr>
      <w:tr>
        <w:tc>
          <w:tcPr>
            <w:tcW w:type="dxa" w:w="3159"/>
            <w:shd w:val="clear" w:color="auto" w:fill="F2F4F4"/>
          </w:tcPr>
          <w:p>
            <w:pPr>
              <w:spacing w:after="40" w:before="40" w:line="240" w:lineRule="auto"/>
            </w:pPr>
            <w:r/>
            <w:r>
              <w:rPr>
                <w:rFonts w:ascii="Consolas" w:hAnsi="Consolas"/>
                <w:b w:val="0"/>
                <w:color w:val="1A1A1A"/>
                <w:sz w:val="17"/>
              </w:rPr>
              <w:t>FAMILY_SOCIAL</w:t>
            </w:r>
          </w:p>
        </w:tc>
        <w:tc>
          <w:tcPr>
            <w:tcW w:type="dxa" w:w="1404"/>
            <w:shd w:val="clear" w:color="auto" w:fill="F2F4F4"/>
          </w:tcPr>
          <w:p>
            <w:pPr>
              <w:spacing w:after="40" w:before="40" w:line="240" w:lineRule="auto"/>
            </w:pPr>
            <w:r/>
            <w:r>
              <w:rPr>
                <w:rFonts w:ascii="Calibri" w:hAnsi="Calibri"/>
                <w:b w:val="0"/>
                <w:i w:val="0"/>
                <w:color w:val="1A1A1A"/>
                <w:sz w:val="18"/>
              </w:rPr>
              <w:t>No</w:t>
            </w:r>
          </w:p>
        </w:tc>
        <w:tc>
          <w:tcPr>
            <w:tcW w:type="dxa" w:w="9477"/>
            <w:shd w:val="clear" w:color="auto" w:fill="F2F4F4"/>
          </w:tcPr>
          <w:p>
            <w:pPr>
              <w:spacing w:after="40" w:before="40" w:line="240" w:lineRule="auto"/>
            </w:pPr>
            <w:r/>
            <w:r>
              <w:rPr>
                <w:rFonts w:ascii="Calibri" w:hAnsi="Calibri"/>
                <w:b w:val="0"/>
                <w:i w:val="0"/>
                <w:color w:val="1A1A1A"/>
                <w:sz w:val="18"/>
              </w:rPr>
              <w:t>Gifts, family support, social and festival obligations</w:t>
            </w:r>
          </w:p>
        </w:tc>
      </w:tr>
      <w:tr>
        <w:tc>
          <w:tcPr>
            <w:tcW w:type="dxa" w:w="3159"/>
          </w:tcPr>
          <w:p>
            <w:pPr>
              <w:spacing w:after="40" w:before="40" w:line="240" w:lineRule="auto"/>
            </w:pPr>
            <w:r/>
            <w:r>
              <w:rPr>
                <w:rFonts w:ascii="Consolas" w:hAnsi="Consolas"/>
                <w:b w:val="0"/>
                <w:color w:val="1A1A1A"/>
                <w:sz w:val="17"/>
              </w:rPr>
              <w:t>OTHER</w:t>
            </w:r>
          </w:p>
        </w:tc>
        <w:tc>
          <w:tcPr>
            <w:tcW w:type="dxa" w:w="1404"/>
          </w:tcPr>
          <w:p>
            <w:pPr>
              <w:spacing w:after="40" w:before="40" w:line="240" w:lineRule="auto"/>
            </w:pPr>
            <w:r/>
            <w:r>
              <w:rPr>
                <w:rFonts w:ascii="Calibri" w:hAnsi="Calibri"/>
                <w:b w:val="0"/>
                <w:i w:val="0"/>
                <w:color w:val="1A1A1A"/>
                <w:sz w:val="18"/>
              </w:rPr>
              <w:t>No</w:t>
            </w:r>
          </w:p>
        </w:tc>
        <w:tc>
          <w:tcPr>
            <w:tcW w:type="dxa" w:w="9477"/>
          </w:tcPr>
          <w:p>
            <w:pPr>
              <w:spacing w:after="40" w:before="40" w:line="240" w:lineRule="auto"/>
            </w:pPr>
            <w:r/>
            <w:r>
              <w:rPr>
                <w:rFonts w:ascii="Calibri" w:hAnsi="Calibri"/>
                <w:b w:val="0"/>
                <w:i w:val="0"/>
                <w:color w:val="1A1A1A"/>
                <w:sz w:val="18"/>
              </w:rPr>
              <w:t>Uncategorised. A high OTHER share is reported as a data-quality signal, not hidden.</w:t>
            </w:r>
          </w:p>
        </w:tc>
      </w:tr>
    </w:tbl>
    <w:p>
      <w:pPr>
        <w:spacing w:after="40"/>
      </w:pPr>
    </w:p>
    <w:p>
      <w:r>
        <w:br w:type="page"/>
      </w:r>
    </w:p>
    <w:p>
      <w:pPr>
        <w:spacing w:before="0" w:after="80"/>
      </w:pPr>
      <w:r>
        <w:rPr>
          <w:b/>
          <w:color w:val="006B6B"/>
          <w:sz w:val="34"/>
        </w:rPr>
        <w:t>8  Liabilities API</w:t>
      </w:r>
    </w:p>
    <w:p>
      <w:pPr>
        <w:spacing w:after="200"/>
      </w:pPr>
      <w:r>
        <w:rPr>
          <w:color w:val="006B6B"/>
          <w:sz w:val="12"/>
        </w:rPr>
        <w:t>────────────────────────────────────────────────────────────</w:t>
      </w:r>
    </w:p>
    <w:p>
      <w:pPr>
        <w:spacing w:after="120"/>
      </w:pPr>
      <w:r>
        <w:rPr>
          <w:b w:val="0"/>
          <w:i w:val="0"/>
          <w:color w:val="5A6363"/>
          <w:sz w:val="19"/>
        </w:rPr>
        <w:t>Loans and credit facilities. One record per liability.</w:t>
      </w:r>
    </w:p>
    <w:p>
      <w:pPr>
        <w:spacing w:before="180" w:after="60"/>
      </w:pPr>
      <w:r>
        <w:rPr>
          <w:b/>
          <w:color w:val="1A1A1A"/>
          <w:sz w:val="21"/>
        </w:rPr>
        <w:t>8.1  API Request</w:t>
      </w:r>
    </w:p>
    <w:tbl>
      <w:tblPr>
        <w:tblStyle w:val="TableGrid"/>
        <w:tblW w:type="auto" w:w="0"/>
        <w:jc w:val="left"/>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009"/>
            <w:shd w:val="clear" w:color="auto" w:fill="006B6B"/>
          </w:tcPr>
          <w:p>
            <w:pPr>
              <w:spacing w:after="40" w:before="40" w:line="240" w:lineRule="auto"/>
            </w:pPr>
            <w:r/>
            <w:r>
              <w:rPr>
                <w:rFonts w:ascii="Calibri" w:hAnsi="Calibri"/>
                <w:b/>
                <w:i w:val="0"/>
                <w:color w:val="FFFFFF"/>
                <w:sz w:val="17"/>
              </w:rPr>
              <w:t>Field Name</w:t>
            </w:r>
          </w:p>
        </w:tc>
        <w:tc>
          <w:tcPr>
            <w:tcW w:type="dxa" w:w="1117"/>
            <w:shd w:val="clear" w:color="auto" w:fill="006B6B"/>
          </w:tcPr>
          <w:p>
            <w:pPr>
              <w:spacing w:after="40" w:before="40" w:line="240" w:lineRule="auto"/>
            </w:pPr>
            <w:r/>
            <w:r>
              <w:rPr>
                <w:rFonts w:ascii="Calibri" w:hAnsi="Calibri"/>
                <w:b/>
                <w:i w:val="0"/>
                <w:color w:val="FFFFFF"/>
                <w:sz w:val="17"/>
              </w:rPr>
              <w:t>Field Type</w:t>
            </w:r>
          </w:p>
        </w:tc>
        <w:tc>
          <w:tcPr>
            <w:tcW w:type="dxa" w:w="1232"/>
            <w:shd w:val="clear" w:color="auto" w:fill="006B6B"/>
          </w:tcPr>
          <w:p>
            <w:pPr>
              <w:spacing w:after="40" w:before="40" w:line="240" w:lineRule="auto"/>
            </w:pPr>
            <w:r/>
            <w:r>
              <w:rPr>
                <w:rFonts w:ascii="Calibri" w:hAnsi="Calibri"/>
                <w:b/>
                <w:i w:val="0"/>
                <w:color w:val="FFFFFF"/>
                <w:sz w:val="17"/>
              </w:rPr>
              <w:t>Max Field Length</w:t>
            </w:r>
          </w:p>
        </w:tc>
        <w:tc>
          <w:tcPr>
            <w:tcW w:type="dxa" w:w="1547"/>
            <w:shd w:val="clear" w:color="auto" w:fill="006B6B"/>
          </w:tcPr>
          <w:p>
            <w:pPr>
              <w:spacing w:after="40" w:before="40" w:line="240" w:lineRule="auto"/>
            </w:pPr>
            <w:r/>
            <w:r>
              <w:rPr>
                <w:rFonts w:ascii="Calibri" w:hAnsi="Calibri"/>
                <w:b/>
                <w:i w:val="0"/>
                <w:color w:val="FFFFFF"/>
                <w:sz w:val="17"/>
              </w:rPr>
              <w:t>Mandatory/Optional</w:t>
            </w:r>
          </w:p>
        </w:tc>
        <w:tc>
          <w:tcPr>
            <w:tcW w:type="dxa" w:w="2436"/>
            <w:shd w:val="clear" w:color="auto" w:fill="006B6B"/>
          </w:tcPr>
          <w:p>
            <w:pPr>
              <w:spacing w:after="40" w:before="40" w:line="240" w:lineRule="auto"/>
            </w:pPr>
            <w:r/>
            <w:r>
              <w:rPr>
                <w:rFonts w:ascii="Calibri" w:hAnsi="Calibri"/>
                <w:b/>
                <w:i w:val="0"/>
                <w:color w:val="FFFFFF"/>
                <w:sz w:val="17"/>
              </w:rPr>
              <w:t>Sample Values</w:t>
            </w:r>
          </w:p>
        </w:tc>
        <w:tc>
          <w:tcPr>
            <w:tcW w:type="dxa" w:w="4699"/>
            <w:shd w:val="clear" w:color="auto" w:fill="006B6B"/>
          </w:tcPr>
          <w:p>
            <w:pPr>
              <w:spacing w:after="40" w:before="40" w:line="240" w:lineRule="auto"/>
            </w:pPr>
            <w:r/>
            <w:r>
              <w:rPr>
                <w:rFonts w:ascii="Calibri" w:hAnsi="Calibri"/>
                <w:b/>
                <w:i w:val="0"/>
                <w:color w:val="FFFFFF"/>
                <w:sz w:val="17"/>
              </w:rPr>
              <w:t>Description</w:t>
            </w:r>
          </w:p>
        </w:tc>
      </w:tr>
      <w:tr>
        <w:tc>
          <w:tcPr>
            <w:tcW w:type="dxa" w:w="3009"/>
          </w:tcPr>
          <w:p>
            <w:pPr>
              <w:spacing w:after="40" w:before="40" w:line="240" w:lineRule="auto"/>
            </w:pPr>
            <w:r/>
            <w:r>
              <w:rPr>
                <w:rFonts w:ascii="Consolas" w:hAnsi="Consolas"/>
                <w:b w:val="0"/>
                <w:color w:val="1A1A1A"/>
                <w:sz w:val="17"/>
              </w:rPr>
              <w:t>customer_id</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20</w:t>
            </w:r>
          </w:p>
        </w:tc>
        <w:tc>
          <w:tcPr>
            <w:tcW w:type="dxa" w:w="1547"/>
          </w:tcPr>
          <w:p>
            <w:pPr>
              <w:spacing w:after="40" w:before="40" w:line="240" w:lineRule="auto"/>
            </w:pPr>
            <w:r/>
            <w:r>
              <w:rPr>
                <w:rFonts w:ascii="Calibri" w:hAnsi="Calibri"/>
                <w:b w:val="0"/>
                <w:i w:val="0"/>
                <w:color w:val="1A1A1A"/>
                <w:sz w:val="17"/>
              </w:rPr>
              <w:t>Mandatory</w:t>
            </w:r>
          </w:p>
        </w:tc>
        <w:tc>
          <w:tcPr>
            <w:tcW w:type="dxa" w:w="2436"/>
          </w:tcPr>
          <w:p>
            <w:pPr>
              <w:spacing w:after="40" w:before="40" w:line="240" w:lineRule="auto"/>
            </w:pPr>
            <w:r/>
            <w:r>
              <w:rPr>
                <w:rFonts w:ascii="Calibri" w:hAnsi="Calibri"/>
                <w:b w:val="0"/>
                <w:i w:val="0"/>
                <w:color w:val="1A1A1A"/>
                <w:sz w:val="17"/>
              </w:rPr>
              <w:t>CUST-88214</w:t>
            </w:r>
          </w:p>
        </w:tc>
        <w:tc>
          <w:tcPr>
            <w:tcW w:type="dxa" w:w="4699"/>
          </w:tcPr>
          <w:p>
            <w:pPr>
              <w:spacing w:after="40" w:before="40" w:line="240" w:lineRule="auto"/>
            </w:pPr>
            <w:r/>
            <w:r>
              <w:rPr>
                <w:rFonts w:ascii="Calibri" w:hAnsi="Calibri"/>
                <w:b w:val="0"/>
                <w:i w:val="0"/>
                <w:color w:val="1A1A1A"/>
                <w:sz w:val="17"/>
              </w:rPr>
              <w:t>Unique customer identifier.</w:t>
            </w:r>
          </w:p>
        </w:tc>
      </w:tr>
      <w:tr>
        <w:tc>
          <w:tcPr>
            <w:tcW w:type="dxa" w:w="3009"/>
            <w:shd w:val="clear" w:color="auto" w:fill="F2F4F4"/>
          </w:tcPr>
          <w:p>
            <w:pPr>
              <w:spacing w:after="40" w:before="40" w:line="240" w:lineRule="auto"/>
            </w:pPr>
            <w:r/>
            <w:r>
              <w:rPr>
                <w:rFonts w:ascii="Consolas" w:hAnsi="Consolas"/>
                <w:b w:val="0"/>
                <w:color w:val="1A1A1A"/>
                <w:sz w:val="17"/>
              </w:rPr>
              <w:t>consent_reference</w:t>
            </w:r>
          </w:p>
        </w:tc>
        <w:tc>
          <w:tcPr>
            <w:tcW w:type="dxa" w:w="1117"/>
            <w:shd w:val="clear" w:color="auto" w:fill="F2F4F4"/>
          </w:tcPr>
          <w:p>
            <w:pPr>
              <w:spacing w:after="40" w:before="40" w:line="240" w:lineRule="auto"/>
            </w:pPr>
            <w:r/>
            <w:r>
              <w:rPr>
                <w:rFonts w:ascii="Calibri" w:hAnsi="Calibri"/>
                <w:b w:val="0"/>
                <w:i w:val="0"/>
                <w:color w:val="1A1A1A"/>
                <w:sz w:val="17"/>
              </w:rPr>
              <w:t>String</w:t>
            </w:r>
          </w:p>
        </w:tc>
        <w:tc>
          <w:tcPr>
            <w:tcW w:type="dxa" w:w="1232"/>
            <w:shd w:val="clear" w:color="auto" w:fill="F2F4F4"/>
          </w:tcPr>
          <w:p>
            <w:pPr>
              <w:spacing w:after="40" w:before="40" w:line="240" w:lineRule="auto"/>
            </w:pPr>
            <w:r/>
            <w:r>
              <w:rPr>
                <w:rFonts w:ascii="Calibri" w:hAnsi="Calibri"/>
                <w:b w:val="0"/>
                <w:i w:val="0"/>
                <w:color w:val="1A1A1A"/>
                <w:sz w:val="17"/>
              </w:rPr>
              <w:t>50</w:t>
            </w:r>
          </w:p>
        </w:tc>
        <w:tc>
          <w:tcPr>
            <w:tcW w:type="dxa" w:w="1547"/>
            <w:shd w:val="clear" w:color="auto" w:fill="F2F4F4"/>
          </w:tcPr>
          <w:p>
            <w:pPr>
              <w:spacing w:after="40" w:before="40" w:line="240" w:lineRule="auto"/>
            </w:pPr>
            <w:r/>
            <w:r>
              <w:rPr>
                <w:rFonts w:ascii="Calibri" w:hAnsi="Calibri"/>
                <w:b w:val="0"/>
                <w:i w:val="0"/>
                <w:color w:val="1A1A1A"/>
                <w:sz w:val="17"/>
              </w:rPr>
              <w:t>Mandatory</w:t>
            </w:r>
          </w:p>
        </w:tc>
        <w:tc>
          <w:tcPr>
            <w:tcW w:type="dxa" w:w="2436"/>
            <w:shd w:val="clear" w:color="auto" w:fill="F2F4F4"/>
          </w:tcPr>
          <w:p>
            <w:pPr>
              <w:spacing w:after="40" w:before="40" w:line="240" w:lineRule="auto"/>
            </w:pPr>
            <w:r/>
            <w:r>
              <w:rPr>
                <w:rFonts w:ascii="Calibri" w:hAnsi="Calibri"/>
                <w:b w:val="0"/>
                <w:i w:val="0"/>
                <w:color w:val="1A1A1A"/>
                <w:sz w:val="17"/>
              </w:rPr>
              <w:t>CONS_MITRA_982731</w:t>
            </w:r>
          </w:p>
        </w:tc>
        <w:tc>
          <w:tcPr>
            <w:tcW w:type="dxa" w:w="4699"/>
            <w:shd w:val="clear" w:color="auto" w:fill="F2F4F4"/>
          </w:tcPr>
          <w:p>
            <w:pPr>
              <w:spacing w:after="40" w:before="40" w:line="240" w:lineRule="auto"/>
            </w:pPr>
            <w:r/>
            <w:r>
              <w:rPr>
                <w:rFonts w:ascii="Calibri" w:hAnsi="Calibri"/>
                <w:b w:val="0"/>
                <w:i w:val="0"/>
                <w:color w:val="1A1A1A"/>
                <w:sz w:val="17"/>
              </w:rPr>
              <w:t>Consent artefact reference.</w:t>
            </w:r>
          </w:p>
        </w:tc>
      </w:tr>
      <w:tr>
        <w:tc>
          <w:tcPr>
            <w:tcW w:type="dxa" w:w="3009"/>
          </w:tcPr>
          <w:p>
            <w:pPr>
              <w:spacing w:after="40" w:before="40" w:line="240" w:lineRule="auto"/>
            </w:pPr>
            <w:r/>
            <w:r>
              <w:rPr>
                <w:rFonts w:ascii="Consolas" w:hAnsi="Consolas"/>
                <w:b w:val="0"/>
                <w:color w:val="1A1A1A"/>
                <w:sz w:val="17"/>
              </w:rPr>
              <w:t>include_closed</w:t>
            </w:r>
          </w:p>
        </w:tc>
        <w:tc>
          <w:tcPr>
            <w:tcW w:type="dxa" w:w="1117"/>
          </w:tcPr>
          <w:p>
            <w:pPr>
              <w:spacing w:after="40" w:before="40" w:line="240" w:lineRule="auto"/>
            </w:pPr>
            <w:r/>
            <w:r>
              <w:rPr>
                <w:rFonts w:ascii="Calibri" w:hAnsi="Calibri"/>
                <w:b w:val="0"/>
                <w:i w:val="0"/>
                <w:color w:val="1A1A1A"/>
                <w:sz w:val="17"/>
              </w:rPr>
              <w:t>Boolean</w:t>
            </w:r>
          </w:p>
        </w:tc>
        <w:tc>
          <w:tcPr>
            <w:tcW w:type="dxa" w:w="1232"/>
          </w:tcPr>
          <w:p>
            <w:pPr>
              <w:spacing w:after="40" w:before="40" w:line="240" w:lineRule="auto"/>
            </w:pPr>
            <w:r/>
            <w:r>
              <w:rPr>
                <w:rFonts w:ascii="Calibri" w:hAnsi="Calibri"/>
                <w:b w:val="0"/>
                <w:i w:val="0"/>
                <w:color w:val="1A1A1A"/>
                <w:sz w:val="17"/>
              </w:rPr>
              <w:t>1</w:t>
            </w:r>
          </w:p>
        </w:tc>
        <w:tc>
          <w:tcPr>
            <w:tcW w:type="dxa" w:w="1547"/>
          </w:tcPr>
          <w:p>
            <w:pPr>
              <w:spacing w:after="40" w:before="40" w:line="240" w:lineRule="auto"/>
            </w:pPr>
            <w:r/>
            <w:r>
              <w:rPr>
                <w:rFonts w:ascii="Calibri" w:hAnsi="Calibri"/>
                <w:b w:val="0"/>
                <w:i w:val="0"/>
                <w:color w:val="1A1A1A"/>
                <w:sz w:val="17"/>
              </w:rPr>
              <w:t>Optional</w:t>
            </w:r>
          </w:p>
        </w:tc>
        <w:tc>
          <w:tcPr>
            <w:tcW w:type="dxa" w:w="2436"/>
          </w:tcPr>
          <w:p>
            <w:pPr>
              <w:spacing w:after="40" w:before="40" w:line="240" w:lineRule="auto"/>
            </w:pPr>
            <w:r/>
            <w:r>
              <w:rPr>
                <w:rFonts w:ascii="Calibri" w:hAnsi="Calibri"/>
                <w:b w:val="0"/>
                <w:i w:val="0"/>
                <w:color w:val="1A1A1A"/>
                <w:sz w:val="17"/>
              </w:rPr>
              <w:t>false</w:t>
            </w:r>
          </w:p>
        </w:tc>
        <w:tc>
          <w:tcPr>
            <w:tcW w:type="dxa" w:w="4699"/>
          </w:tcPr>
          <w:p>
            <w:pPr>
              <w:spacing w:after="40" w:before="40" w:line="240" w:lineRule="auto"/>
            </w:pPr>
            <w:r/>
            <w:r>
              <w:rPr>
                <w:rFonts w:ascii="Calibri" w:hAnsi="Calibri"/>
                <w:b w:val="0"/>
                <w:i w:val="0"/>
                <w:color w:val="1A1A1A"/>
                <w:sz w:val="17"/>
              </w:rPr>
              <w:t>Whether to include settled liabilities. Defaults to false.</w:t>
            </w:r>
          </w:p>
        </w:tc>
      </w:tr>
    </w:tbl>
    <w:p>
      <w:pPr>
        <w:spacing w:after="40"/>
      </w:pPr>
    </w:p>
    <w:p>
      <w:pPr>
        <w:spacing w:before="180" w:after="60"/>
      </w:pPr>
      <w:r>
        <w:rPr>
          <w:b/>
          <w:color w:val="1A1A1A"/>
          <w:sz w:val="21"/>
        </w:rPr>
        <w:t>8.2  API Response (repeating block, one per liability)</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liability_id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30</w:t>
            </w:r>
          </w:p>
        </w:tc>
        <w:tc>
          <w:tcPr>
            <w:tcW w:type="dxa" w:w="2563"/>
          </w:tcPr>
          <w:p>
            <w:pPr>
              <w:spacing w:after="40" w:before="40" w:line="240" w:lineRule="auto"/>
            </w:pPr>
            <w:r/>
            <w:r>
              <w:rPr>
                <w:rFonts w:ascii="Calibri" w:hAnsi="Calibri"/>
                <w:b w:val="0"/>
                <w:i w:val="0"/>
                <w:color w:val="1A1A1A"/>
                <w:sz w:val="17"/>
              </w:rPr>
              <w:t>LIA_01J8X2P4</w:t>
            </w:r>
          </w:p>
        </w:tc>
        <w:tc>
          <w:tcPr>
            <w:tcW w:type="dxa" w:w="5947"/>
          </w:tcPr>
          <w:p>
            <w:pPr>
              <w:spacing w:after="40" w:before="40" w:line="240" w:lineRule="auto"/>
            </w:pPr>
            <w:r/>
            <w:r>
              <w:rPr>
                <w:rFonts w:ascii="Calibri" w:hAnsi="Calibri"/>
                <w:b w:val="0"/>
                <w:i w:val="0"/>
                <w:color w:val="1A1A1A"/>
                <w:sz w:val="17"/>
              </w:rPr>
              <w:t>Unique liability identifier.</w:t>
            </w:r>
          </w:p>
        </w:tc>
      </w:tr>
      <w:tr>
        <w:tc>
          <w:tcPr>
            <w:tcW w:type="dxa" w:w="3168"/>
            <w:shd w:val="clear" w:color="auto" w:fill="F2F4F4"/>
          </w:tcPr>
          <w:p>
            <w:pPr>
              <w:spacing w:after="40" w:before="40" w:line="240" w:lineRule="auto"/>
            </w:pPr>
            <w:r/>
            <w:r>
              <w:rPr>
                <w:rFonts w:ascii="Consolas" w:hAnsi="Consolas"/>
                <w:b w:val="0"/>
                <w:color w:val="1A1A1A"/>
                <w:sz w:val="17"/>
              </w:rPr>
              <w:t>liability_type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25</w:t>
            </w:r>
          </w:p>
        </w:tc>
        <w:tc>
          <w:tcPr>
            <w:tcW w:type="dxa" w:w="2563"/>
            <w:shd w:val="clear" w:color="auto" w:fill="F2F4F4"/>
          </w:tcPr>
          <w:p>
            <w:pPr>
              <w:spacing w:after="40" w:before="40" w:line="240" w:lineRule="auto"/>
            </w:pPr>
            <w:r/>
            <w:r>
              <w:rPr>
                <w:rFonts w:ascii="Calibri" w:hAnsi="Calibri"/>
                <w:b w:val="0"/>
                <w:i w:val="0"/>
                <w:color w:val="1A1A1A"/>
                <w:sz w:val="17"/>
              </w:rPr>
              <w:t>EDUCATION_LOAN</w:t>
            </w:r>
          </w:p>
        </w:tc>
        <w:tc>
          <w:tcPr>
            <w:tcW w:type="dxa" w:w="5947"/>
            <w:shd w:val="clear" w:color="auto" w:fill="F2F4F4"/>
          </w:tcPr>
          <w:p>
            <w:pPr>
              <w:spacing w:after="40" w:before="40" w:line="240" w:lineRule="auto"/>
            </w:pPr>
            <w:r/>
            <w:r>
              <w:rPr>
                <w:rFonts w:ascii="Calibri" w:hAnsi="Calibri"/>
                <w:b w:val="0"/>
                <w:i w:val="0"/>
                <w:color w:val="1A1A1A"/>
                <w:sz w:val="17"/>
              </w:rPr>
              <w:t>HOME_LOAN, EDUCATION_LOAN, PERSONAL_LOAN, VEHICLE_LOAN, BUSINESS_LOAN, GOLD_LOAN or CREDIT_CARD.</w:t>
            </w:r>
          </w:p>
        </w:tc>
      </w:tr>
      <w:tr>
        <w:tc>
          <w:tcPr>
            <w:tcW w:type="dxa" w:w="3168"/>
          </w:tcPr>
          <w:p>
            <w:pPr>
              <w:spacing w:after="40" w:before="40" w:line="240" w:lineRule="auto"/>
            </w:pPr>
            <w:r/>
            <w:r>
              <w:rPr>
                <w:rFonts w:ascii="Consolas" w:hAnsi="Consolas"/>
                <w:b w:val="0"/>
                <w:color w:val="1A1A1A"/>
                <w:sz w:val="17"/>
              </w:rPr>
              <w:t>lender_name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100</w:t>
            </w:r>
          </w:p>
        </w:tc>
        <w:tc>
          <w:tcPr>
            <w:tcW w:type="dxa" w:w="2563"/>
          </w:tcPr>
          <w:p>
            <w:pPr>
              <w:spacing w:after="40" w:before="40" w:line="240" w:lineRule="auto"/>
            </w:pPr>
            <w:r/>
            <w:r>
              <w:rPr>
                <w:rFonts w:ascii="Calibri" w:hAnsi="Calibri"/>
                <w:b w:val="0"/>
                <w:i w:val="0"/>
                <w:color w:val="1A1A1A"/>
                <w:sz w:val="17"/>
              </w:rPr>
              <w:t>IDBI Bank</w:t>
            </w:r>
          </w:p>
        </w:tc>
        <w:tc>
          <w:tcPr>
            <w:tcW w:type="dxa" w:w="5947"/>
          </w:tcPr>
          <w:p>
            <w:pPr>
              <w:spacing w:after="40" w:before="40" w:line="240" w:lineRule="auto"/>
            </w:pPr>
            <w:r/>
            <w:r>
              <w:rPr>
                <w:rFonts w:ascii="Calibri" w:hAnsi="Calibri"/>
                <w:b w:val="0"/>
                <w:i w:val="0"/>
                <w:color w:val="1A1A1A"/>
                <w:sz w:val="17"/>
              </w:rPr>
              <w:t>Lending institution.</w:t>
            </w:r>
          </w:p>
        </w:tc>
      </w:tr>
      <w:tr>
        <w:tc>
          <w:tcPr>
            <w:tcW w:type="dxa" w:w="3168"/>
            <w:shd w:val="clear" w:color="auto" w:fill="F2F4F4"/>
          </w:tcPr>
          <w:p>
            <w:pPr>
              <w:spacing w:after="40" w:before="40" w:line="240" w:lineRule="auto"/>
            </w:pPr>
            <w:r/>
            <w:r>
              <w:rPr>
                <w:rFonts w:ascii="Consolas" w:hAnsi="Consolas"/>
                <w:b w:val="0"/>
                <w:color w:val="1A1A1A"/>
                <w:sz w:val="17"/>
              </w:rPr>
              <w:t>account_number_masked</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20</w:t>
            </w:r>
          </w:p>
        </w:tc>
        <w:tc>
          <w:tcPr>
            <w:tcW w:type="dxa" w:w="2563"/>
            <w:shd w:val="clear" w:color="auto" w:fill="F2F4F4"/>
          </w:tcPr>
          <w:p>
            <w:pPr>
              <w:spacing w:after="40" w:before="40" w:line="240" w:lineRule="auto"/>
            </w:pPr>
            <w:r/>
            <w:r>
              <w:rPr>
                <w:rFonts w:ascii="Calibri" w:hAnsi="Calibri"/>
                <w:b w:val="0"/>
                <w:i w:val="0"/>
                <w:color w:val="1A1A1A"/>
                <w:sz w:val="17"/>
              </w:rPr>
              <w:t>****9921</w:t>
            </w:r>
          </w:p>
        </w:tc>
        <w:tc>
          <w:tcPr>
            <w:tcW w:type="dxa" w:w="5947"/>
            <w:shd w:val="clear" w:color="auto" w:fill="F2F4F4"/>
          </w:tcPr>
          <w:p>
            <w:pPr>
              <w:spacing w:after="40" w:before="40" w:line="240" w:lineRule="auto"/>
            </w:pPr>
            <w:r/>
            <w:r>
              <w:rPr>
                <w:rFonts w:ascii="Calibri" w:hAnsi="Calibri"/>
                <w:b w:val="0"/>
                <w:i w:val="0"/>
                <w:color w:val="1A1A1A"/>
                <w:sz w:val="17"/>
              </w:rPr>
              <w:t>Masked loan account number.</w:t>
            </w:r>
          </w:p>
        </w:tc>
      </w:tr>
      <w:tr>
        <w:tc>
          <w:tcPr>
            <w:tcW w:type="dxa" w:w="3168"/>
          </w:tcPr>
          <w:p>
            <w:pPr>
              <w:spacing w:after="40" w:before="40" w:line="240" w:lineRule="auto"/>
            </w:pPr>
            <w:r/>
            <w:r>
              <w:rPr>
                <w:rFonts w:ascii="Consolas" w:hAnsi="Consolas"/>
                <w:b w:val="0"/>
                <w:color w:val="1A1A1A"/>
                <w:sz w:val="17"/>
              </w:rPr>
              <w:t>sanctioned_amount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400000.00</w:t>
            </w:r>
          </w:p>
        </w:tc>
        <w:tc>
          <w:tcPr>
            <w:tcW w:type="dxa" w:w="5947"/>
          </w:tcPr>
          <w:p>
            <w:pPr>
              <w:spacing w:after="40" w:before="40" w:line="240" w:lineRule="auto"/>
            </w:pPr>
            <w:r/>
            <w:r>
              <w:rPr>
                <w:rFonts w:ascii="Calibri" w:hAnsi="Calibri"/>
                <w:b w:val="0"/>
                <w:i w:val="0"/>
                <w:color w:val="1A1A1A"/>
                <w:sz w:val="17"/>
              </w:rPr>
              <w:t>Original sanctioned amount.</w:t>
            </w:r>
          </w:p>
        </w:tc>
      </w:tr>
      <w:tr>
        <w:tc>
          <w:tcPr>
            <w:tcW w:type="dxa" w:w="3168"/>
            <w:shd w:val="clear" w:color="auto" w:fill="F2F4F4"/>
          </w:tcPr>
          <w:p>
            <w:pPr>
              <w:spacing w:after="40" w:before="40" w:line="240" w:lineRule="auto"/>
            </w:pPr>
            <w:r/>
            <w:r>
              <w:rPr>
                <w:rFonts w:ascii="Consolas" w:hAnsi="Consolas"/>
                <w:b w:val="0"/>
                <w:color w:val="1A1A1A"/>
                <w:sz w:val="17"/>
              </w:rPr>
              <w:t>outstanding_amount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180000.00</w:t>
            </w:r>
          </w:p>
        </w:tc>
        <w:tc>
          <w:tcPr>
            <w:tcW w:type="dxa" w:w="5947"/>
            <w:shd w:val="clear" w:color="auto" w:fill="F2F4F4"/>
          </w:tcPr>
          <w:p>
            <w:pPr>
              <w:spacing w:after="40" w:before="40" w:line="240" w:lineRule="auto"/>
            </w:pPr>
            <w:r/>
            <w:r>
              <w:rPr>
                <w:rFonts w:ascii="Calibri" w:hAnsi="Calibri"/>
                <w:b w:val="0"/>
                <w:i w:val="0"/>
                <w:color w:val="1A1A1A"/>
                <w:sz w:val="17"/>
              </w:rPr>
              <w:t>Current principal outstanding.</w:t>
            </w:r>
          </w:p>
        </w:tc>
      </w:tr>
      <w:tr>
        <w:tc>
          <w:tcPr>
            <w:tcW w:type="dxa" w:w="3168"/>
          </w:tcPr>
          <w:p>
            <w:pPr>
              <w:spacing w:after="40" w:before="40" w:line="240" w:lineRule="auto"/>
            </w:pPr>
            <w:r/>
            <w:r>
              <w:rPr>
                <w:rFonts w:ascii="Consolas" w:hAnsi="Consolas"/>
                <w:b w:val="0"/>
                <w:color w:val="1A1A1A"/>
                <w:sz w:val="17"/>
              </w:rPr>
              <w:t>interest_rate_pct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5,2</w:t>
            </w:r>
          </w:p>
        </w:tc>
        <w:tc>
          <w:tcPr>
            <w:tcW w:type="dxa" w:w="2563"/>
          </w:tcPr>
          <w:p>
            <w:pPr>
              <w:spacing w:after="40" w:before="40" w:line="240" w:lineRule="auto"/>
            </w:pPr>
            <w:r/>
            <w:r>
              <w:rPr>
                <w:rFonts w:ascii="Calibri" w:hAnsi="Calibri"/>
                <w:b w:val="0"/>
                <w:i w:val="0"/>
                <w:color w:val="1A1A1A"/>
                <w:sz w:val="17"/>
              </w:rPr>
              <w:t>10.50</w:t>
            </w:r>
          </w:p>
        </w:tc>
        <w:tc>
          <w:tcPr>
            <w:tcW w:type="dxa" w:w="5947"/>
          </w:tcPr>
          <w:p>
            <w:pPr>
              <w:spacing w:after="40" w:before="40" w:line="240" w:lineRule="auto"/>
            </w:pPr>
            <w:r/>
            <w:r>
              <w:rPr>
                <w:rFonts w:ascii="Calibri" w:hAnsi="Calibri"/>
                <w:b w:val="0"/>
                <w:i w:val="0"/>
                <w:color w:val="1A1A1A"/>
                <w:sz w:val="17"/>
              </w:rPr>
              <w:t>Current annual rate. Compared against expected portfolio return in the prepay-versus-invest calculation.</w:t>
            </w:r>
          </w:p>
        </w:tc>
      </w:tr>
      <w:tr>
        <w:tc>
          <w:tcPr>
            <w:tcW w:type="dxa" w:w="3168"/>
            <w:shd w:val="clear" w:color="auto" w:fill="F2F4F4"/>
          </w:tcPr>
          <w:p>
            <w:pPr>
              <w:spacing w:after="40" w:before="40" w:line="240" w:lineRule="auto"/>
            </w:pPr>
            <w:r/>
            <w:r>
              <w:rPr>
                <w:rFonts w:ascii="Consolas" w:hAnsi="Consolas"/>
                <w:b w:val="0"/>
                <w:color w:val="1A1A1A"/>
                <w:sz w:val="17"/>
              </w:rPr>
              <w:t>rate_type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FLOATING</w:t>
            </w:r>
          </w:p>
        </w:tc>
        <w:tc>
          <w:tcPr>
            <w:tcW w:type="dxa" w:w="5947"/>
            <w:shd w:val="clear" w:color="auto" w:fill="F2F4F4"/>
          </w:tcPr>
          <w:p>
            <w:pPr>
              <w:spacing w:after="40" w:before="40" w:line="240" w:lineRule="auto"/>
            </w:pPr>
            <w:r/>
            <w:r>
              <w:rPr>
                <w:rFonts w:ascii="Calibri" w:hAnsi="Calibri"/>
                <w:b w:val="0"/>
                <w:i w:val="0"/>
                <w:color w:val="1A1A1A"/>
                <w:sz w:val="17"/>
              </w:rPr>
              <w:t>FIXED or FLOATING. A floating rate widens the projection band accordingly.</w:t>
            </w:r>
          </w:p>
        </w:tc>
      </w:tr>
      <w:tr>
        <w:tc>
          <w:tcPr>
            <w:tcW w:type="dxa" w:w="3168"/>
          </w:tcPr>
          <w:p>
            <w:pPr>
              <w:spacing w:after="40" w:before="40" w:line="240" w:lineRule="auto"/>
            </w:pPr>
            <w:r/>
            <w:r>
              <w:rPr>
                <w:rFonts w:ascii="Consolas" w:hAnsi="Consolas"/>
                <w:b w:val="0"/>
                <w:color w:val="1A1A1A"/>
                <w:sz w:val="17"/>
              </w:rPr>
              <w:t>emi_amount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8352.00</w:t>
            </w:r>
          </w:p>
        </w:tc>
        <w:tc>
          <w:tcPr>
            <w:tcW w:type="dxa" w:w="5947"/>
          </w:tcPr>
          <w:p>
            <w:pPr>
              <w:spacing w:after="40" w:before="40" w:line="240" w:lineRule="auto"/>
            </w:pPr>
            <w:r/>
            <w:r>
              <w:rPr>
                <w:rFonts w:ascii="Calibri" w:hAnsi="Calibri"/>
                <w:b w:val="0"/>
                <w:i w:val="0"/>
                <w:color w:val="1A1A1A"/>
                <w:sz w:val="17"/>
              </w:rPr>
              <w:t>Contracted monthly instalment.</w:t>
            </w:r>
          </w:p>
        </w:tc>
      </w:tr>
      <w:tr>
        <w:tc>
          <w:tcPr>
            <w:tcW w:type="dxa" w:w="3168"/>
            <w:shd w:val="clear" w:color="auto" w:fill="F2F4F4"/>
          </w:tcPr>
          <w:p>
            <w:pPr>
              <w:spacing w:after="40" w:before="40" w:line="240" w:lineRule="auto"/>
            </w:pPr>
            <w:r/>
            <w:r>
              <w:rPr>
                <w:rFonts w:ascii="Consolas" w:hAnsi="Consolas"/>
                <w:b w:val="0"/>
                <w:color w:val="1A1A1A"/>
                <w:sz w:val="17"/>
              </w:rPr>
              <w:t>emi_due_day</w:t>
            </w:r>
          </w:p>
        </w:tc>
        <w:tc>
          <w:tcPr>
            <w:tcW w:type="dxa" w:w="1123"/>
            <w:shd w:val="clear" w:color="auto" w:fill="F2F4F4"/>
          </w:tcPr>
          <w:p>
            <w:pPr>
              <w:spacing w:after="40" w:before="40" w:line="240" w:lineRule="auto"/>
            </w:pPr>
            <w:r/>
            <w:r>
              <w:rPr>
                <w:rFonts w:ascii="Calibri" w:hAnsi="Calibri"/>
                <w:b w:val="0"/>
                <w:i w:val="0"/>
                <w:color w:val="1A1A1A"/>
                <w:sz w:val="17"/>
              </w:rPr>
              <w:t>Integer</w:t>
            </w:r>
          </w:p>
        </w:tc>
        <w:tc>
          <w:tcPr>
            <w:tcW w:type="dxa" w:w="1238"/>
            <w:shd w:val="clear" w:color="auto" w:fill="F2F4F4"/>
          </w:tcPr>
          <w:p>
            <w:pPr>
              <w:spacing w:after="40" w:before="40" w:line="240" w:lineRule="auto"/>
            </w:pPr>
            <w:r/>
            <w:r>
              <w:rPr>
                <w:rFonts w:ascii="Calibri" w:hAnsi="Calibri"/>
                <w:b w:val="0"/>
                <w:i w:val="0"/>
                <w:color w:val="1A1A1A"/>
                <w:sz w:val="17"/>
              </w:rPr>
              <w:t>2</w:t>
            </w:r>
          </w:p>
        </w:tc>
        <w:tc>
          <w:tcPr>
            <w:tcW w:type="dxa" w:w="2563"/>
            <w:shd w:val="clear" w:color="auto" w:fill="F2F4F4"/>
          </w:tcPr>
          <w:p>
            <w:pPr>
              <w:spacing w:after="40" w:before="40" w:line="240" w:lineRule="auto"/>
            </w:pPr>
            <w:r/>
            <w:r>
              <w:rPr>
                <w:rFonts w:ascii="Calibri" w:hAnsi="Calibri"/>
                <w:b w:val="0"/>
                <w:i w:val="0"/>
                <w:color w:val="1A1A1A"/>
                <w:sz w:val="17"/>
              </w:rPr>
              <w:t>5</w:t>
            </w:r>
          </w:p>
        </w:tc>
        <w:tc>
          <w:tcPr>
            <w:tcW w:type="dxa" w:w="5947"/>
            <w:shd w:val="clear" w:color="auto" w:fill="F2F4F4"/>
          </w:tcPr>
          <w:p>
            <w:pPr>
              <w:spacing w:after="40" w:before="40" w:line="240" w:lineRule="auto"/>
            </w:pPr>
            <w:r/>
            <w:r>
              <w:rPr>
                <w:rFonts w:ascii="Calibri" w:hAnsi="Calibri"/>
                <w:b w:val="0"/>
                <w:i w:val="0"/>
                <w:color w:val="1A1A1A"/>
                <w:sz w:val="17"/>
              </w:rPr>
              <w:t>Day of month the instalment is debited. Used for cashflow timing advice.</w:t>
            </w:r>
          </w:p>
        </w:tc>
      </w:tr>
      <w:tr>
        <w:tc>
          <w:tcPr>
            <w:tcW w:type="dxa" w:w="3168"/>
          </w:tcPr>
          <w:p>
            <w:pPr>
              <w:spacing w:after="40" w:before="40" w:line="240" w:lineRule="auto"/>
            </w:pPr>
            <w:r/>
            <w:r>
              <w:rPr>
                <w:rFonts w:ascii="Consolas" w:hAnsi="Consolas"/>
                <w:b w:val="0"/>
                <w:color w:val="1A1A1A"/>
                <w:sz w:val="17"/>
              </w:rPr>
              <w:t>tenure_months_total</w:t>
            </w:r>
          </w:p>
        </w:tc>
        <w:tc>
          <w:tcPr>
            <w:tcW w:type="dxa" w:w="1123"/>
          </w:tcPr>
          <w:p>
            <w:pPr>
              <w:spacing w:after="40" w:before="40" w:line="240" w:lineRule="auto"/>
            </w:pPr>
            <w:r/>
            <w:r>
              <w:rPr>
                <w:rFonts w:ascii="Calibri" w:hAnsi="Calibri"/>
                <w:b w:val="0"/>
                <w:i w:val="0"/>
                <w:color w:val="1A1A1A"/>
                <w:sz w:val="17"/>
              </w:rPr>
              <w:t>Integer</w:t>
            </w:r>
          </w:p>
        </w:tc>
        <w:tc>
          <w:tcPr>
            <w:tcW w:type="dxa" w:w="1238"/>
          </w:tcPr>
          <w:p>
            <w:pPr>
              <w:spacing w:after="40" w:before="40" w:line="240" w:lineRule="auto"/>
            </w:pPr>
            <w:r/>
            <w:r>
              <w:rPr>
                <w:rFonts w:ascii="Calibri" w:hAnsi="Calibri"/>
                <w:b w:val="0"/>
                <w:i w:val="0"/>
                <w:color w:val="1A1A1A"/>
                <w:sz w:val="17"/>
              </w:rPr>
              <w:t>3</w:t>
            </w:r>
          </w:p>
        </w:tc>
        <w:tc>
          <w:tcPr>
            <w:tcW w:type="dxa" w:w="2563"/>
          </w:tcPr>
          <w:p>
            <w:pPr>
              <w:spacing w:after="40" w:before="40" w:line="240" w:lineRule="auto"/>
            </w:pPr>
            <w:r/>
            <w:r>
              <w:rPr>
                <w:rFonts w:ascii="Calibri" w:hAnsi="Calibri"/>
                <w:b w:val="0"/>
                <w:i w:val="0"/>
                <w:color w:val="1A1A1A"/>
                <w:sz w:val="17"/>
              </w:rPr>
              <w:t>60</w:t>
            </w:r>
          </w:p>
        </w:tc>
        <w:tc>
          <w:tcPr>
            <w:tcW w:type="dxa" w:w="5947"/>
          </w:tcPr>
          <w:p>
            <w:pPr>
              <w:spacing w:after="40" w:before="40" w:line="240" w:lineRule="auto"/>
            </w:pPr>
            <w:r/>
            <w:r>
              <w:rPr>
                <w:rFonts w:ascii="Calibri" w:hAnsi="Calibri"/>
                <w:b w:val="0"/>
                <w:i w:val="0"/>
                <w:color w:val="1A1A1A"/>
                <w:sz w:val="17"/>
              </w:rPr>
              <w:t>Original tenure in months.</w:t>
            </w:r>
          </w:p>
        </w:tc>
      </w:tr>
      <w:tr>
        <w:tc>
          <w:tcPr>
            <w:tcW w:type="dxa" w:w="3168"/>
            <w:shd w:val="clear" w:color="auto" w:fill="F2F4F4"/>
          </w:tcPr>
          <w:p>
            <w:pPr>
              <w:spacing w:after="40" w:before="40" w:line="240" w:lineRule="auto"/>
            </w:pPr>
            <w:r/>
            <w:r>
              <w:rPr>
                <w:rFonts w:ascii="Consolas" w:hAnsi="Consolas"/>
                <w:b w:val="0"/>
                <w:color w:val="1A1A1A"/>
                <w:sz w:val="17"/>
              </w:rPr>
              <w:t>tenure_months_remaining</w:t>
            </w:r>
          </w:p>
        </w:tc>
        <w:tc>
          <w:tcPr>
            <w:tcW w:type="dxa" w:w="1123"/>
            <w:shd w:val="clear" w:color="auto" w:fill="F2F4F4"/>
          </w:tcPr>
          <w:p>
            <w:pPr>
              <w:spacing w:after="40" w:before="40" w:line="240" w:lineRule="auto"/>
            </w:pPr>
            <w:r/>
            <w:r>
              <w:rPr>
                <w:rFonts w:ascii="Calibri" w:hAnsi="Calibri"/>
                <w:b w:val="0"/>
                <w:i w:val="0"/>
                <w:color w:val="1A1A1A"/>
                <w:sz w:val="17"/>
              </w:rPr>
              <w:t>Integer</w:t>
            </w:r>
          </w:p>
        </w:tc>
        <w:tc>
          <w:tcPr>
            <w:tcW w:type="dxa" w:w="1238"/>
            <w:shd w:val="clear" w:color="auto" w:fill="F2F4F4"/>
          </w:tcPr>
          <w:p>
            <w:pPr>
              <w:spacing w:after="40" w:before="40" w:line="240" w:lineRule="auto"/>
            </w:pPr>
            <w:r/>
            <w:r>
              <w:rPr>
                <w:rFonts w:ascii="Calibri" w:hAnsi="Calibri"/>
                <w:b w:val="0"/>
                <w:i w:val="0"/>
                <w:color w:val="1A1A1A"/>
                <w:sz w:val="17"/>
              </w:rPr>
              <w:t>3</w:t>
            </w:r>
          </w:p>
        </w:tc>
        <w:tc>
          <w:tcPr>
            <w:tcW w:type="dxa" w:w="2563"/>
            <w:shd w:val="clear" w:color="auto" w:fill="F2F4F4"/>
          </w:tcPr>
          <w:p>
            <w:pPr>
              <w:spacing w:after="40" w:before="40" w:line="240" w:lineRule="auto"/>
            </w:pPr>
            <w:r/>
            <w:r>
              <w:rPr>
                <w:rFonts w:ascii="Calibri" w:hAnsi="Calibri"/>
                <w:b w:val="0"/>
                <w:i w:val="0"/>
                <w:color w:val="1A1A1A"/>
                <w:sz w:val="17"/>
              </w:rPr>
              <w:t>24</w:t>
            </w:r>
          </w:p>
        </w:tc>
        <w:tc>
          <w:tcPr>
            <w:tcW w:type="dxa" w:w="5947"/>
            <w:shd w:val="clear" w:color="auto" w:fill="F2F4F4"/>
          </w:tcPr>
          <w:p>
            <w:pPr>
              <w:spacing w:after="40" w:before="40" w:line="240" w:lineRule="auto"/>
            </w:pPr>
            <w:r/>
            <w:r>
              <w:rPr>
                <w:rFonts w:ascii="Calibri" w:hAnsi="Calibri"/>
                <w:b w:val="0"/>
                <w:i w:val="0"/>
                <w:color w:val="1A1A1A"/>
                <w:sz w:val="17"/>
              </w:rPr>
              <w:t>Remaining tenure in months.</w:t>
            </w:r>
          </w:p>
        </w:tc>
      </w:tr>
      <w:tr>
        <w:tc>
          <w:tcPr>
            <w:tcW w:type="dxa" w:w="3168"/>
          </w:tcPr>
          <w:p>
            <w:pPr>
              <w:spacing w:after="40" w:before="40" w:line="240" w:lineRule="auto"/>
            </w:pPr>
            <w:r/>
            <w:r>
              <w:rPr>
                <w:rFonts w:ascii="Consolas" w:hAnsi="Consolas"/>
                <w:b w:val="0"/>
                <w:color w:val="1A1A1A"/>
                <w:sz w:val="17"/>
              </w:rPr>
              <w:t>next_due_date</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05-09-26</w:t>
            </w:r>
          </w:p>
        </w:tc>
        <w:tc>
          <w:tcPr>
            <w:tcW w:type="dxa" w:w="5947"/>
          </w:tcPr>
          <w:p>
            <w:pPr>
              <w:spacing w:after="40" w:before="40" w:line="240" w:lineRule="auto"/>
            </w:pPr>
            <w:r/>
            <w:r>
              <w:rPr>
                <w:rFonts w:ascii="Calibri" w:hAnsi="Calibri"/>
                <w:b w:val="0"/>
                <w:i w:val="0"/>
                <w:color w:val="1A1A1A"/>
                <w:sz w:val="17"/>
              </w:rPr>
              <w:t>Next instalment date.</w:t>
            </w:r>
          </w:p>
        </w:tc>
      </w:tr>
      <w:tr>
        <w:tc>
          <w:tcPr>
            <w:tcW w:type="dxa" w:w="3168"/>
            <w:shd w:val="clear" w:color="auto" w:fill="F2F4F4"/>
          </w:tcPr>
          <w:p>
            <w:pPr>
              <w:spacing w:after="40" w:before="40" w:line="240" w:lineRule="auto"/>
            </w:pPr>
            <w:r/>
            <w:r>
              <w:rPr>
                <w:rFonts w:ascii="Consolas" w:hAnsi="Consolas"/>
                <w:b w:val="0"/>
                <w:color w:val="1A1A1A"/>
                <w:sz w:val="17"/>
              </w:rPr>
              <w:t>overdue_amount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0.00</w:t>
            </w:r>
          </w:p>
        </w:tc>
        <w:tc>
          <w:tcPr>
            <w:tcW w:type="dxa" w:w="5947"/>
            <w:shd w:val="clear" w:color="auto" w:fill="F2F4F4"/>
          </w:tcPr>
          <w:p>
            <w:pPr>
              <w:spacing w:after="40" w:before="40" w:line="240" w:lineRule="auto"/>
            </w:pPr>
            <w:r/>
            <w:r>
              <w:rPr>
                <w:rFonts w:ascii="Calibri" w:hAnsi="Calibri"/>
                <w:b w:val="0"/>
                <w:i w:val="0"/>
                <w:color w:val="1A1A1A"/>
                <w:sz w:val="17"/>
              </w:rPr>
              <w:t>Amount currently overdue. Any non-zero value suppresses all investment advice in favour of arrears guidance.</w:t>
            </w:r>
          </w:p>
        </w:tc>
      </w:tr>
      <w:tr>
        <w:tc>
          <w:tcPr>
            <w:tcW w:type="dxa" w:w="3168"/>
          </w:tcPr>
          <w:p>
            <w:pPr>
              <w:spacing w:after="40" w:before="40" w:line="240" w:lineRule="auto"/>
            </w:pPr>
            <w:r/>
            <w:r>
              <w:rPr>
                <w:rFonts w:ascii="Consolas" w:hAnsi="Consolas"/>
                <w:b w:val="0"/>
                <w:color w:val="1A1A1A"/>
                <w:sz w:val="17"/>
              </w:rPr>
              <w:t>dpd_count_12m</w:t>
            </w:r>
          </w:p>
        </w:tc>
        <w:tc>
          <w:tcPr>
            <w:tcW w:type="dxa" w:w="1123"/>
          </w:tcPr>
          <w:p>
            <w:pPr>
              <w:spacing w:after="40" w:before="40" w:line="240" w:lineRule="auto"/>
            </w:pPr>
            <w:r/>
            <w:r>
              <w:rPr>
                <w:rFonts w:ascii="Calibri" w:hAnsi="Calibri"/>
                <w:b w:val="0"/>
                <w:i w:val="0"/>
                <w:color w:val="1A1A1A"/>
                <w:sz w:val="17"/>
              </w:rPr>
              <w:t>Integer</w:t>
            </w:r>
          </w:p>
        </w:tc>
        <w:tc>
          <w:tcPr>
            <w:tcW w:type="dxa" w:w="1238"/>
          </w:tcPr>
          <w:p>
            <w:pPr>
              <w:spacing w:after="40" w:before="40" w:line="240" w:lineRule="auto"/>
            </w:pPr>
            <w:r/>
            <w:r>
              <w:rPr>
                <w:rFonts w:ascii="Calibri" w:hAnsi="Calibri"/>
                <w:b w:val="0"/>
                <w:i w:val="0"/>
                <w:color w:val="1A1A1A"/>
                <w:sz w:val="17"/>
              </w:rPr>
              <w:t>3</w:t>
            </w:r>
          </w:p>
        </w:tc>
        <w:tc>
          <w:tcPr>
            <w:tcW w:type="dxa" w:w="2563"/>
          </w:tcPr>
          <w:p>
            <w:pPr>
              <w:spacing w:after="40" w:before="40" w:line="240" w:lineRule="auto"/>
            </w:pPr>
            <w:r/>
            <w:r>
              <w:rPr>
                <w:rFonts w:ascii="Calibri" w:hAnsi="Calibri"/>
                <w:b w:val="0"/>
                <w:i w:val="0"/>
                <w:color w:val="1A1A1A"/>
                <w:sz w:val="17"/>
              </w:rPr>
              <w:t>0</w:t>
            </w:r>
          </w:p>
        </w:tc>
        <w:tc>
          <w:tcPr>
            <w:tcW w:type="dxa" w:w="5947"/>
          </w:tcPr>
          <w:p>
            <w:pPr>
              <w:spacing w:after="40" w:before="40" w:line="240" w:lineRule="auto"/>
            </w:pPr>
            <w:r/>
            <w:r>
              <w:rPr>
                <w:rFonts w:ascii="Calibri" w:hAnsi="Calibri"/>
                <w:b w:val="0"/>
                <w:i w:val="0"/>
                <w:color w:val="1A1A1A"/>
                <w:sz w:val="17"/>
              </w:rPr>
              <w:t>Engineered. Count of days-past-due events in the trailing 12 months.</w:t>
            </w:r>
          </w:p>
        </w:tc>
      </w:tr>
      <w:tr>
        <w:tc>
          <w:tcPr>
            <w:tcW w:type="dxa" w:w="3168"/>
            <w:shd w:val="clear" w:color="auto" w:fill="F2F4F4"/>
          </w:tcPr>
          <w:p>
            <w:pPr>
              <w:spacing w:after="40" w:before="40" w:line="240" w:lineRule="auto"/>
            </w:pPr>
            <w:r/>
            <w:r>
              <w:rPr>
                <w:rFonts w:ascii="Consolas" w:hAnsi="Consolas"/>
                <w:b w:val="0"/>
                <w:color w:val="1A1A1A"/>
                <w:sz w:val="17"/>
              </w:rPr>
              <w:t>foreclosure_charges_pct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5,2</w:t>
            </w:r>
          </w:p>
        </w:tc>
        <w:tc>
          <w:tcPr>
            <w:tcW w:type="dxa" w:w="2563"/>
            <w:shd w:val="clear" w:color="auto" w:fill="F2F4F4"/>
          </w:tcPr>
          <w:p>
            <w:pPr>
              <w:spacing w:after="40" w:before="40" w:line="240" w:lineRule="auto"/>
            </w:pPr>
            <w:r/>
            <w:r>
              <w:rPr>
                <w:rFonts w:ascii="Calibri" w:hAnsi="Calibri"/>
                <w:b w:val="0"/>
                <w:i w:val="0"/>
                <w:color w:val="1A1A1A"/>
                <w:sz w:val="17"/>
              </w:rPr>
              <w:t>0.00</w:t>
            </w:r>
          </w:p>
        </w:tc>
        <w:tc>
          <w:tcPr>
            <w:tcW w:type="dxa" w:w="5947"/>
            <w:shd w:val="clear" w:color="auto" w:fill="F2F4F4"/>
          </w:tcPr>
          <w:p>
            <w:pPr>
              <w:spacing w:after="40" w:before="40" w:line="240" w:lineRule="auto"/>
            </w:pPr>
            <w:r/>
            <w:r>
              <w:rPr>
                <w:rFonts w:ascii="Calibri" w:hAnsi="Calibri"/>
                <w:b w:val="0"/>
                <w:i w:val="0"/>
                <w:color w:val="1A1A1A"/>
                <w:sz w:val="17"/>
              </w:rPr>
              <w:t>Prepayment penalty. Netted from any prepayment recommendation — omitting it overstates the benefit.</w:t>
            </w:r>
          </w:p>
        </w:tc>
      </w:tr>
      <w:tr>
        <w:tc>
          <w:tcPr>
            <w:tcW w:type="dxa" w:w="3168"/>
          </w:tcPr>
          <w:p>
            <w:pPr>
              <w:spacing w:after="40" w:before="40" w:line="240" w:lineRule="auto"/>
            </w:pPr>
            <w:r/>
            <w:r>
              <w:rPr>
                <w:rFonts w:ascii="Consolas" w:hAnsi="Consolas"/>
                <w:b w:val="0"/>
                <w:color w:val="1A1A1A"/>
                <w:sz w:val="17"/>
              </w:rPr>
              <w:t>prepayment_allowed_flag</w:t>
            </w:r>
          </w:p>
        </w:tc>
        <w:tc>
          <w:tcPr>
            <w:tcW w:type="dxa" w:w="1123"/>
          </w:tcPr>
          <w:p>
            <w:pPr>
              <w:spacing w:after="40" w:before="40" w:line="240" w:lineRule="auto"/>
            </w:pPr>
            <w:r/>
            <w:r>
              <w:rPr>
                <w:rFonts w:ascii="Calibri" w:hAnsi="Calibri"/>
                <w:b w:val="0"/>
                <w:i w:val="0"/>
                <w:color w:val="1A1A1A"/>
                <w:sz w:val="17"/>
              </w:rPr>
              <w:t>Boolean</w:t>
            </w:r>
          </w:p>
        </w:tc>
        <w:tc>
          <w:tcPr>
            <w:tcW w:type="dxa" w:w="1238"/>
          </w:tcPr>
          <w:p>
            <w:pPr>
              <w:spacing w:after="40" w:before="40" w:line="240" w:lineRule="auto"/>
            </w:pPr>
            <w:r/>
            <w:r>
              <w:rPr>
                <w:rFonts w:ascii="Calibri" w:hAnsi="Calibri"/>
                <w:b w:val="0"/>
                <w:i w:val="0"/>
                <w:color w:val="1A1A1A"/>
                <w:sz w:val="17"/>
              </w:rPr>
              <w:t>1</w:t>
            </w:r>
          </w:p>
        </w:tc>
        <w:tc>
          <w:tcPr>
            <w:tcW w:type="dxa" w:w="2563"/>
          </w:tcPr>
          <w:p>
            <w:pPr>
              <w:spacing w:after="40" w:before="40" w:line="240" w:lineRule="auto"/>
            </w:pPr>
            <w:r/>
            <w:r>
              <w:rPr>
                <w:rFonts w:ascii="Calibri" w:hAnsi="Calibri"/>
                <w:b w:val="0"/>
                <w:i w:val="0"/>
                <w:color w:val="1A1A1A"/>
                <w:sz w:val="17"/>
              </w:rPr>
              <w:t>true</w:t>
            </w:r>
          </w:p>
        </w:tc>
        <w:tc>
          <w:tcPr>
            <w:tcW w:type="dxa" w:w="5947"/>
          </w:tcPr>
          <w:p>
            <w:pPr>
              <w:spacing w:after="40" w:before="40" w:line="240" w:lineRule="auto"/>
            </w:pPr>
            <w:r/>
            <w:r>
              <w:rPr>
                <w:rFonts w:ascii="Calibri" w:hAnsi="Calibri"/>
                <w:b w:val="0"/>
                <w:i w:val="0"/>
                <w:color w:val="1A1A1A"/>
                <w:sz w:val="17"/>
              </w:rPr>
              <w:t>Whether part-prepayment is contractually permitted.</w:t>
            </w:r>
          </w:p>
        </w:tc>
      </w:tr>
      <w:tr>
        <w:tc>
          <w:tcPr>
            <w:tcW w:type="dxa" w:w="3168"/>
            <w:shd w:val="clear" w:color="auto" w:fill="F2F4F4"/>
          </w:tcPr>
          <w:p>
            <w:pPr>
              <w:spacing w:after="40" w:before="40" w:line="240" w:lineRule="auto"/>
            </w:pPr>
            <w:r/>
            <w:r>
              <w:rPr>
                <w:rFonts w:ascii="Consolas" w:hAnsi="Consolas"/>
                <w:b w:val="0"/>
                <w:color w:val="1A1A1A"/>
                <w:sz w:val="17"/>
              </w:rPr>
              <w:t>tax_benefit_section</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80E</w:t>
            </w:r>
          </w:p>
        </w:tc>
        <w:tc>
          <w:tcPr>
            <w:tcW w:type="dxa" w:w="5947"/>
            <w:shd w:val="clear" w:color="auto" w:fill="F2F4F4"/>
          </w:tcPr>
          <w:p>
            <w:pPr>
              <w:spacing w:after="40" w:before="40" w:line="240" w:lineRule="auto"/>
            </w:pPr>
            <w:r/>
            <w:r>
              <w:rPr>
                <w:rFonts w:ascii="Calibri" w:hAnsi="Calibri"/>
                <w:b w:val="0"/>
                <w:i w:val="0"/>
                <w:color w:val="1A1A1A"/>
                <w:sz w:val="17"/>
              </w:rPr>
              <w:t>Applicable deduction section, where any. Education-loan interest under 80E materially changes the prepay recommendation.</w:t>
            </w:r>
          </w:p>
        </w:tc>
      </w:tr>
    </w:tbl>
    <w:p>
      <w:pPr>
        <w:spacing w:after="40"/>
      </w:pPr>
    </w:p>
    <w:p>
      <w:r>
        <w:br w:type="page"/>
      </w:r>
    </w:p>
    <w:p>
      <w:pPr>
        <w:spacing w:before="0" w:after="80"/>
      </w:pPr>
      <w:r>
        <w:rPr>
          <w:b/>
          <w:color w:val="006B6B"/>
          <w:sz w:val="34"/>
        </w:rPr>
        <w:t>9  Insurance and Protection API</w:t>
      </w:r>
    </w:p>
    <w:p>
      <w:pPr>
        <w:spacing w:after="200"/>
      </w:pPr>
      <w:r>
        <w:rPr>
          <w:color w:val="006B6B"/>
          <w:sz w:val="12"/>
        </w:rPr>
        <w:t>────────────────────────────────────────────────────────────</w:t>
      </w:r>
    </w:p>
    <w:p>
      <w:pPr>
        <w:spacing w:after="120"/>
      </w:pPr>
      <w:r>
        <w:rPr>
          <w:b w:val="0"/>
          <w:i w:val="0"/>
          <w:color w:val="5A6363"/>
          <w:sz w:val="19"/>
        </w:rPr>
        <w:t>In-force policies. Drives the protection-gap analysis.</w:t>
      </w:r>
    </w:p>
    <w:p>
      <w:pPr>
        <w:spacing w:before="180" w:after="60"/>
      </w:pPr>
      <w:r>
        <w:rPr>
          <w:b/>
          <w:color w:val="1A1A1A"/>
          <w:sz w:val="21"/>
        </w:rPr>
        <w:t>9.1  API Request</w:t>
      </w:r>
    </w:p>
    <w:tbl>
      <w:tblPr>
        <w:tblStyle w:val="TableGrid"/>
        <w:tblW w:type="auto" w:w="0"/>
        <w:jc w:val="left"/>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009"/>
            <w:shd w:val="clear" w:color="auto" w:fill="006B6B"/>
          </w:tcPr>
          <w:p>
            <w:pPr>
              <w:spacing w:after="40" w:before="40" w:line="240" w:lineRule="auto"/>
            </w:pPr>
            <w:r/>
            <w:r>
              <w:rPr>
                <w:rFonts w:ascii="Calibri" w:hAnsi="Calibri"/>
                <w:b/>
                <w:i w:val="0"/>
                <w:color w:val="FFFFFF"/>
                <w:sz w:val="17"/>
              </w:rPr>
              <w:t>Field Name</w:t>
            </w:r>
          </w:p>
        </w:tc>
        <w:tc>
          <w:tcPr>
            <w:tcW w:type="dxa" w:w="1117"/>
            <w:shd w:val="clear" w:color="auto" w:fill="006B6B"/>
          </w:tcPr>
          <w:p>
            <w:pPr>
              <w:spacing w:after="40" w:before="40" w:line="240" w:lineRule="auto"/>
            </w:pPr>
            <w:r/>
            <w:r>
              <w:rPr>
                <w:rFonts w:ascii="Calibri" w:hAnsi="Calibri"/>
                <w:b/>
                <w:i w:val="0"/>
                <w:color w:val="FFFFFF"/>
                <w:sz w:val="17"/>
              </w:rPr>
              <w:t>Field Type</w:t>
            </w:r>
          </w:p>
        </w:tc>
        <w:tc>
          <w:tcPr>
            <w:tcW w:type="dxa" w:w="1232"/>
            <w:shd w:val="clear" w:color="auto" w:fill="006B6B"/>
          </w:tcPr>
          <w:p>
            <w:pPr>
              <w:spacing w:after="40" w:before="40" w:line="240" w:lineRule="auto"/>
            </w:pPr>
            <w:r/>
            <w:r>
              <w:rPr>
                <w:rFonts w:ascii="Calibri" w:hAnsi="Calibri"/>
                <w:b/>
                <w:i w:val="0"/>
                <w:color w:val="FFFFFF"/>
                <w:sz w:val="17"/>
              </w:rPr>
              <w:t>Max Field Length</w:t>
            </w:r>
          </w:p>
        </w:tc>
        <w:tc>
          <w:tcPr>
            <w:tcW w:type="dxa" w:w="1547"/>
            <w:shd w:val="clear" w:color="auto" w:fill="006B6B"/>
          </w:tcPr>
          <w:p>
            <w:pPr>
              <w:spacing w:after="40" w:before="40" w:line="240" w:lineRule="auto"/>
            </w:pPr>
            <w:r/>
            <w:r>
              <w:rPr>
                <w:rFonts w:ascii="Calibri" w:hAnsi="Calibri"/>
                <w:b/>
                <w:i w:val="0"/>
                <w:color w:val="FFFFFF"/>
                <w:sz w:val="17"/>
              </w:rPr>
              <w:t>Mandatory/Optional</w:t>
            </w:r>
          </w:p>
        </w:tc>
        <w:tc>
          <w:tcPr>
            <w:tcW w:type="dxa" w:w="2436"/>
            <w:shd w:val="clear" w:color="auto" w:fill="006B6B"/>
          </w:tcPr>
          <w:p>
            <w:pPr>
              <w:spacing w:after="40" w:before="40" w:line="240" w:lineRule="auto"/>
            </w:pPr>
            <w:r/>
            <w:r>
              <w:rPr>
                <w:rFonts w:ascii="Calibri" w:hAnsi="Calibri"/>
                <w:b/>
                <w:i w:val="0"/>
                <w:color w:val="FFFFFF"/>
                <w:sz w:val="17"/>
              </w:rPr>
              <w:t>Sample Values</w:t>
            </w:r>
          </w:p>
        </w:tc>
        <w:tc>
          <w:tcPr>
            <w:tcW w:type="dxa" w:w="4699"/>
            <w:shd w:val="clear" w:color="auto" w:fill="006B6B"/>
          </w:tcPr>
          <w:p>
            <w:pPr>
              <w:spacing w:after="40" w:before="40" w:line="240" w:lineRule="auto"/>
            </w:pPr>
            <w:r/>
            <w:r>
              <w:rPr>
                <w:rFonts w:ascii="Calibri" w:hAnsi="Calibri"/>
                <w:b/>
                <w:i w:val="0"/>
                <w:color w:val="FFFFFF"/>
                <w:sz w:val="17"/>
              </w:rPr>
              <w:t>Description</w:t>
            </w:r>
          </w:p>
        </w:tc>
      </w:tr>
      <w:tr>
        <w:tc>
          <w:tcPr>
            <w:tcW w:type="dxa" w:w="3009"/>
          </w:tcPr>
          <w:p>
            <w:pPr>
              <w:spacing w:after="40" w:before="40" w:line="240" w:lineRule="auto"/>
            </w:pPr>
            <w:r/>
            <w:r>
              <w:rPr>
                <w:rFonts w:ascii="Consolas" w:hAnsi="Consolas"/>
                <w:b w:val="0"/>
                <w:color w:val="1A1A1A"/>
                <w:sz w:val="17"/>
              </w:rPr>
              <w:t>customer_id</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20</w:t>
            </w:r>
          </w:p>
        </w:tc>
        <w:tc>
          <w:tcPr>
            <w:tcW w:type="dxa" w:w="1547"/>
          </w:tcPr>
          <w:p>
            <w:pPr>
              <w:spacing w:after="40" w:before="40" w:line="240" w:lineRule="auto"/>
            </w:pPr>
            <w:r/>
            <w:r>
              <w:rPr>
                <w:rFonts w:ascii="Calibri" w:hAnsi="Calibri"/>
                <w:b w:val="0"/>
                <w:i w:val="0"/>
                <w:color w:val="1A1A1A"/>
                <w:sz w:val="17"/>
              </w:rPr>
              <w:t>Mandatory</w:t>
            </w:r>
          </w:p>
        </w:tc>
        <w:tc>
          <w:tcPr>
            <w:tcW w:type="dxa" w:w="2436"/>
          </w:tcPr>
          <w:p>
            <w:pPr>
              <w:spacing w:after="40" w:before="40" w:line="240" w:lineRule="auto"/>
            </w:pPr>
            <w:r/>
            <w:r>
              <w:rPr>
                <w:rFonts w:ascii="Calibri" w:hAnsi="Calibri"/>
                <w:b w:val="0"/>
                <w:i w:val="0"/>
                <w:color w:val="1A1A1A"/>
                <w:sz w:val="17"/>
              </w:rPr>
              <w:t>CUST-88214</w:t>
            </w:r>
          </w:p>
        </w:tc>
        <w:tc>
          <w:tcPr>
            <w:tcW w:type="dxa" w:w="4699"/>
          </w:tcPr>
          <w:p>
            <w:pPr>
              <w:spacing w:after="40" w:before="40" w:line="240" w:lineRule="auto"/>
            </w:pPr>
            <w:r/>
            <w:r>
              <w:rPr>
                <w:rFonts w:ascii="Calibri" w:hAnsi="Calibri"/>
                <w:b w:val="0"/>
                <w:i w:val="0"/>
                <w:color w:val="1A1A1A"/>
                <w:sz w:val="17"/>
              </w:rPr>
              <w:t>Unique customer identifier.</w:t>
            </w:r>
          </w:p>
        </w:tc>
      </w:tr>
      <w:tr>
        <w:tc>
          <w:tcPr>
            <w:tcW w:type="dxa" w:w="3009"/>
            <w:shd w:val="clear" w:color="auto" w:fill="F2F4F4"/>
          </w:tcPr>
          <w:p>
            <w:pPr>
              <w:spacing w:after="40" w:before="40" w:line="240" w:lineRule="auto"/>
            </w:pPr>
            <w:r/>
            <w:r>
              <w:rPr>
                <w:rFonts w:ascii="Consolas" w:hAnsi="Consolas"/>
                <w:b w:val="0"/>
                <w:color w:val="1A1A1A"/>
                <w:sz w:val="17"/>
              </w:rPr>
              <w:t>consent_reference</w:t>
            </w:r>
          </w:p>
        </w:tc>
        <w:tc>
          <w:tcPr>
            <w:tcW w:type="dxa" w:w="1117"/>
            <w:shd w:val="clear" w:color="auto" w:fill="F2F4F4"/>
          </w:tcPr>
          <w:p>
            <w:pPr>
              <w:spacing w:after="40" w:before="40" w:line="240" w:lineRule="auto"/>
            </w:pPr>
            <w:r/>
            <w:r>
              <w:rPr>
                <w:rFonts w:ascii="Calibri" w:hAnsi="Calibri"/>
                <w:b w:val="0"/>
                <w:i w:val="0"/>
                <w:color w:val="1A1A1A"/>
                <w:sz w:val="17"/>
              </w:rPr>
              <w:t>String</w:t>
            </w:r>
          </w:p>
        </w:tc>
        <w:tc>
          <w:tcPr>
            <w:tcW w:type="dxa" w:w="1232"/>
            <w:shd w:val="clear" w:color="auto" w:fill="F2F4F4"/>
          </w:tcPr>
          <w:p>
            <w:pPr>
              <w:spacing w:after="40" w:before="40" w:line="240" w:lineRule="auto"/>
            </w:pPr>
            <w:r/>
            <w:r>
              <w:rPr>
                <w:rFonts w:ascii="Calibri" w:hAnsi="Calibri"/>
                <w:b w:val="0"/>
                <w:i w:val="0"/>
                <w:color w:val="1A1A1A"/>
                <w:sz w:val="17"/>
              </w:rPr>
              <w:t>50</w:t>
            </w:r>
          </w:p>
        </w:tc>
        <w:tc>
          <w:tcPr>
            <w:tcW w:type="dxa" w:w="1547"/>
            <w:shd w:val="clear" w:color="auto" w:fill="F2F4F4"/>
          </w:tcPr>
          <w:p>
            <w:pPr>
              <w:spacing w:after="40" w:before="40" w:line="240" w:lineRule="auto"/>
            </w:pPr>
            <w:r/>
            <w:r>
              <w:rPr>
                <w:rFonts w:ascii="Calibri" w:hAnsi="Calibri"/>
                <w:b w:val="0"/>
                <w:i w:val="0"/>
                <w:color w:val="1A1A1A"/>
                <w:sz w:val="17"/>
              </w:rPr>
              <w:t>Mandatory</w:t>
            </w:r>
          </w:p>
        </w:tc>
        <w:tc>
          <w:tcPr>
            <w:tcW w:type="dxa" w:w="2436"/>
            <w:shd w:val="clear" w:color="auto" w:fill="F2F4F4"/>
          </w:tcPr>
          <w:p>
            <w:pPr>
              <w:spacing w:after="40" w:before="40" w:line="240" w:lineRule="auto"/>
            </w:pPr>
            <w:r/>
            <w:r>
              <w:rPr>
                <w:rFonts w:ascii="Calibri" w:hAnsi="Calibri"/>
                <w:b w:val="0"/>
                <w:i w:val="0"/>
                <w:color w:val="1A1A1A"/>
                <w:sz w:val="17"/>
              </w:rPr>
              <w:t>CONS_MITRA_982731</w:t>
            </w:r>
          </w:p>
        </w:tc>
        <w:tc>
          <w:tcPr>
            <w:tcW w:type="dxa" w:w="4699"/>
            <w:shd w:val="clear" w:color="auto" w:fill="F2F4F4"/>
          </w:tcPr>
          <w:p>
            <w:pPr>
              <w:spacing w:after="40" w:before="40" w:line="240" w:lineRule="auto"/>
            </w:pPr>
            <w:r/>
            <w:r>
              <w:rPr>
                <w:rFonts w:ascii="Calibri" w:hAnsi="Calibri"/>
                <w:b w:val="0"/>
                <w:i w:val="0"/>
                <w:color w:val="1A1A1A"/>
                <w:sz w:val="17"/>
              </w:rPr>
              <w:t>Consent artefact reference.</w:t>
            </w:r>
          </w:p>
        </w:tc>
      </w:tr>
    </w:tbl>
    <w:p>
      <w:pPr>
        <w:spacing w:after="40"/>
      </w:pPr>
    </w:p>
    <w:p>
      <w:pPr>
        <w:spacing w:before="180" w:after="60"/>
      </w:pPr>
      <w:r>
        <w:rPr>
          <w:b/>
          <w:color w:val="1A1A1A"/>
          <w:sz w:val="21"/>
        </w:rPr>
        <w:t>9.2  API Response (repeating block, one per policy)</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policy_id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30</w:t>
            </w:r>
          </w:p>
        </w:tc>
        <w:tc>
          <w:tcPr>
            <w:tcW w:type="dxa" w:w="2563"/>
          </w:tcPr>
          <w:p>
            <w:pPr>
              <w:spacing w:after="40" w:before="40" w:line="240" w:lineRule="auto"/>
            </w:pPr>
            <w:r/>
            <w:r>
              <w:rPr>
                <w:rFonts w:ascii="Calibri" w:hAnsi="Calibri"/>
                <w:b w:val="0"/>
                <w:i w:val="0"/>
                <w:color w:val="1A1A1A"/>
                <w:sz w:val="17"/>
              </w:rPr>
              <w:t>POL_01J8X2P4</w:t>
            </w:r>
          </w:p>
        </w:tc>
        <w:tc>
          <w:tcPr>
            <w:tcW w:type="dxa" w:w="5947"/>
          </w:tcPr>
          <w:p>
            <w:pPr>
              <w:spacing w:after="40" w:before="40" w:line="240" w:lineRule="auto"/>
            </w:pPr>
            <w:r/>
            <w:r>
              <w:rPr>
                <w:rFonts w:ascii="Calibri" w:hAnsi="Calibri"/>
                <w:b w:val="0"/>
                <w:i w:val="0"/>
                <w:color w:val="1A1A1A"/>
                <w:sz w:val="17"/>
              </w:rPr>
              <w:t>Unique policy identifier.</w:t>
            </w:r>
          </w:p>
        </w:tc>
      </w:tr>
      <w:tr>
        <w:tc>
          <w:tcPr>
            <w:tcW w:type="dxa" w:w="3168"/>
            <w:shd w:val="clear" w:color="auto" w:fill="F2F4F4"/>
          </w:tcPr>
          <w:p>
            <w:pPr>
              <w:spacing w:after="40" w:before="40" w:line="240" w:lineRule="auto"/>
            </w:pPr>
            <w:r/>
            <w:r>
              <w:rPr>
                <w:rFonts w:ascii="Consolas" w:hAnsi="Consolas"/>
                <w:b w:val="0"/>
                <w:color w:val="1A1A1A"/>
                <w:sz w:val="17"/>
              </w:rPr>
              <w:t>policy_type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25</w:t>
            </w:r>
          </w:p>
        </w:tc>
        <w:tc>
          <w:tcPr>
            <w:tcW w:type="dxa" w:w="2563"/>
            <w:shd w:val="clear" w:color="auto" w:fill="F2F4F4"/>
          </w:tcPr>
          <w:p>
            <w:pPr>
              <w:spacing w:after="40" w:before="40" w:line="240" w:lineRule="auto"/>
            </w:pPr>
            <w:r/>
            <w:r>
              <w:rPr>
                <w:rFonts w:ascii="Calibri" w:hAnsi="Calibri"/>
                <w:b w:val="0"/>
                <w:i w:val="0"/>
                <w:color w:val="1A1A1A"/>
                <w:sz w:val="17"/>
              </w:rPr>
              <w:t>TERM_LIFE</w:t>
            </w:r>
          </w:p>
        </w:tc>
        <w:tc>
          <w:tcPr>
            <w:tcW w:type="dxa" w:w="5947"/>
            <w:shd w:val="clear" w:color="auto" w:fill="F2F4F4"/>
          </w:tcPr>
          <w:p>
            <w:pPr>
              <w:spacing w:after="40" w:before="40" w:line="240" w:lineRule="auto"/>
            </w:pPr>
            <w:r/>
            <w:r>
              <w:rPr>
                <w:rFonts w:ascii="Calibri" w:hAnsi="Calibri"/>
                <w:b w:val="0"/>
                <w:i w:val="0"/>
                <w:color w:val="1A1A1A"/>
                <w:sz w:val="17"/>
              </w:rPr>
              <w:t>TERM_LIFE, ENDOWMENT, ULIP, HEALTH, CRITICAL_ILLNESS, PERSONAL_ACCIDENT or MOTOR.</w:t>
            </w:r>
          </w:p>
        </w:tc>
      </w:tr>
      <w:tr>
        <w:tc>
          <w:tcPr>
            <w:tcW w:type="dxa" w:w="3168"/>
          </w:tcPr>
          <w:p>
            <w:pPr>
              <w:spacing w:after="40" w:before="40" w:line="240" w:lineRule="auto"/>
            </w:pPr>
            <w:r/>
            <w:r>
              <w:rPr>
                <w:rFonts w:ascii="Consolas" w:hAnsi="Consolas"/>
                <w:b w:val="0"/>
                <w:color w:val="1A1A1A"/>
                <w:sz w:val="17"/>
              </w:rPr>
              <w:t>insurer_name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100</w:t>
            </w:r>
          </w:p>
        </w:tc>
        <w:tc>
          <w:tcPr>
            <w:tcW w:type="dxa" w:w="2563"/>
          </w:tcPr>
          <w:p>
            <w:pPr>
              <w:spacing w:after="40" w:before="40" w:line="240" w:lineRule="auto"/>
            </w:pPr>
            <w:r/>
            <w:r>
              <w:rPr>
                <w:rFonts w:ascii="Calibri" w:hAnsi="Calibri"/>
                <w:b w:val="0"/>
                <w:i w:val="0"/>
                <w:color w:val="1A1A1A"/>
                <w:sz w:val="17"/>
              </w:rPr>
              <w:t>Star Health</w:t>
            </w:r>
          </w:p>
        </w:tc>
        <w:tc>
          <w:tcPr>
            <w:tcW w:type="dxa" w:w="5947"/>
          </w:tcPr>
          <w:p>
            <w:pPr>
              <w:spacing w:after="40" w:before="40" w:line="240" w:lineRule="auto"/>
            </w:pPr>
            <w:r/>
            <w:r>
              <w:rPr>
                <w:rFonts w:ascii="Calibri" w:hAnsi="Calibri"/>
                <w:b w:val="0"/>
                <w:i w:val="0"/>
                <w:color w:val="1A1A1A"/>
                <w:sz w:val="17"/>
              </w:rPr>
              <w:t>Insurer.</w:t>
            </w:r>
          </w:p>
        </w:tc>
      </w:tr>
      <w:tr>
        <w:tc>
          <w:tcPr>
            <w:tcW w:type="dxa" w:w="3168"/>
            <w:shd w:val="clear" w:color="auto" w:fill="F2F4F4"/>
          </w:tcPr>
          <w:p>
            <w:pPr>
              <w:spacing w:after="40" w:before="40" w:line="240" w:lineRule="auto"/>
            </w:pPr>
            <w:r/>
            <w:r>
              <w:rPr>
                <w:rFonts w:ascii="Consolas" w:hAnsi="Consolas"/>
                <w:b w:val="0"/>
                <w:color w:val="1A1A1A"/>
                <w:sz w:val="17"/>
              </w:rPr>
              <w:t>policy_number_masked</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30</w:t>
            </w:r>
          </w:p>
        </w:tc>
        <w:tc>
          <w:tcPr>
            <w:tcW w:type="dxa" w:w="2563"/>
            <w:shd w:val="clear" w:color="auto" w:fill="F2F4F4"/>
          </w:tcPr>
          <w:p>
            <w:pPr>
              <w:spacing w:after="40" w:before="40" w:line="240" w:lineRule="auto"/>
            </w:pPr>
            <w:r/>
            <w:r>
              <w:rPr>
                <w:rFonts w:ascii="Calibri" w:hAnsi="Calibri"/>
                <w:b w:val="0"/>
                <w:i w:val="0"/>
                <w:color w:val="1A1A1A"/>
                <w:sz w:val="17"/>
              </w:rPr>
              <w:t>****7741</w:t>
            </w:r>
          </w:p>
        </w:tc>
        <w:tc>
          <w:tcPr>
            <w:tcW w:type="dxa" w:w="5947"/>
            <w:shd w:val="clear" w:color="auto" w:fill="F2F4F4"/>
          </w:tcPr>
          <w:p>
            <w:pPr>
              <w:spacing w:after="40" w:before="40" w:line="240" w:lineRule="auto"/>
            </w:pPr>
            <w:r/>
            <w:r>
              <w:rPr>
                <w:rFonts w:ascii="Calibri" w:hAnsi="Calibri"/>
                <w:b w:val="0"/>
                <w:i w:val="0"/>
                <w:color w:val="1A1A1A"/>
                <w:sz w:val="17"/>
              </w:rPr>
              <w:t>Masked policy number.</w:t>
            </w:r>
          </w:p>
        </w:tc>
      </w:tr>
      <w:tr>
        <w:tc>
          <w:tcPr>
            <w:tcW w:type="dxa" w:w="3168"/>
          </w:tcPr>
          <w:p>
            <w:pPr>
              <w:spacing w:after="40" w:before="40" w:line="240" w:lineRule="auto"/>
            </w:pPr>
            <w:r/>
            <w:r>
              <w:rPr>
                <w:rFonts w:ascii="Consolas" w:hAnsi="Consolas"/>
                <w:b w:val="0"/>
                <w:color w:val="1A1A1A"/>
                <w:sz w:val="17"/>
              </w:rPr>
              <w:t>sum_assured</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2000000.00</w:t>
            </w:r>
          </w:p>
        </w:tc>
        <w:tc>
          <w:tcPr>
            <w:tcW w:type="dxa" w:w="5947"/>
          </w:tcPr>
          <w:p>
            <w:pPr>
              <w:spacing w:after="40" w:before="40" w:line="240" w:lineRule="auto"/>
            </w:pPr>
            <w:r/>
            <w:r>
              <w:rPr>
                <w:rFonts w:ascii="Calibri" w:hAnsi="Calibri"/>
                <w:b w:val="0"/>
                <w:i w:val="0"/>
                <w:color w:val="1A1A1A"/>
                <w:sz w:val="17"/>
              </w:rPr>
              <w:t>Cover amount. Compared against the income-multiple benchmark to size the protection gap.</w:t>
            </w:r>
          </w:p>
        </w:tc>
      </w:tr>
      <w:tr>
        <w:tc>
          <w:tcPr>
            <w:tcW w:type="dxa" w:w="3168"/>
            <w:shd w:val="clear" w:color="auto" w:fill="F2F4F4"/>
          </w:tcPr>
          <w:p>
            <w:pPr>
              <w:spacing w:after="40" w:before="40" w:line="240" w:lineRule="auto"/>
            </w:pPr>
            <w:r/>
            <w:r>
              <w:rPr>
                <w:rFonts w:ascii="Consolas" w:hAnsi="Consolas"/>
                <w:b w:val="0"/>
                <w:color w:val="1A1A1A"/>
                <w:sz w:val="17"/>
              </w:rPr>
              <w:t>annual_premium</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12000.00</w:t>
            </w:r>
          </w:p>
        </w:tc>
        <w:tc>
          <w:tcPr>
            <w:tcW w:type="dxa" w:w="5947"/>
            <w:shd w:val="clear" w:color="auto" w:fill="F2F4F4"/>
          </w:tcPr>
          <w:p>
            <w:pPr>
              <w:spacing w:after="40" w:before="40" w:line="240" w:lineRule="auto"/>
            </w:pPr>
            <w:r/>
            <w:r>
              <w:rPr>
                <w:rFonts w:ascii="Calibri" w:hAnsi="Calibri"/>
                <w:b w:val="0"/>
                <w:i w:val="0"/>
                <w:color w:val="1A1A1A"/>
                <w:sz w:val="17"/>
              </w:rPr>
              <w:t>Annual premium. Counted as a committed outflow in the surplus calculation.</w:t>
            </w:r>
          </w:p>
        </w:tc>
      </w:tr>
      <w:tr>
        <w:tc>
          <w:tcPr>
            <w:tcW w:type="dxa" w:w="3168"/>
          </w:tcPr>
          <w:p>
            <w:pPr>
              <w:spacing w:after="40" w:before="40" w:line="240" w:lineRule="auto"/>
            </w:pPr>
            <w:r/>
            <w:r>
              <w:rPr>
                <w:rFonts w:ascii="Consolas" w:hAnsi="Consolas"/>
                <w:b w:val="0"/>
                <w:color w:val="1A1A1A"/>
                <w:sz w:val="17"/>
              </w:rPr>
              <w:t>premium_frequency</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15</w:t>
            </w:r>
          </w:p>
        </w:tc>
        <w:tc>
          <w:tcPr>
            <w:tcW w:type="dxa" w:w="2563"/>
          </w:tcPr>
          <w:p>
            <w:pPr>
              <w:spacing w:after="40" w:before="40" w:line="240" w:lineRule="auto"/>
            </w:pPr>
            <w:r/>
            <w:r>
              <w:rPr>
                <w:rFonts w:ascii="Calibri" w:hAnsi="Calibri"/>
                <w:b w:val="0"/>
                <w:i w:val="0"/>
                <w:color w:val="1A1A1A"/>
                <w:sz w:val="17"/>
              </w:rPr>
              <w:t>ANNUAL</w:t>
            </w:r>
          </w:p>
        </w:tc>
        <w:tc>
          <w:tcPr>
            <w:tcW w:type="dxa" w:w="5947"/>
          </w:tcPr>
          <w:p>
            <w:pPr>
              <w:spacing w:after="40" w:before="40" w:line="240" w:lineRule="auto"/>
            </w:pPr>
            <w:r/>
            <w:r>
              <w:rPr>
                <w:rFonts w:ascii="Calibri" w:hAnsi="Calibri"/>
                <w:b w:val="0"/>
                <w:i w:val="0"/>
                <w:color w:val="1A1A1A"/>
                <w:sz w:val="17"/>
              </w:rPr>
              <w:t>MONTHLY, QUARTERLY, HALF_YEARLY or ANNUAL.</w:t>
            </w:r>
          </w:p>
        </w:tc>
      </w:tr>
      <w:tr>
        <w:tc>
          <w:tcPr>
            <w:tcW w:type="dxa" w:w="3168"/>
            <w:shd w:val="clear" w:color="auto" w:fill="F2F4F4"/>
          </w:tcPr>
          <w:p>
            <w:pPr>
              <w:spacing w:after="40" w:before="40" w:line="240" w:lineRule="auto"/>
            </w:pPr>
            <w:r/>
            <w:r>
              <w:rPr>
                <w:rFonts w:ascii="Consolas" w:hAnsi="Consolas"/>
                <w:b w:val="0"/>
                <w:color w:val="1A1A1A"/>
                <w:sz w:val="17"/>
              </w:rPr>
              <w:t>policy_start_date</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01-04-22</w:t>
            </w:r>
          </w:p>
        </w:tc>
        <w:tc>
          <w:tcPr>
            <w:tcW w:type="dxa" w:w="5947"/>
            <w:shd w:val="clear" w:color="auto" w:fill="F2F4F4"/>
          </w:tcPr>
          <w:p>
            <w:pPr>
              <w:spacing w:after="40" w:before="40" w:line="240" w:lineRule="auto"/>
            </w:pPr>
            <w:r/>
            <w:r>
              <w:rPr>
                <w:rFonts w:ascii="Calibri" w:hAnsi="Calibri"/>
                <w:b w:val="0"/>
                <w:i w:val="0"/>
                <w:color w:val="1A1A1A"/>
                <w:sz w:val="17"/>
              </w:rPr>
              <w:t>Commencement date.</w:t>
            </w:r>
          </w:p>
        </w:tc>
      </w:tr>
      <w:tr>
        <w:tc>
          <w:tcPr>
            <w:tcW w:type="dxa" w:w="3168"/>
          </w:tcPr>
          <w:p>
            <w:pPr>
              <w:spacing w:after="40" w:before="40" w:line="240" w:lineRule="auto"/>
            </w:pPr>
            <w:r/>
            <w:r>
              <w:rPr>
                <w:rFonts w:ascii="Consolas" w:hAnsi="Consolas"/>
                <w:b w:val="0"/>
                <w:color w:val="1A1A1A"/>
                <w:sz w:val="17"/>
              </w:rPr>
              <w:t>policy_end_date</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31-03-27</w:t>
            </w:r>
          </w:p>
        </w:tc>
        <w:tc>
          <w:tcPr>
            <w:tcW w:type="dxa" w:w="5947"/>
          </w:tcPr>
          <w:p>
            <w:pPr>
              <w:spacing w:after="40" w:before="40" w:line="240" w:lineRule="auto"/>
            </w:pPr>
            <w:r/>
            <w:r>
              <w:rPr>
                <w:rFonts w:ascii="Calibri" w:hAnsi="Calibri"/>
                <w:b w:val="0"/>
                <w:i w:val="0"/>
                <w:color w:val="1A1A1A"/>
                <w:sz w:val="17"/>
              </w:rPr>
              <w:t>Expiry or maturity date. Drives renewal reminders.</w:t>
            </w:r>
          </w:p>
        </w:tc>
      </w:tr>
      <w:tr>
        <w:tc>
          <w:tcPr>
            <w:tcW w:type="dxa" w:w="3168"/>
            <w:shd w:val="clear" w:color="auto" w:fill="F2F4F4"/>
          </w:tcPr>
          <w:p>
            <w:pPr>
              <w:spacing w:after="40" w:before="40" w:line="240" w:lineRule="auto"/>
            </w:pPr>
            <w:r/>
            <w:r>
              <w:rPr>
                <w:rFonts w:ascii="Consolas" w:hAnsi="Consolas"/>
                <w:b w:val="0"/>
                <w:color w:val="1A1A1A"/>
                <w:sz w:val="17"/>
              </w:rPr>
              <w:t>next_premium_due_date</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01-04-27</w:t>
            </w:r>
          </w:p>
        </w:tc>
        <w:tc>
          <w:tcPr>
            <w:tcW w:type="dxa" w:w="5947"/>
            <w:shd w:val="clear" w:color="auto" w:fill="F2F4F4"/>
          </w:tcPr>
          <w:p>
            <w:pPr>
              <w:spacing w:after="40" w:before="40" w:line="240" w:lineRule="auto"/>
            </w:pPr>
            <w:r/>
            <w:r>
              <w:rPr>
                <w:rFonts w:ascii="Calibri" w:hAnsi="Calibri"/>
                <w:b w:val="0"/>
                <w:i w:val="0"/>
                <w:color w:val="1A1A1A"/>
                <w:sz w:val="17"/>
              </w:rPr>
              <w:t>Next premium date.</w:t>
            </w:r>
          </w:p>
        </w:tc>
      </w:tr>
      <w:tr>
        <w:tc>
          <w:tcPr>
            <w:tcW w:type="dxa" w:w="3168"/>
          </w:tcPr>
          <w:p>
            <w:pPr>
              <w:spacing w:after="40" w:before="40" w:line="240" w:lineRule="auto"/>
            </w:pPr>
            <w:r/>
            <w:r>
              <w:rPr>
                <w:rFonts w:ascii="Consolas" w:hAnsi="Consolas"/>
                <w:b w:val="0"/>
                <w:color w:val="1A1A1A"/>
                <w:sz w:val="17"/>
              </w:rPr>
              <w:t>portable_flag</w:t>
            </w:r>
          </w:p>
        </w:tc>
        <w:tc>
          <w:tcPr>
            <w:tcW w:type="dxa" w:w="1123"/>
          </w:tcPr>
          <w:p>
            <w:pPr>
              <w:spacing w:after="40" w:before="40" w:line="240" w:lineRule="auto"/>
            </w:pPr>
            <w:r/>
            <w:r>
              <w:rPr>
                <w:rFonts w:ascii="Calibri" w:hAnsi="Calibri"/>
                <w:b w:val="0"/>
                <w:i w:val="0"/>
                <w:color w:val="1A1A1A"/>
                <w:sz w:val="17"/>
              </w:rPr>
              <w:t>Boolean</w:t>
            </w:r>
          </w:p>
        </w:tc>
        <w:tc>
          <w:tcPr>
            <w:tcW w:type="dxa" w:w="1238"/>
          </w:tcPr>
          <w:p>
            <w:pPr>
              <w:spacing w:after="40" w:before="40" w:line="240" w:lineRule="auto"/>
            </w:pPr>
            <w:r/>
            <w:r>
              <w:rPr>
                <w:rFonts w:ascii="Calibri" w:hAnsi="Calibri"/>
                <w:b w:val="0"/>
                <w:i w:val="0"/>
                <w:color w:val="1A1A1A"/>
                <w:sz w:val="17"/>
              </w:rPr>
              <w:t>1</w:t>
            </w:r>
          </w:p>
        </w:tc>
        <w:tc>
          <w:tcPr>
            <w:tcW w:type="dxa" w:w="2563"/>
          </w:tcPr>
          <w:p>
            <w:pPr>
              <w:spacing w:after="40" w:before="40" w:line="240" w:lineRule="auto"/>
            </w:pPr>
            <w:r/>
            <w:r>
              <w:rPr>
                <w:rFonts w:ascii="Calibri" w:hAnsi="Calibri"/>
                <w:b w:val="0"/>
                <w:i w:val="0"/>
                <w:color w:val="1A1A1A"/>
                <w:sz w:val="17"/>
              </w:rPr>
              <w:t>false</w:t>
            </w:r>
          </w:p>
        </w:tc>
        <w:tc>
          <w:tcPr>
            <w:tcW w:type="dxa" w:w="5947"/>
          </w:tcPr>
          <w:p>
            <w:pPr>
              <w:spacing w:after="40" w:before="40" w:line="240" w:lineRule="auto"/>
            </w:pPr>
            <w:r/>
            <w:r>
              <w:rPr>
                <w:rFonts w:ascii="Calibri" w:hAnsi="Calibri"/>
                <w:b w:val="0"/>
                <w:i w:val="0"/>
                <w:color w:val="1A1A1A"/>
                <w:sz w:val="17"/>
              </w:rPr>
              <w:t>Whether cover survives a change of employer. Employer group cover that lapses on exit is the most commonly overlooked protection gap and must be distinguishable.</w:t>
            </w:r>
          </w:p>
        </w:tc>
      </w:tr>
      <w:tr>
        <w:tc>
          <w:tcPr>
            <w:tcW w:type="dxa" w:w="3168"/>
            <w:shd w:val="clear" w:color="auto" w:fill="F2F4F4"/>
          </w:tcPr>
          <w:p>
            <w:pPr>
              <w:spacing w:after="40" w:before="40" w:line="240" w:lineRule="auto"/>
            </w:pPr>
            <w:r/>
            <w:r>
              <w:rPr>
                <w:rFonts w:ascii="Consolas" w:hAnsi="Consolas"/>
                <w:b w:val="0"/>
                <w:color w:val="1A1A1A"/>
                <w:sz w:val="17"/>
              </w:rPr>
              <w:t>nominee_registered_flag</w:t>
            </w:r>
          </w:p>
        </w:tc>
        <w:tc>
          <w:tcPr>
            <w:tcW w:type="dxa" w:w="1123"/>
            <w:shd w:val="clear" w:color="auto" w:fill="F2F4F4"/>
          </w:tcPr>
          <w:p>
            <w:pPr>
              <w:spacing w:after="40" w:before="40" w:line="240" w:lineRule="auto"/>
            </w:pPr>
            <w:r/>
            <w:r>
              <w:rPr>
                <w:rFonts w:ascii="Calibri" w:hAnsi="Calibri"/>
                <w:b w:val="0"/>
                <w:i w:val="0"/>
                <w:color w:val="1A1A1A"/>
                <w:sz w:val="17"/>
              </w:rPr>
              <w:t>Boolean</w:t>
            </w:r>
          </w:p>
        </w:tc>
        <w:tc>
          <w:tcPr>
            <w:tcW w:type="dxa" w:w="1238"/>
            <w:shd w:val="clear" w:color="auto" w:fill="F2F4F4"/>
          </w:tcPr>
          <w:p>
            <w:pPr>
              <w:spacing w:after="40" w:before="40" w:line="240" w:lineRule="auto"/>
            </w:pPr>
            <w:r/>
            <w:r>
              <w:rPr>
                <w:rFonts w:ascii="Calibri" w:hAnsi="Calibri"/>
                <w:b w:val="0"/>
                <w:i w:val="0"/>
                <w:color w:val="1A1A1A"/>
                <w:sz w:val="17"/>
              </w:rPr>
              <w:t>1</w:t>
            </w:r>
          </w:p>
        </w:tc>
        <w:tc>
          <w:tcPr>
            <w:tcW w:type="dxa" w:w="2563"/>
            <w:shd w:val="clear" w:color="auto" w:fill="F2F4F4"/>
          </w:tcPr>
          <w:p>
            <w:pPr>
              <w:spacing w:after="40" w:before="40" w:line="240" w:lineRule="auto"/>
            </w:pPr>
            <w:r/>
            <w:r>
              <w:rPr>
                <w:rFonts w:ascii="Calibri" w:hAnsi="Calibri"/>
                <w:b w:val="0"/>
                <w:i w:val="0"/>
                <w:color w:val="1A1A1A"/>
                <w:sz w:val="17"/>
              </w:rPr>
              <w:t>true</w:t>
            </w:r>
          </w:p>
        </w:tc>
        <w:tc>
          <w:tcPr>
            <w:tcW w:type="dxa" w:w="5947"/>
            <w:shd w:val="clear" w:color="auto" w:fill="F2F4F4"/>
          </w:tcPr>
          <w:p>
            <w:pPr>
              <w:spacing w:after="40" w:before="40" w:line="240" w:lineRule="auto"/>
            </w:pPr>
            <w:r/>
            <w:r>
              <w:rPr>
                <w:rFonts w:ascii="Calibri" w:hAnsi="Calibri"/>
                <w:b w:val="0"/>
                <w:i w:val="0"/>
                <w:color w:val="1A1A1A"/>
                <w:sz w:val="17"/>
              </w:rPr>
              <w:t>Whether a nominee is on record. An unregistered nominee is flagged regardless of cover adequacy.</w:t>
            </w:r>
          </w:p>
        </w:tc>
      </w:tr>
      <w:tr>
        <w:tc>
          <w:tcPr>
            <w:tcW w:type="dxa" w:w="3168"/>
          </w:tcPr>
          <w:p>
            <w:pPr>
              <w:spacing w:after="40" w:before="40" w:line="240" w:lineRule="auto"/>
            </w:pPr>
            <w:r/>
            <w:r>
              <w:rPr>
                <w:rFonts w:ascii="Consolas" w:hAnsi="Consolas"/>
                <w:b w:val="0"/>
                <w:color w:val="1A1A1A"/>
                <w:sz w:val="17"/>
              </w:rPr>
              <w:t>rider_details</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200</w:t>
            </w:r>
          </w:p>
        </w:tc>
        <w:tc>
          <w:tcPr>
            <w:tcW w:type="dxa" w:w="2563"/>
          </w:tcPr>
          <w:p>
            <w:pPr>
              <w:spacing w:after="40" w:before="40" w:line="240" w:lineRule="auto"/>
            </w:pPr>
            <w:r/>
            <w:r>
              <w:rPr>
                <w:rFonts w:ascii="Calibri" w:hAnsi="Calibri"/>
                <w:b w:val="0"/>
                <w:i w:val="0"/>
                <w:color w:val="1A1A1A"/>
                <w:sz w:val="17"/>
              </w:rPr>
              <w:t>Critical Illness 10L</w:t>
            </w:r>
          </w:p>
        </w:tc>
        <w:tc>
          <w:tcPr>
            <w:tcW w:type="dxa" w:w="5947"/>
          </w:tcPr>
          <w:p>
            <w:pPr>
              <w:spacing w:after="40" w:before="40" w:line="240" w:lineRule="auto"/>
            </w:pPr>
            <w:r/>
            <w:r>
              <w:rPr>
                <w:rFonts w:ascii="Calibri" w:hAnsi="Calibri"/>
                <w:b w:val="0"/>
                <w:i w:val="0"/>
                <w:color w:val="1A1A1A"/>
                <w:sz w:val="17"/>
              </w:rPr>
              <w:t>Attached riders, semicolon-separated.</w:t>
            </w:r>
          </w:p>
        </w:tc>
      </w:tr>
      <w:tr>
        <w:tc>
          <w:tcPr>
            <w:tcW w:type="dxa" w:w="3168"/>
            <w:shd w:val="clear" w:color="auto" w:fill="F2F4F4"/>
          </w:tcPr>
          <w:p>
            <w:pPr>
              <w:spacing w:after="40" w:before="40" w:line="240" w:lineRule="auto"/>
            </w:pPr>
            <w:r/>
            <w:r>
              <w:rPr>
                <w:rFonts w:ascii="Consolas" w:hAnsi="Consolas"/>
                <w:b w:val="0"/>
                <w:color w:val="1A1A1A"/>
                <w:sz w:val="17"/>
              </w:rPr>
              <w:t>policy_status</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15</w:t>
            </w:r>
          </w:p>
        </w:tc>
        <w:tc>
          <w:tcPr>
            <w:tcW w:type="dxa" w:w="2563"/>
            <w:shd w:val="clear" w:color="auto" w:fill="F2F4F4"/>
          </w:tcPr>
          <w:p>
            <w:pPr>
              <w:spacing w:after="40" w:before="40" w:line="240" w:lineRule="auto"/>
            </w:pPr>
            <w:r/>
            <w:r>
              <w:rPr>
                <w:rFonts w:ascii="Calibri" w:hAnsi="Calibri"/>
                <w:b w:val="0"/>
                <w:i w:val="0"/>
                <w:color w:val="1A1A1A"/>
                <w:sz w:val="17"/>
              </w:rPr>
              <w:t>ACTIVE</w:t>
            </w:r>
          </w:p>
        </w:tc>
        <w:tc>
          <w:tcPr>
            <w:tcW w:type="dxa" w:w="5947"/>
            <w:shd w:val="clear" w:color="auto" w:fill="F2F4F4"/>
          </w:tcPr>
          <w:p>
            <w:pPr>
              <w:spacing w:after="40" w:before="40" w:line="240" w:lineRule="auto"/>
            </w:pPr>
            <w:r/>
            <w:r>
              <w:rPr>
                <w:rFonts w:ascii="Calibri" w:hAnsi="Calibri"/>
                <w:b w:val="0"/>
                <w:i w:val="0"/>
                <w:color w:val="1A1A1A"/>
                <w:sz w:val="17"/>
              </w:rPr>
              <w:t>ACTIVE, LAPSED, MATURED or SURRENDERED. Lapsed policies are excluded from cover but retained for reinstatement prompts.</w:t>
            </w:r>
          </w:p>
        </w:tc>
      </w:tr>
    </w:tbl>
    <w:p>
      <w:pPr>
        <w:spacing w:after="40"/>
      </w:pPr>
    </w:p>
    <w:p>
      <w:r>
        <w:br w:type="page"/>
      </w:r>
    </w:p>
    <w:p>
      <w:pPr>
        <w:spacing w:before="0" w:after="80"/>
      </w:pPr>
      <w:r>
        <w:rPr>
          <w:b/>
          <w:color w:val="006B6B"/>
          <w:sz w:val="34"/>
        </w:rPr>
        <w:t>10  Tax Utilisation API</w:t>
      </w:r>
    </w:p>
    <w:p>
      <w:pPr>
        <w:spacing w:after="200"/>
      </w:pPr>
      <w:r>
        <w:rPr>
          <w:color w:val="006B6B"/>
          <w:sz w:val="12"/>
        </w:rPr>
        <w:t>────────────────────────────────────────────────────────────</w:t>
      </w:r>
    </w:p>
    <w:p>
      <w:pPr>
        <w:spacing w:before="180" w:after="60"/>
      </w:pPr>
      <w:r>
        <w:rPr>
          <w:b/>
          <w:color w:val="1A1A1A"/>
          <w:sz w:val="21"/>
        </w:rPr>
        <w:t>10.1  API Request</w:t>
      </w:r>
    </w:p>
    <w:tbl>
      <w:tblPr>
        <w:tblStyle w:val="TableGrid"/>
        <w:tblW w:type="auto" w:w="0"/>
        <w:jc w:val="left"/>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009"/>
            <w:shd w:val="clear" w:color="auto" w:fill="006B6B"/>
          </w:tcPr>
          <w:p>
            <w:pPr>
              <w:spacing w:after="40" w:before="40" w:line="240" w:lineRule="auto"/>
            </w:pPr>
            <w:r/>
            <w:r>
              <w:rPr>
                <w:rFonts w:ascii="Calibri" w:hAnsi="Calibri"/>
                <w:b/>
                <w:i w:val="0"/>
                <w:color w:val="FFFFFF"/>
                <w:sz w:val="17"/>
              </w:rPr>
              <w:t>Field Name</w:t>
            </w:r>
          </w:p>
        </w:tc>
        <w:tc>
          <w:tcPr>
            <w:tcW w:type="dxa" w:w="1117"/>
            <w:shd w:val="clear" w:color="auto" w:fill="006B6B"/>
          </w:tcPr>
          <w:p>
            <w:pPr>
              <w:spacing w:after="40" w:before="40" w:line="240" w:lineRule="auto"/>
            </w:pPr>
            <w:r/>
            <w:r>
              <w:rPr>
                <w:rFonts w:ascii="Calibri" w:hAnsi="Calibri"/>
                <w:b/>
                <w:i w:val="0"/>
                <w:color w:val="FFFFFF"/>
                <w:sz w:val="17"/>
              </w:rPr>
              <w:t>Field Type</w:t>
            </w:r>
          </w:p>
        </w:tc>
        <w:tc>
          <w:tcPr>
            <w:tcW w:type="dxa" w:w="1232"/>
            <w:shd w:val="clear" w:color="auto" w:fill="006B6B"/>
          </w:tcPr>
          <w:p>
            <w:pPr>
              <w:spacing w:after="40" w:before="40" w:line="240" w:lineRule="auto"/>
            </w:pPr>
            <w:r/>
            <w:r>
              <w:rPr>
                <w:rFonts w:ascii="Calibri" w:hAnsi="Calibri"/>
                <w:b/>
                <w:i w:val="0"/>
                <w:color w:val="FFFFFF"/>
                <w:sz w:val="17"/>
              </w:rPr>
              <w:t>Max Field Length</w:t>
            </w:r>
          </w:p>
        </w:tc>
        <w:tc>
          <w:tcPr>
            <w:tcW w:type="dxa" w:w="1547"/>
            <w:shd w:val="clear" w:color="auto" w:fill="006B6B"/>
          </w:tcPr>
          <w:p>
            <w:pPr>
              <w:spacing w:after="40" w:before="40" w:line="240" w:lineRule="auto"/>
            </w:pPr>
            <w:r/>
            <w:r>
              <w:rPr>
                <w:rFonts w:ascii="Calibri" w:hAnsi="Calibri"/>
                <w:b/>
                <w:i w:val="0"/>
                <w:color w:val="FFFFFF"/>
                <w:sz w:val="17"/>
              </w:rPr>
              <w:t>Mandatory/Optional</w:t>
            </w:r>
          </w:p>
        </w:tc>
        <w:tc>
          <w:tcPr>
            <w:tcW w:type="dxa" w:w="2436"/>
            <w:shd w:val="clear" w:color="auto" w:fill="006B6B"/>
          </w:tcPr>
          <w:p>
            <w:pPr>
              <w:spacing w:after="40" w:before="40" w:line="240" w:lineRule="auto"/>
            </w:pPr>
            <w:r/>
            <w:r>
              <w:rPr>
                <w:rFonts w:ascii="Calibri" w:hAnsi="Calibri"/>
                <w:b/>
                <w:i w:val="0"/>
                <w:color w:val="FFFFFF"/>
                <w:sz w:val="17"/>
              </w:rPr>
              <w:t>Sample Values</w:t>
            </w:r>
          </w:p>
        </w:tc>
        <w:tc>
          <w:tcPr>
            <w:tcW w:type="dxa" w:w="4699"/>
            <w:shd w:val="clear" w:color="auto" w:fill="006B6B"/>
          </w:tcPr>
          <w:p>
            <w:pPr>
              <w:spacing w:after="40" w:before="40" w:line="240" w:lineRule="auto"/>
            </w:pPr>
            <w:r/>
            <w:r>
              <w:rPr>
                <w:rFonts w:ascii="Calibri" w:hAnsi="Calibri"/>
                <w:b/>
                <w:i w:val="0"/>
                <w:color w:val="FFFFFF"/>
                <w:sz w:val="17"/>
              </w:rPr>
              <w:t>Description</w:t>
            </w:r>
          </w:p>
        </w:tc>
      </w:tr>
      <w:tr>
        <w:tc>
          <w:tcPr>
            <w:tcW w:type="dxa" w:w="3009"/>
          </w:tcPr>
          <w:p>
            <w:pPr>
              <w:spacing w:after="40" w:before="40" w:line="240" w:lineRule="auto"/>
            </w:pPr>
            <w:r/>
            <w:r>
              <w:rPr>
                <w:rFonts w:ascii="Consolas" w:hAnsi="Consolas"/>
                <w:b w:val="0"/>
                <w:color w:val="1A1A1A"/>
                <w:sz w:val="17"/>
              </w:rPr>
              <w:t>customer_id</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20</w:t>
            </w:r>
          </w:p>
        </w:tc>
        <w:tc>
          <w:tcPr>
            <w:tcW w:type="dxa" w:w="1547"/>
          </w:tcPr>
          <w:p>
            <w:pPr>
              <w:spacing w:after="40" w:before="40" w:line="240" w:lineRule="auto"/>
            </w:pPr>
            <w:r/>
            <w:r>
              <w:rPr>
                <w:rFonts w:ascii="Calibri" w:hAnsi="Calibri"/>
                <w:b w:val="0"/>
                <w:i w:val="0"/>
                <w:color w:val="1A1A1A"/>
                <w:sz w:val="17"/>
              </w:rPr>
              <w:t>Mandatory</w:t>
            </w:r>
          </w:p>
        </w:tc>
        <w:tc>
          <w:tcPr>
            <w:tcW w:type="dxa" w:w="2436"/>
          </w:tcPr>
          <w:p>
            <w:pPr>
              <w:spacing w:after="40" w:before="40" w:line="240" w:lineRule="auto"/>
            </w:pPr>
            <w:r/>
            <w:r>
              <w:rPr>
                <w:rFonts w:ascii="Calibri" w:hAnsi="Calibri"/>
                <w:b w:val="0"/>
                <w:i w:val="0"/>
                <w:color w:val="1A1A1A"/>
                <w:sz w:val="17"/>
              </w:rPr>
              <w:t>CUST-88214</w:t>
            </w:r>
          </w:p>
        </w:tc>
        <w:tc>
          <w:tcPr>
            <w:tcW w:type="dxa" w:w="4699"/>
          </w:tcPr>
          <w:p>
            <w:pPr>
              <w:spacing w:after="40" w:before="40" w:line="240" w:lineRule="auto"/>
            </w:pPr>
            <w:r/>
            <w:r>
              <w:rPr>
                <w:rFonts w:ascii="Calibri" w:hAnsi="Calibri"/>
                <w:b w:val="0"/>
                <w:i w:val="0"/>
                <w:color w:val="1A1A1A"/>
                <w:sz w:val="17"/>
              </w:rPr>
              <w:t>Unique customer identifier.</w:t>
            </w:r>
          </w:p>
        </w:tc>
      </w:tr>
      <w:tr>
        <w:tc>
          <w:tcPr>
            <w:tcW w:type="dxa" w:w="3009"/>
            <w:shd w:val="clear" w:color="auto" w:fill="F2F4F4"/>
          </w:tcPr>
          <w:p>
            <w:pPr>
              <w:spacing w:after="40" w:before="40" w:line="240" w:lineRule="auto"/>
            </w:pPr>
            <w:r/>
            <w:r>
              <w:rPr>
                <w:rFonts w:ascii="Consolas" w:hAnsi="Consolas"/>
                <w:b w:val="0"/>
                <w:color w:val="1A1A1A"/>
                <w:sz w:val="17"/>
              </w:rPr>
              <w:t>consent_reference</w:t>
            </w:r>
          </w:p>
        </w:tc>
        <w:tc>
          <w:tcPr>
            <w:tcW w:type="dxa" w:w="1117"/>
            <w:shd w:val="clear" w:color="auto" w:fill="F2F4F4"/>
          </w:tcPr>
          <w:p>
            <w:pPr>
              <w:spacing w:after="40" w:before="40" w:line="240" w:lineRule="auto"/>
            </w:pPr>
            <w:r/>
            <w:r>
              <w:rPr>
                <w:rFonts w:ascii="Calibri" w:hAnsi="Calibri"/>
                <w:b w:val="0"/>
                <w:i w:val="0"/>
                <w:color w:val="1A1A1A"/>
                <w:sz w:val="17"/>
              </w:rPr>
              <w:t>String</w:t>
            </w:r>
          </w:p>
        </w:tc>
        <w:tc>
          <w:tcPr>
            <w:tcW w:type="dxa" w:w="1232"/>
            <w:shd w:val="clear" w:color="auto" w:fill="F2F4F4"/>
          </w:tcPr>
          <w:p>
            <w:pPr>
              <w:spacing w:after="40" w:before="40" w:line="240" w:lineRule="auto"/>
            </w:pPr>
            <w:r/>
            <w:r>
              <w:rPr>
                <w:rFonts w:ascii="Calibri" w:hAnsi="Calibri"/>
                <w:b w:val="0"/>
                <w:i w:val="0"/>
                <w:color w:val="1A1A1A"/>
                <w:sz w:val="17"/>
              </w:rPr>
              <w:t>50</w:t>
            </w:r>
          </w:p>
        </w:tc>
        <w:tc>
          <w:tcPr>
            <w:tcW w:type="dxa" w:w="1547"/>
            <w:shd w:val="clear" w:color="auto" w:fill="F2F4F4"/>
          </w:tcPr>
          <w:p>
            <w:pPr>
              <w:spacing w:after="40" w:before="40" w:line="240" w:lineRule="auto"/>
            </w:pPr>
            <w:r/>
            <w:r>
              <w:rPr>
                <w:rFonts w:ascii="Calibri" w:hAnsi="Calibri"/>
                <w:b w:val="0"/>
                <w:i w:val="0"/>
                <w:color w:val="1A1A1A"/>
                <w:sz w:val="17"/>
              </w:rPr>
              <w:t>Mandatory</w:t>
            </w:r>
          </w:p>
        </w:tc>
        <w:tc>
          <w:tcPr>
            <w:tcW w:type="dxa" w:w="2436"/>
            <w:shd w:val="clear" w:color="auto" w:fill="F2F4F4"/>
          </w:tcPr>
          <w:p>
            <w:pPr>
              <w:spacing w:after="40" w:before="40" w:line="240" w:lineRule="auto"/>
            </w:pPr>
            <w:r/>
            <w:r>
              <w:rPr>
                <w:rFonts w:ascii="Calibri" w:hAnsi="Calibri"/>
                <w:b w:val="0"/>
                <w:i w:val="0"/>
                <w:color w:val="1A1A1A"/>
                <w:sz w:val="17"/>
              </w:rPr>
              <w:t>CONS_MITRA_982731</w:t>
            </w:r>
          </w:p>
        </w:tc>
        <w:tc>
          <w:tcPr>
            <w:tcW w:type="dxa" w:w="4699"/>
            <w:shd w:val="clear" w:color="auto" w:fill="F2F4F4"/>
          </w:tcPr>
          <w:p>
            <w:pPr>
              <w:spacing w:after="40" w:before="40" w:line="240" w:lineRule="auto"/>
            </w:pPr>
            <w:r/>
            <w:r>
              <w:rPr>
                <w:rFonts w:ascii="Calibri" w:hAnsi="Calibri"/>
                <w:b w:val="0"/>
                <w:i w:val="0"/>
                <w:color w:val="1A1A1A"/>
                <w:sz w:val="17"/>
              </w:rPr>
              <w:t>Consent artefact reference.</w:t>
            </w:r>
          </w:p>
        </w:tc>
      </w:tr>
      <w:tr>
        <w:tc>
          <w:tcPr>
            <w:tcW w:type="dxa" w:w="3009"/>
          </w:tcPr>
          <w:p>
            <w:pPr>
              <w:spacing w:after="40" w:before="40" w:line="240" w:lineRule="auto"/>
            </w:pPr>
            <w:r/>
            <w:r>
              <w:rPr>
                <w:rFonts w:ascii="Consolas" w:hAnsi="Consolas"/>
                <w:b w:val="0"/>
                <w:color w:val="1A1A1A"/>
                <w:sz w:val="17"/>
              </w:rPr>
              <w:t>assessment_year</w:t>
            </w:r>
          </w:p>
        </w:tc>
        <w:tc>
          <w:tcPr>
            <w:tcW w:type="dxa" w:w="1117"/>
          </w:tcPr>
          <w:p>
            <w:pPr>
              <w:spacing w:after="40" w:before="40" w:line="240" w:lineRule="auto"/>
            </w:pPr>
            <w:r/>
            <w:r>
              <w:rPr>
                <w:rFonts w:ascii="Calibri" w:hAnsi="Calibri"/>
                <w:b w:val="0"/>
                <w:i w:val="0"/>
                <w:color w:val="1A1A1A"/>
                <w:sz w:val="17"/>
              </w:rPr>
              <w:t>String</w:t>
            </w:r>
          </w:p>
        </w:tc>
        <w:tc>
          <w:tcPr>
            <w:tcW w:type="dxa" w:w="1232"/>
          </w:tcPr>
          <w:p>
            <w:pPr>
              <w:spacing w:after="40" w:before="40" w:line="240" w:lineRule="auto"/>
            </w:pPr>
            <w:r/>
            <w:r>
              <w:rPr>
                <w:rFonts w:ascii="Calibri" w:hAnsi="Calibri"/>
                <w:b w:val="0"/>
                <w:i w:val="0"/>
                <w:color w:val="1A1A1A"/>
                <w:sz w:val="17"/>
              </w:rPr>
              <w:t>7</w:t>
            </w:r>
          </w:p>
        </w:tc>
        <w:tc>
          <w:tcPr>
            <w:tcW w:type="dxa" w:w="1547"/>
          </w:tcPr>
          <w:p>
            <w:pPr>
              <w:spacing w:after="40" w:before="40" w:line="240" w:lineRule="auto"/>
            </w:pPr>
            <w:r/>
            <w:r>
              <w:rPr>
                <w:rFonts w:ascii="Calibri" w:hAnsi="Calibri"/>
                <w:b w:val="0"/>
                <w:i w:val="0"/>
                <w:color w:val="1A1A1A"/>
                <w:sz w:val="17"/>
              </w:rPr>
              <w:t>Optional</w:t>
            </w:r>
          </w:p>
        </w:tc>
        <w:tc>
          <w:tcPr>
            <w:tcW w:type="dxa" w:w="2436"/>
          </w:tcPr>
          <w:p>
            <w:pPr>
              <w:spacing w:after="40" w:before="40" w:line="240" w:lineRule="auto"/>
            </w:pPr>
            <w:r/>
            <w:r>
              <w:rPr>
                <w:rFonts w:ascii="Calibri" w:hAnsi="Calibri"/>
                <w:b w:val="0"/>
                <w:i w:val="0"/>
                <w:color w:val="1A1A1A"/>
                <w:sz w:val="17"/>
              </w:rPr>
              <w:t>2027-28</w:t>
            </w:r>
          </w:p>
        </w:tc>
        <w:tc>
          <w:tcPr>
            <w:tcW w:type="dxa" w:w="4699"/>
          </w:tcPr>
          <w:p>
            <w:pPr>
              <w:spacing w:after="40" w:before="40" w:line="240" w:lineRule="auto"/>
            </w:pPr>
            <w:r/>
            <w:r>
              <w:rPr>
                <w:rFonts w:ascii="Calibri" w:hAnsi="Calibri"/>
                <w:b w:val="0"/>
                <w:i w:val="0"/>
                <w:color w:val="1A1A1A"/>
                <w:sz w:val="17"/>
              </w:rPr>
              <w:t>Assessment year. Defaults to the current one.</w:t>
            </w:r>
          </w:p>
        </w:tc>
      </w:tr>
    </w:tbl>
    <w:p>
      <w:pPr>
        <w:spacing w:after="40"/>
      </w:pPr>
    </w:p>
    <w:p>
      <w:pPr>
        <w:spacing w:before="180" w:after="60"/>
      </w:pPr>
      <w:r>
        <w:rPr>
          <w:b/>
          <w:color w:val="1A1A1A"/>
          <w:sz w:val="21"/>
        </w:rPr>
        <w:t>10.2  API Response</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assessment_year</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7</w:t>
            </w:r>
          </w:p>
        </w:tc>
        <w:tc>
          <w:tcPr>
            <w:tcW w:type="dxa" w:w="2563"/>
          </w:tcPr>
          <w:p>
            <w:pPr>
              <w:spacing w:after="40" w:before="40" w:line="240" w:lineRule="auto"/>
            </w:pPr>
            <w:r/>
            <w:r>
              <w:rPr>
                <w:rFonts w:ascii="Calibri" w:hAnsi="Calibri"/>
                <w:b w:val="0"/>
                <w:i w:val="0"/>
                <w:color w:val="1A1A1A"/>
                <w:sz w:val="17"/>
              </w:rPr>
              <w:t>2027-28</w:t>
            </w:r>
          </w:p>
        </w:tc>
        <w:tc>
          <w:tcPr>
            <w:tcW w:type="dxa" w:w="5947"/>
          </w:tcPr>
          <w:p>
            <w:pPr>
              <w:spacing w:after="40" w:before="40" w:line="240" w:lineRule="auto"/>
            </w:pPr>
            <w:r/>
            <w:r>
              <w:rPr>
                <w:rFonts w:ascii="Calibri" w:hAnsi="Calibri"/>
                <w:b w:val="0"/>
                <w:i w:val="0"/>
                <w:color w:val="1A1A1A"/>
                <w:sz w:val="17"/>
              </w:rPr>
              <w:t>Assessment year in force.</w:t>
            </w:r>
          </w:p>
        </w:tc>
      </w:tr>
      <w:tr>
        <w:tc>
          <w:tcPr>
            <w:tcW w:type="dxa" w:w="3168"/>
            <w:shd w:val="clear" w:color="auto" w:fill="F2F4F4"/>
          </w:tcPr>
          <w:p>
            <w:pPr>
              <w:spacing w:after="40" w:before="40" w:line="240" w:lineRule="auto"/>
            </w:pPr>
            <w:r/>
            <w:r>
              <w:rPr>
                <w:rFonts w:ascii="Consolas" w:hAnsi="Consolas"/>
                <w:b w:val="0"/>
                <w:color w:val="1A1A1A"/>
                <w:sz w:val="17"/>
              </w:rPr>
              <w:t>financial_year_end_date</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31-03-27</w:t>
            </w:r>
          </w:p>
        </w:tc>
        <w:tc>
          <w:tcPr>
            <w:tcW w:type="dxa" w:w="5947"/>
            <w:shd w:val="clear" w:color="auto" w:fill="F2F4F4"/>
          </w:tcPr>
          <w:p>
            <w:pPr>
              <w:spacing w:after="40" w:before="40" w:line="240" w:lineRule="auto"/>
            </w:pPr>
            <w:r/>
            <w:r>
              <w:rPr>
                <w:rFonts w:ascii="Calibri" w:hAnsi="Calibri"/>
                <w:b w:val="0"/>
                <w:i w:val="0"/>
                <w:color w:val="1A1A1A"/>
                <w:sz w:val="17"/>
              </w:rPr>
              <w:t>Financial year end. Determines the months remaining for deduction top-up — this must be derived from the date, never assumed.</w:t>
            </w:r>
          </w:p>
        </w:tc>
      </w:tr>
      <w:tr>
        <w:tc>
          <w:tcPr>
            <w:tcW w:type="dxa" w:w="3168"/>
          </w:tcPr>
          <w:p>
            <w:pPr>
              <w:spacing w:after="40" w:before="40" w:line="240" w:lineRule="auto"/>
            </w:pPr>
            <w:r/>
            <w:r>
              <w:rPr>
                <w:rFonts w:ascii="Consolas" w:hAnsi="Consolas"/>
                <w:b w:val="0"/>
                <w:color w:val="1A1A1A"/>
                <w:sz w:val="17"/>
              </w:rPr>
              <w:t>tax_regime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OLD</w:t>
            </w:r>
          </w:p>
        </w:tc>
        <w:tc>
          <w:tcPr>
            <w:tcW w:type="dxa" w:w="5947"/>
          </w:tcPr>
          <w:p>
            <w:pPr>
              <w:spacing w:after="40" w:before="40" w:line="240" w:lineRule="auto"/>
            </w:pPr>
            <w:r/>
            <w:r>
              <w:rPr>
                <w:rFonts w:ascii="Calibri" w:hAnsi="Calibri"/>
                <w:b w:val="0"/>
                <w:i w:val="0"/>
                <w:color w:val="1A1A1A"/>
                <w:sz w:val="17"/>
              </w:rPr>
              <w:t>OLD, NEW or UNDECIDED. When UNDECIDED, MITRA presents a comparison instead of a recommendation.</w:t>
            </w:r>
          </w:p>
        </w:tc>
      </w:tr>
      <w:tr>
        <w:tc>
          <w:tcPr>
            <w:tcW w:type="dxa" w:w="3168"/>
            <w:shd w:val="clear" w:color="auto" w:fill="F2F4F4"/>
          </w:tcPr>
          <w:p>
            <w:pPr>
              <w:spacing w:after="40" w:before="40" w:line="240" w:lineRule="auto"/>
            </w:pPr>
            <w:r/>
            <w:r>
              <w:rPr>
                <w:rFonts w:ascii="Consolas" w:hAnsi="Consolas"/>
                <w:b w:val="0"/>
                <w:color w:val="1A1A1A"/>
                <w:sz w:val="17"/>
              </w:rPr>
              <w:t>regime_confirmed_flag</w:t>
            </w:r>
          </w:p>
        </w:tc>
        <w:tc>
          <w:tcPr>
            <w:tcW w:type="dxa" w:w="1123"/>
            <w:shd w:val="clear" w:color="auto" w:fill="F2F4F4"/>
          </w:tcPr>
          <w:p>
            <w:pPr>
              <w:spacing w:after="40" w:before="40" w:line="240" w:lineRule="auto"/>
            </w:pPr>
            <w:r/>
            <w:r>
              <w:rPr>
                <w:rFonts w:ascii="Calibri" w:hAnsi="Calibri"/>
                <w:b w:val="0"/>
                <w:i w:val="0"/>
                <w:color w:val="1A1A1A"/>
                <w:sz w:val="17"/>
              </w:rPr>
              <w:t>Boolean</w:t>
            </w:r>
          </w:p>
        </w:tc>
        <w:tc>
          <w:tcPr>
            <w:tcW w:type="dxa" w:w="1238"/>
            <w:shd w:val="clear" w:color="auto" w:fill="F2F4F4"/>
          </w:tcPr>
          <w:p>
            <w:pPr>
              <w:spacing w:after="40" w:before="40" w:line="240" w:lineRule="auto"/>
            </w:pPr>
            <w:r/>
            <w:r>
              <w:rPr>
                <w:rFonts w:ascii="Calibri" w:hAnsi="Calibri"/>
                <w:b w:val="0"/>
                <w:i w:val="0"/>
                <w:color w:val="1A1A1A"/>
                <w:sz w:val="17"/>
              </w:rPr>
              <w:t>1</w:t>
            </w:r>
          </w:p>
        </w:tc>
        <w:tc>
          <w:tcPr>
            <w:tcW w:type="dxa" w:w="2563"/>
            <w:shd w:val="clear" w:color="auto" w:fill="F2F4F4"/>
          </w:tcPr>
          <w:p>
            <w:pPr>
              <w:spacing w:after="40" w:before="40" w:line="240" w:lineRule="auto"/>
            </w:pPr>
            <w:r/>
            <w:r>
              <w:rPr>
                <w:rFonts w:ascii="Calibri" w:hAnsi="Calibri"/>
                <w:b w:val="0"/>
                <w:i w:val="0"/>
                <w:color w:val="1A1A1A"/>
                <w:sz w:val="17"/>
              </w:rPr>
              <w:t>false</w:t>
            </w:r>
          </w:p>
        </w:tc>
        <w:tc>
          <w:tcPr>
            <w:tcW w:type="dxa" w:w="5947"/>
            <w:shd w:val="clear" w:color="auto" w:fill="F2F4F4"/>
          </w:tcPr>
          <w:p>
            <w:pPr>
              <w:spacing w:after="40" w:before="40" w:line="240" w:lineRule="auto"/>
            </w:pPr>
            <w:r/>
            <w:r>
              <w:rPr>
                <w:rFonts w:ascii="Calibri" w:hAnsi="Calibri"/>
                <w:b w:val="0"/>
                <w:i w:val="0"/>
                <w:color w:val="1A1A1A"/>
                <w:sz w:val="17"/>
              </w:rPr>
              <w:t>Whether the customer has confirmed the regime. Unconfirmed regimes are treated as an assumption and disclosed as such.</w:t>
            </w:r>
          </w:p>
        </w:tc>
      </w:tr>
      <w:tr>
        <w:tc>
          <w:tcPr>
            <w:tcW w:type="dxa" w:w="3168"/>
          </w:tcPr>
          <w:p>
            <w:pPr>
              <w:spacing w:after="40" w:before="40" w:line="240" w:lineRule="auto"/>
            </w:pPr>
            <w:r/>
            <w:r>
              <w:rPr>
                <w:rFonts w:ascii="Consolas" w:hAnsi="Consolas"/>
                <w:b w:val="0"/>
                <w:color w:val="1A1A1A"/>
                <w:sz w:val="17"/>
              </w:rPr>
              <w:t>estimated_annual_income</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1140000.00</w:t>
            </w:r>
          </w:p>
        </w:tc>
        <w:tc>
          <w:tcPr>
            <w:tcW w:type="dxa" w:w="5947"/>
          </w:tcPr>
          <w:p>
            <w:pPr>
              <w:spacing w:after="40" w:before="40" w:line="240" w:lineRule="auto"/>
            </w:pPr>
            <w:r/>
            <w:r>
              <w:rPr>
                <w:rFonts w:ascii="Calibri" w:hAnsi="Calibri"/>
                <w:b w:val="0"/>
                <w:i w:val="0"/>
                <w:color w:val="1A1A1A"/>
                <w:sz w:val="17"/>
              </w:rPr>
              <w:t>Estimated taxable income for the year.</w:t>
            </w:r>
          </w:p>
        </w:tc>
      </w:tr>
      <w:tr>
        <w:tc>
          <w:tcPr>
            <w:tcW w:type="dxa" w:w="3168"/>
            <w:shd w:val="clear" w:color="auto" w:fill="F2F4F4"/>
          </w:tcPr>
          <w:p>
            <w:pPr>
              <w:spacing w:after="40" w:before="40" w:line="240" w:lineRule="auto"/>
            </w:pPr>
            <w:r/>
            <w:r>
              <w:rPr>
                <w:rFonts w:ascii="Consolas" w:hAnsi="Consolas"/>
                <w:b w:val="0"/>
                <w:color w:val="1A1A1A"/>
                <w:sz w:val="17"/>
              </w:rPr>
              <w:t>estimated_slab_rate_pct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5,2</w:t>
            </w:r>
          </w:p>
        </w:tc>
        <w:tc>
          <w:tcPr>
            <w:tcW w:type="dxa" w:w="2563"/>
            <w:shd w:val="clear" w:color="auto" w:fill="F2F4F4"/>
          </w:tcPr>
          <w:p>
            <w:pPr>
              <w:spacing w:after="40" w:before="40" w:line="240" w:lineRule="auto"/>
            </w:pPr>
            <w:r/>
            <w:r>
              <w:rPr>
                <w:rFonts w:ascii="Calibri" w:hAnsi="Calibri"/>
                <w:b w:val="0"/>
                <w:i w:val="0"/>
                <w:color w:val="1A1A1A"/>
                <w:sz w:val="17"/>
              </w:rPr>
              <w:t>31.20</w:t>
            </w:r>
          </w:p>
        </w:tc>
        <w:tc>
          <w:tcPr>
            <w:tcW w:type="dxa" w:w="5947"/>
            <w:shd w:val="clear" w:color="auto" w:fill="F2F4F4"/>
          </w:tcPr>
          <w:p>
            <w:pPr>
              <w:spacing w:after="40" w:before="40" w:line="240" w:lineRule="auto"/>
            </w:pPr>
            <w:r/>
            <w:r>
              <w:rPr>
                <w:rFonts w:ascii="Calibri" w:hAnsi="Calibri"/>
                <w:b w:val="0"/>
                <w:i w:val="0"/>
                <w:color w:val="1A1A1A"/>
                <w:sz w:val="17"/>
              </w:rPr>
              <w:t>Marginal rate including cess. Drives the estimated saving figure — a flat assumed rate misstates it for most customers.</w:t>
            </w:r>
          </w:p>
        </w:tc>
      </w:tr>
      <w:tr>
        <w:tc>
          <w:tcPr>
            <w:tcW w:type="dxa" w:w="3168"/>
          </w:tcPr>
          <w:p>
            <w:pPr>
              <w:spacing w:after="40" w:before="40" w:line="240" w:lineRule="auto"/>
            </w:pPr>
            <w:r/>
            <w:r>
              <w:rPr>
                <w:rFonts w:ascii="Consolas" w:hAnsi="Consolas"/>
                <w:b w:val="0"/>
                <w:color w:val="1A1A1A"/>
                <w:sz w:val="17"/>
              </w:rPr>
              <w:t>section_code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80C</w:t>
            </w:r>
          </w:p>
        </w:tc>
        <w:tc>
          <w:tcPr>
            <w:tcW w:type="dxa" w:w="5947"/>
          </w:tcPr>
          <w:p>
            <w:pPr>
              <w:spacing w:after="40" w:before="40" w:line="240" w:lineRule="auto"/>
            </w:pPr>
            <w:r/>
            <w:r>
              <w:rPr>
                <w:rFonts w:ascii="Calibri" w:hAnsi="Calibri"/>
                <w:b w:val="0"/>
                <w:i w:val="0"/>
                <w:color w:val="1A1A1A"/>
                <w:sz w:val="17"/>
              </w:rPr>
              <w:t>Deduction section: 80C, 80D, 80CCD1B, 80E, 24B.</w:t>
            </w:r>
          </w:p>
        </w:tc>
      </w:tr>
      <w:tr>
        <w:tc>
          <w:tcPr>
            <w:tcW w:type="dxa" w:w="3168"/>
            <w:shd w:val="clear" w:color="auto" w:fill="F2F4F4"/>
          </w:tcPr>
          <w:p>
            <w:pPr>
              <w:spacing w:after="40" w:before="40" w:line="240" w:lineRule="auto"/>
            </w:pPr>
            <w:r/>
            <w:r>
              <w:rPr>
                <w:rFonts w:ascii="Consolas" w:hAnsi="Consolas"/>
                <w:b w:val="0"/>
                <w:color w:val="1A1A1A"/>
                <w:sz w:val="17"/>
              </w:rPr>
              <w:t>deduction_limit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150000.00</w:t>
            </w:r>
          </w:p>
        </w:tc>
        <w:tc>
          <w:tcPr>
            <w:tcW w:type="dxa" w:w="5947"/>
            <w:shd w:val="clear" w:color="auto" w:fill="F2F4F4"/>
          </w:tcPr>
          <w:p>
            <w:pPr>
              <w:spacing w:after="40" w:before="40" w:line="240" w:lineRule="auto"/>
            </w:pPr>
            <w:r/>
            <w:r>
              <w:rPr>
                <w:rFonts w:ascii="Calibri" w:hAnsi="Calibri"/>
                <w:b w:val="0"/>
                <w:i w:val="0"/>
                <w:color w:val="1A1A1A"/>
                <w:sz w:val="17"/>
              </w:rPr>
              <w:t>Statutory limit for the section. Sourced as a policy parameter so a Budget change requires no code release.</w:t>
            </w:r>
          </w:p>
        </w:tc>
      </w:tr>
      <w:tr>
        <w:tc>
          <w:tcPr>
            <w:tcW w:type="dxa" w:w="3168"/>
          </w:tcPr>
          <w:p>
            <w:pPr>
              <w:spacing w:after="40" w:before="40" w:line="240" w:lineRule="auto"/>
            </w:pPr>
            <w:r/>
            <w:r>
              <w:rPr>
                <w:rFonts w:ascii="Consolas" w:hAnsi="Consolas"/>
                <w:b w:val="0"/>
                <w:color w:val="1A1A1A"/>
                <w:sz w:val="17"/>
              </w:rPr>
              <w:t>deduction_utilised</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69000.00</w:t>
            </w:r>
          </w:p>
        </w:tc>
        <w:tc>
          <w:tcPr>
            <w:tcW w:type="dxa" w:w="5947"/>
          </w:tcPr>
          <w:p>
            <w:pPr>
              <w:spacing w:after="40" w:before="40" w:line="240" w:lineRule="auto"/>
            </w:pPr>
            <w:r/>
            <w:r>
              <w:rPr>
                <w:rFonts w:ascii="Calibri" w:hAnsi="Calibri"/>
                <w:b w:val="0"/>
                <w:i w:val="0"/>
                <w:color w:val="1A1A1A"/>
                <w:sz w:val="17"/>
              </w:rPr>
              <w:t>Amount utilised to date.</w:t>
            </w:r>
          </w:p>
        </w:tc>
      </w:tr>
      <w:tr>
        <w:tc>
          <w:tcPr>
            <w:tcW w:type="dxa" w:w="3168"/>
            <w:shd w:val="clear" w:color="auto" w:fill="F2F4F4"/>
          </w:tcPr>
          <w:p>
            <w:pPr>
              <w:spacing w:after="40" w:before="40" w:line="240" w:lineRule="auto"/>
            </w:pPr>
            <w:r/>
            <w:r>
              <w:rPr>
                <w:rFonts w:ascii="Consolas" w:hAnsi="Consolas"/>
                <w:b w:val="0"/>
                <w:color w:val="1A1A1A"/>
                <w:sz w:val="17"/>
              </w:rPr>
              <w:t>deduction_gap</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81000.00</w:t>
            </w:r>
          </w:p>
        </w:tc>
        <w:tc>
          <w:tcPr>
            <w:tcW w:type="dxa" w:w="5947"/>
            <w:shd w:val="clear" w:color="auto" w:fill="F2F4F4"/>
          </w:tcPr>
          <w:p>
            <w:pPr>
              <w:spacing w:after="40" w:before="40" w:line="240" w:lineRule="auto"/>
            </w:pPr>
            <w:r/>
            <w:r>
              <w:rPr>
                <w:rFonts w:ascii="Calibri" w:hAnsi="Calibri"/>
                <w:b w:val="0"/>
                <w:i w:val="0"/>
                <w:color w:val="1A1A1A"/>
                <w:sz w:val="17"/>
              </w:rPr>
              <w:t>Engineered as deduction_limit − deduction_utilised.</w:t>
            </w:r>
          </w:p>
        </w:tc>
      </w:tr>
      <w:tr>
        <w:tc>
          <w:tcPr>
            <w:tcW w:type="dxa" w:w="3168"/>
          </w:tcPr>
          <w:p>
            <w:pPr>
              <w:spacing w:after="40" w:before="40" w:line="240" w:lineRule="auto"/>
            </w:pPr>
            <w:r/>
            <w:r>
              <w:rPr>
                <w:rFonts w:ascii="Consolas" w:hAnsi="Consolas"/>
                <w:b w:val="0"/>
                <w:color w:val="1A1A1A"/>
                <w:sz w:val="17"/>
              </w:rPr>
              <w:t>utilisation_verified_flag</w:t>
            </w:r>
          </w:p>
        </w:tc>
        <w:tc>
          <w:tcPr>
            <w:tcW w:type="dxa" w:w="1123"/>
          </w:tcPr>
          <w:p>
            <w:pPr>
              <w:spacing w:after="40" w:before="40" w:line="240" w:lineRule="auto"/>
            </w:pPr>
            <w:r/>
            <w:r>
              <w:rPr>
                <w:rFonts w:ascii="Calibri" w:hAnsi="Calibri"/>
                <w:b w:val="0"/>
                <w:i w:val="0"/>
                <w:color w:val="1A1A1A"/>
                <w:sz w:val="17"/>
              </w:rPr>
              <w:t>Boolean</w:t>
            </w:r>
          </w:p>
        </w:tc>
        <w:tc>
          <w:tcPr>
            <w:tcW w:type="dxa" w:w="1238"/>
          </w:tcPr>
          <w:p>
            <w:pPr>
              <w:spacing w:after="40" w:before="40" w:line="240" w:lineRule="auto"/>
            </w:pPr>
            <w:r/>
            <w:r>
              <w:rPr>
                <w:rFonts w:ascii="Calibri" w:hAnsi="Calibri"/>
                <w:b w:val="0"/>
                <w:i w:val="0"/>
                <w:color w:val="1A1A1A"/>
                <w:sz w:val="17"/>
              </w:rPr>
              <w:t>1</w:t>
            </w:r>
          </w:p>
        </w:tc>
        <w:tc>
          <w:tcPr>
            <w:tcW w:type="dxa" w:w="2563"/>
          </w:tcPr>
          <w:p>
            <w:pPr>
              <w:spacing w:after="40" w:before="40" w:line="240" w:lineRule="auto"/>
            </w:pPr>
            <w:r/>
            <w:r>
              <w:rPr>
                <w:rFonts w:ascii="Calibri" w:hAnsi="Calibri"/>
                <w:b w:val="0"/>
                <w:i w:val="0"/>
                <w:color w:val="1A1A1A"/>
                <w:sz w:val="17"/>
              </w:rPr>
              <w:t>true</w:t>
            </w:r>
          </w:p>
        </w:tc>
        <w:tc>
          <w:tcPr>
            <w:tcW w:type="dxa" w:w="5947"/>
          </w:tcPr>
          <w:p>
            <w:pPr>
              <w:spacing w:after="40" w:before="40" w:line="240" w:lineRule="auto"/>
            </w:pPr>
            <w:r/>
            <w:r>
              <w:rPr>
                <w:rFonts w:ascii="Calibri" w:hAnsi="Calibri"/>
                <w:b w:val="0"/>
                <w:i w:val="0"/>
                <w:color w:val="1A1A1A"/>
                <w:sz w:val="17"/>
              </w:rPr>
              <w:t>Whether utilisation is confirmed from instruments held, or self-declared. Unverified figures carry a disclosure.</w:t>
            </w:r>
          </w:p>
        </w:tc>
      </w:tr>
      <w:tr>
        <w:tc>
          <w:tcPr>
            <w:tcW w:type="dxa" w:w="3168"/>
            <w:shd w:val="clear" w:color="auto" w:fill="F2F4F4"/>
          </w:tcPr>
          <w:p>
            <w:pPr>
              <w:spacing w:after="40" w:before="40" w:line="240" w:lineRule="auto"/>
            </w:pPr>
            <w:r/>
            <w:r>
              <w:rPr>
                <w:rFonts w:ascii="Consolas" w:hAnsi="Consolas"/>
                <w:b w:val="0"/>
                <w:color w:val="1A1A1A"/>
                <w:sz w:val="17"/>
              </w:rPr>
              <w:t>ltcg_realised_ytd</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0.00</w:t>
            </w:r>
          </w:p>
        </w:tc>
        <w:tc>
          <w:tcPr>
            <w:tcW w:type="dxa" w:w="5947"/>
            <w:shd w:val="clear" w:color="auto" w:fill="F2F4F4"/>
          </w:tcPr>
          <w:p>
            <w:pPr>
              <w:spacing w:after="40" w:before="40" w:line="240" w:lineRule="auto"/>
            </w:pPr>
            <w:r/>
            <w:r>
              <w:rPr>
                <w:rFonts w:ascii="Calibri" w:hAnsi="Calibri"/>
                <w:b w:val="0"/>
                <w:i w:val="0"/>
                <w:color w:val="1A1A1A"/>
                <w:sz w:val="17"/>
              </w:rPr>
              <w:t>Long-term capital gains realised in the year to date.</w:t>
            </w:r>
          </w:p>
        </w:tc>
      </w:tr>
      <w:tr>
        <w:tc>
          <w:tcPr>
            <w:tcW w:type="dxa" w:w="3168"/>
          </w:tcPr>
          <w:p>
            <w:pPr>
              <w:spacing w:after="40" w:before="40" w:line="240" w:lineRule="auto"/>
            </w:pPr>
            <w:r/>
            <w:r>
              <w:rPr>
                <w:rFonts w:ascii="Consolas" w:hAnsi="Consolas"/>
                <w:b w:val="0"/>
                <w:color w:val="1A1A1A"/>
                <w:sz w:val="17"/>
              </w:rPr>
              <w:t>ltcg_exemption_limit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125000.00</w:t>
            </w:r>
          </w:p>
        </w:tc>
        <w:tc>
          <w:tcPr>
            <w:tcW w:type="dxa" w:w="5947"/>
          </w:tcPr>
          <w:p>
            <w:pPr>
              <w:spacing w:after="40" w:before="40" w:line="240" w:lineRule="auto"/>
            </w:pPr>
            <w:r/>
            <w:r>
              <w:rPr>
                <w:rFonts w:ascii="Calibri" w:hAnsi="Calibri"/>
                <w:b w:val="0"/>
                <w:i w:val="0"/>
                <w:color w:val="1A1A1A"/>
                <w:sz w:val="17"/>
              </w:rPr>
              <w:t>Annual LTCG exemption. Policy parameter, revised at each Budget.</w:t>
            </w:r>
          </w:p>
        </w:tc>
      </w:tr>
      <w:tr>
        <w:tc>
          <w:tcPr>
            <w:tcW w:type="dxa" w:w="3168"/>
            <w:shd w:val="clear" w:color="auto" w:fill="F2F4F4"/>
          </w:tcPr>
          <w:p>
            <w:pPr>
              <w:spacing w:after="40" w:before="40" w:line="240" w:lineRule="auto"/>
            </w:pPr>
            <w:r/>
            <w:r>
              <w:rPr>
                <w:rFonts w:ascii="Consolas" w:hAnsi="Consolas"/>
                <w:b w:val="0"/>
                <w:color w:val="1A1A1A"/>
                <w:sz w:val="17"/>
              </w:rPr>
              <w:t>ltcg_exemption_remaining</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125000.00</w:t>
            </w:r>
          </w:p>
        </w:tc>
        <w:tc>
          <w:tcPr>
            <w:tcW w:type="dxa" w:w="5947"/>
            <w:shd w:val="clear" w:color="auto" w:fill="F2F4F4"/>
          </w:tcPr>
          <w:p>
            <w:pPr>
              <w:spacing w:after="40" w:before="40" w:line="240" w:lineRule="auto"/>
            </w:pPr>
            <w:r/>
            <w:r>
              <w:rPr>
                <w:rFonts w:ascii="Calibri" w:hAnsi="Calibri"/>
                <w:b w:val="0"/>
                <w:i w:val="0"/>
                <w:color w:val="1A1A1A"/>
                <w:sz w:val="17"/>
              </w:rPr>
              <w:t>Engineered as ltcg_exemption_limit − ltcg_realised_ytd. Drives the harvesting recommendation.</w:t>
            </w:r>
          </w:p>
        </w:tc>
      </w:tr>
      <w:tr>
        <w:tc>
          <w:tcPr>
            <w:tcW w:type="dxa" w:w="3168"/>
          </w:tcPr>
          <w:p>
            <w:pPr>
              <w:spacing w:after="40" w:before="40" w:line="240" w:lineRule="auto"/>
            </w:pPr>
            <w:r/>
            <w:r>
              <w:rPr>
                <w:rFonts w:ascii="Consolas" w:hAnsi="Consolas"/>
                <w:b w:val="0"/>
                <w:color w:val="1A1A1A"/>
                <w:sz w:val="17"/>
              </w:rPr>
              <w:t>stcg_realised_ytd</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0.00</w:t>
            </w:r>
          </w:p>
        </w:tc>
        <w:tc>
          <w:tcPr>
            <w:tcW w:type="dxa" w:w="5947"/>
          </w:tcPr>
          <w:p>
            <w:pPr>
              <w:spacing w:after="40" w:before="40" w:line="240" w:lineRule="auto"/>
            </w:pPr>
            <w:r/>
            <w:r>
              <w:rPr>
                <w:rFonts w:ascii="Calibri" w:hAnsi="Calibri"/>
                <w:b w:val="0"/>
                <w:i w:val="0"/>
                <w:color w:val="1A1A1A"/>
                <w:sz w:val="17"/>
              </w:rPr>
              <w:t>Short-term capital gains realised in the year to date.</w:t>
            </w:r>
          </w:p>
        </w:tc>
      </w:tr>
      <w:tr>
        <w:tc>
          <w:tcPr>
            <w:tcW w:type="dxa" w:w="3168"/>
            <w:shd w:val="clear" w:color="auto" w:fill="F2F4F4"/>
          </w:tcPr>
          <w:p>
            <w:pPr>
              <w:spacing w:after="40" w:before="40" w:line="240" w:lineRule="auto"/>
            </w:pPr>
            <w:r/>
            <w:r>
              <w:rPr>
                <w:rFonts w:ascii="Consolas" w:hAnsi="Consolas"/>
                <w:b w:val="0"/>
                <w:color w:val="1A1A1A"/>
                <w:sz w:val="17"/>
              </w:rPr>
              <w:t>advance_tax_paid_ytd</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0.00</w:t>
            </w:r>
          </w:p>
        </w:tc>
        <w:tc>
          <w:tcPr>
            <w:tcW w:type="dxa" w:w="5947"/>
            <w:shd w:val="clear" w:color="auto" w:fill="F2F4F4"/>
          </w:tcPr>
          <w:p>
            <w:pPr>
              <w:spacing w:after="40" w:before="40" w:line="240" w:lineRule="auto"/>
            </w:pPr>
            <w:r/>
            <w:r>
              <w:rPr>
                <w:rFonts w:ascii="Calibri" w:hAnsi="Calibri"/>
                <w:b w:val="0"/>
                <w:i w:val="0"/>
                <w:color w:val="1A1A1A"/>
                <w:sz w:val="17"/>
              </w:rPr>
              <w:t>Preferred. Enables advance-tax instalment reminders.</w:t>
            </w:r>
          </w:p>
        </w:tc>
      </w:tr>
    </w:tbl>
    <w:p>
      <w:pPr>
        <w:spacing w:after="40"/>
      </w:pPr>
    </w:p>
    <w:p>
      <w:r>
        <w:br w:type="page"/>
      </w:r>
    </w:p>
    <w:p>
      <w:pPr>
        <w:spacing w:before="0" w:after="80"/>
      </w:pPr>
      <w:r>
        <w:rPr>
          <w:b/>
          <w:color w:val="006B6B"/>
          <w:sz w:val="34"/>
        </w:rPr>
        <w:t>11  Derived Cashflow and Spending</w:t>
      </w:r>
    </w:p>
    <w:p>
      <w:pPr>
        <w:spacing w:after="200"/>
      </w:pPr>
      <w:r>
        <w:rPr>
          <w:color w:val="006B6B"/>
          <w:sz w:val="12"/>
        </w:rPr>
        <w:t>────────────────────────────────────────────────────────────</w:t>
      </w:r>
    </w:p>
    <w:p>
      <w:pPr>
        <w:spacing w:after="120"/>
      </w:pPr>
      <w:r>
        <w:rPr>
          <w:b w:val="0"/>
          <w:i w:val="0"/>
          <w:color w:val="5A6363"/>
          <w:sz w:val="19"/>
        </w:rPr>
        <w:t>All fields in this section are engineered by MITRA from the Transactions API (Section 7). They are documented here because they are persisted, auditable, and may alternatively be supplied by the bank's analytics platform.</w:t>
      </w:r>
    </w:p>
    <w:p>
      <w:pPr>
        <w:spacing w:before="180" w:after="60"/>
      </w:pPr>
      <w:r>
        <w:rPr>
          <w:b/>
          <w:color w:val="1A1A1A"/>
          <w:sz w:val="21"/>
        </w:rPr>
        <w:t>11.1  Monthly aggregate (repeating block, one per month)</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observation_month</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7</w:t>
            </w:r>
          </w:p>
        </w:tc>
        <w:tc>
          <w:tcPr>
            <w:tcW w:type="dxa" w:w="2563"/>
          </w:tcPr>
          <w:p>
            <w:pPr>
              <w:spacing w:after="40" w:before="40" w:line="240" w:lineRule="auto"/>
            </w:pPr>
            <w:r/>
            <w:r>
              <w:rPr>
                <w:rFonts w:ascii="Calibri" w:hAnsi="Calibri"/>
                <w:b w:val="0"/>
                <w:i w:val="0"/>
                <w:color w:val="1A1A1A"/>
                <w:sz w:val="17"/>
              </w:rPr>
              <w:t>2026-06</w:t>
            </w:r>
          </w:p>
        </w:tc>
        <w:tc>
          <w:tcPr>
            <w:tcW w:type="dxa" w:w="5947"/>
          </w:tcPr>
          <w:p>
            <w:pPr>
              <w:spacing w:after="40" w:before="40" w:line="240" w:lineRule="auto"/>
            </w:pPr>
            <w:r/>
            <w:r>
              <w:rPr>
                <w:rFonts w:ascii="Calibri" w:hAnsi="Calibri"/>
                <w:b w:val="0"/>
                <w:i w:val="0"/>
                <w:color w:val="1A1A1A"/>
                <w:sz w:val="17"/>
              </w:rPr>
              <w:t>Month in YYYY-MM format.</w:t>
            </w:r>
          </w:p>
        </w:tc>
      </w:tr>
      <w:tr>
        <w:tc>
          <w:tcPr>
            <w:tcW w:type="dxa" w:w="3168"/>
            <w:shd w:val="clear" w:color="auto" w:fill="F2F4F4"/>
          </w:tcPr>
          <w:p>
            <w:pPr>
              <w:spacing w:after="40" w:before="40" w:line="240" w:lineRule="auto"/>
            </w:pPr>
            <w:r/>
            <w:r>
              <w:rPr>
                <w:rFonts w:ascii="Consolas" w:hAnsi="Consolas"/>
                <w:b w:val="0"/>
                <w:color w:val="1A1A1A"/>
                <w:sz w:val="17"/>
              </w:rPr>
              <w:t>total_income</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95000.00</w:t>
            </w:r>
          </w:p>
        </w:tc>
        <w:tc>
          <w:tcPr>
            <w:tcW w:type="dxa" w:w="5947"/>
            <w:shd w:val="clear" w:color="auto" w:fill="F2F4F4"/>
          </w:tcPr>
          <w:p>
            <w:pPr>
              <w:spacing w:after="40" w:before="40" w:line="240" w:lineRule="auto"/>
            </w:pPr>
            <w:r/>
            <w:r>
              <w:rPr>
                <w:rFonts w:ascii="Calibri" w:hAnsi="Calibri"/>
                <w:b w:val="0"/>
                <w:i w:val="0"/>
                <w:color w:val="1A1A1A"/>
                <w:sz w:val="17"/>
              </w:rPr>
              <w:t>Engineered. Sum of credits excluding self-transfers and refunds, which would otherwise inflate income.</w:t>
            </w:r>
          </w:p>
        </w:tc>
      </w:tr>
      <w:tr>
        <w:tc>
          <w:tcPr>
            <w:tcW w:type="dxa" w:w="3168"/>
          </w:tcPr>
          <w:p>
            <w:pPr>
              <w:spacing w:after="40" w:before="40" w:line="240" w:lineRule="auto"/>
            </w:pPr>
            <w:r/>
            <w:r>
              <w:rPr>
                <w:rFonts w:ascii="Consolas" w:hAnsi="Consolas"/>
                <w:b w:val="0"/>
                <w:color w:val="1A1A1A"/>
                <w:sz w:val="17"/>
              </w:rPr>
              <w:t>total_spend</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71350.00</w:t>
            </w:r>
          </w:p>
        </w:tc>
        <w:tc>
          <w:tcPr>
            <w:tcW w:type="dxa" w:w="5947"/>
          </w:tcPr>
          <w:p>
            <w:pPr>
              <w:spacing w:after="40" w:before="40" w:line="240" w:lineRule="auto"/>
            </w:pPr>
            <w:r/>
            <w:r>
              <w:rPr>
                <w:rFonts w:ascii="Calibri" w:hAnsi="Calibri"/>
                <w:b w:val="0"/>
                <w:i w:val="0"/>
                <w:color w:val="1A1A1A"/>
                <w:sz w:val="17"/>
              </w:rPr>
              <w:t>Engineered. Sum of debits excluding investments and self-transfers.</w:t>
            </w:r>
          </w:p>
        </w:tc>
      </w:tr>
      <w:tr>
        <w:tc>
          <w:tcPr>
            <w:tcW w:type="dxa" w:w="3168"/>
            <w:shd w:val="clear" w:color="auto" w:fill="F2F4F4"/>
          </w:tcPr>
          <w:p>
            <w:pPr>
              <w:spacing w:after="40" w:before="40" w:line="240" w:lineRule="auto"/>
            </w:pPr>
            <w:r/>
            <w:r>
              <w:rPr>
                <w:rFonts w:ascii="Consolas" w:hAnsi="Consolas"/>
                <w:b w:val="0"/>
                <w:color w:val="1A1A1A"/>
                <w:sz w:val="17"/>
              </w:rPr>
              <w:t>total_invested</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8000.00</w:t>
            </w:r>
          </w:p>
        </w:tc>
        <w:tc>
          <w:tcPr>
            <w:tcW w:type="dxa" w:w="5947"/>
            <w:shd w:val="clear" w:color="auto" w:fill="F2F4F4"/>
          </w:tcPr>
          <w:p>
            <w:pPr>
              <w:spacing w:after="40" w:before="40" w:line="240" w:lineRule="auto"/>
            </w:pPr>
            <w:r/>
            <w:r>
              <w:rPr>
                <w:rFonts w:ascii="Calibri" w:hAnsi="Calibri"/>
                <w:b w:val="0"/>
                <w:i w:val="0"/>
                <w:color w:val="1A1A1A"/>
                <w:sz w:val="17"/>
              </w:rPr>
              <w:t>Engineered. Debits categorised as INVESTMENTS.</w:t>
            </w:r>
          </w:p>
        </w:tc>
      </w:tr>
      <w:tr>
        <w:tc>
          <w:tcPr>
            <w:tcW w:type="dxa" w:w="3168"/>
          </w:tcPr>
          <w:p>
            <w:pPr>
              <w:spacing w:after="40" w:before="40" w:line="240" w:lineRule="auto"/>
            </w:pPr>
            <w:r/>
            <w:r>
              <w:rPr>
                <w:rFonts w:ascii="Consolas" w:hAnsi="Consolas"/>
                <w:b w:val="0"/>
                <w:color w:val="1A1A1A"/>
                <w:sz w:val="17"/>
              </w:rPr>
              <w:t>net_surplus</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15650.00</w:t>
            </w:r>
          </w:p>
        </w:tc>
        <w:tc>
          <w:tcPr>
            <w:tcW w:type="dxa" w:w="5947"/>
          </w:tcPr>
          <w:p>
            <w:pPr>
              <w:spacing w:after="40" w:before="40" w:line="240" w:lineRule="auto"/>
            </w:pPr>
            <w:r/>
            <w:r>
              <w:rPr>
                <w:rFonts w:ascii="Calibri" w:hAnsi="Calibri"/>
                <w:b w:val="0"/>
                <w:i w:val="0"/>
                <w:color w:val="1A1A1A"/>
                <w:sz w:val="17"/>
              </w:rPr>
              <w:t>Engineered as total_income − total_spend − total_invested. May be negative.</w:t>
            </w:r>
          </w:p>
        </w:tc>
      </w:tr>
      <w:tr>
        <w:tc>
          <w:tcPr>
            <w:tcW w:type="dxa" w:w="3168"/>
            <w:shd w:val="clear" w:color="auto" w:fill="F2F4F4"/>
          </w:tcPr>
          <w:p>
            <w:pPr>
              <w:spacing w:after="40" w:before="40" w:line="240" w:lineRule="auto"/>
            </w:pPr>
            <w:r/>
            <w:r>
              <w:rPr>
                <w:rFonts w:ascii="Consolas" w:hAnsi="Consolas"/>
                <w:b w:val="0"/>
                <w:color w:val="1A1A1A"/>
                <w:sz w:val="17"/>
              </w:rPr>
              <w:t>salary_credit_date</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01-06-26</w:t>
            </w:r>
          </w:p>
        </w:tc>
        <w:tc>
          <w:tcPr>
            <w:tcW w:type="dxa" w:w="5947"/>
            <w:shd w:val="clear" w:color="auto" w:fill="F2F4F4"/>
          </w:tcPr>
          <w:p>
            <w:pPr>
              <w:spacing w:after="40" w:before="40" w:line="240" w:lineRule="auto"/>
            </w:pPr>
            <w:r/>
            <w:r>
              <w:rPr>
                <w:rFonts w:ascii="Calibri" w:hAnsi="Calibri"/>
                <w:b w:val="0"/>
                <w:i w:val="0"/>
                <w:color w:val="1A1A1A"/>
                <w:sz w:val="17"/>
              </w:rPr>
              <w:t>Engineered. Detected salary credit date, used to time auto-invest instructions.</w:t>
            </w:r>
          </w:p>
        </w:tc>
      </w:tr>
      <w:tr>
        <w:tc>
          <w:tcPr>
            <w:tcW w:type="dxa" w:w="3168"/>
          </w:tcPr>
          <w:p>
            <w:pPr>
              <w:spacing w:after="40" w:before="40" w:line="240" w:lineRule="auto"/>
            </w:pPr>
            <w:r/>
            <w:r>
              <w:rPr>
                <w:rFonts w:ascii="Consolas" w:hAnsi="Consolas"/>
                <w:b w:val="0"/>
                <w:color w:val="1A1A1A"/>
                <w:sz w:val="17"/>
              </w:rPr>
              <w:t>transaction_count</w:t>
            </w:r>
          </w:p>
        </w:tc>
        <w:tc>
          <w:tcPr>
            <w:tcW w:type="dxa" w:w="1123"/>
          </w:tcPr>
          <w:p>
            <w:pPr>
              <w:spacing w:after="40" w:before="40" w:line="240" w:lineRule="auto"/>
            </w:pPr>
            <w:r/>
            <w:r>
              <w:rPr>
                <w:rFonts w:ascii="Calibri" w:hAnsi="Calibri"/>
                <w:b w:val="0"/>
                <w:i w:val="0"/>
                <w:color w:val="1A1A1A"/>
                <w:sz w:val="17"/>
              </w:rPr>
              <w:t>Integer</w:t>
            </w:r>
          </w:p>
        </w:tc>
        <w:tc>
          <w:tcPr>
            <w:tcW w:type="dxa" w:w="1238"/>
          </w:tcPr>
          <w:p>
            <w:pPr>
              <w:spacing w:after="40" w:before="40" w:line="240" w:lineRule="auto"/>
            </w:pPr>
            <w:r/>
            <w:r>
              <w:rPr>
                <w:rFonts w:ascii="Calibri" w:hAnsi="Calibri"/>
                <w:b w:val="0"/>
                <w:i w:val="0"/>
                <w:color w:val="1A1A1A"/>
                <w:sz w:val="17"/>
              </w:rPr>
              <w:t>5</w:t>
            </w:r>
          </w:p>
        </w:tc>
        <w:tc>
          <w:tcPr>
            <w:tcW w:type="dxa" w:w="2563"/>
          </w:tcPr>
          <w:p>
            <w:pPr>
              <w:spacing w:after="40" w:before="40" w:line="240" w:lineRule="auto"/>
            </w:pPr>
            <w:r/>
            <w:r>
              <w:rPr>
                <w:rFonts w:ascii="Calibri" w:hAnsi="Calibri"/>
                <w:b w:val="0"/>
                <w:i w:val="0"/>
                <w:color w:val="1A1A1A"/>
                <w:sz w:val="17"/>
              </w:rPr>
              <w:t>148</w:t>
            </w:r>
          </w:p>
        </w:tc>
        <w:tc>
          <w:tcPr>
            <w:tcW w:type="dxa" w:w="5947"/>
          </w:tcPr>
          <w:p>
            <w:pPr>
              <w:spacing w:after="40" w:before="40" w:line="240" w:lineRule="auto"/>
            </w:pPr>
            <w:r/>
            <w:r>
              <w:rPr>
                <w:rFonts w:ascii="Calibri" w:hAnsi="Calibri"/>
                <w:b w:val="0"/>
                <w:i w:val="0"/>
                <w:color w:val="1A1A1A"/>
                <w:sz w:val="17"/>
              </w:rPr>
              <w:t>Records contributing to the month. A low count signals an incomplete window.</w:t>
            </w:r>
          </w:p>
        </w:tc>
      </w:tr>
      <w:tr>
        <w:tc>
          <w:tcPr>
            <w:tcW w:type="dxa" w:w="3168"/>
            <w:shd w:val="clear" w:color="auto" w:fill="F2F4F4"/>
          </w:tcPr>
          <w:p>
            <w:pPr>
              <w:spacing w:after="40" w:before="40" w:line="240" w:lineRule="auto"/>
            </w:pPr>
            <w:r/>
            <w:r>
              <w:rPr>
                <w:rFonts w:ascii="Consolas" w:hAnsi="Consolas"/>
                <w:b w:val="0"/>
                <w:color w:val="1A1A1A"/>
                <w:sz w:val="17"/>
              </w:rPr>
              <w:t>upi_transaction_count</w:t>
            </w:r>
          </w:p>
        </w:tc>
        <w:tc>
          <w:tcPr>
            <w:tcW w:type="dxa" w:w="1123"/>
            <w:shd w:val="clear" w:color="auto" w:fill="F2F4F4"/>
          </w:tcPr>
          <w:p>
            <w:pPr>
              <w:spacing w:after="40" w:before="40" w:line="240" w:lineRule="auto"/>
            </w:pPr>
            <w:r/>
            <w:r>
              <w:rPr>
                <w:rFonts w:ascii="Calibri" w:hAnsi="Calibri"/>
                <w:b w:val="0"/>
                <w:i w:val="0"/>
                <w:color w:val="1A1A1A"/>
                <w:sz w:val="17"/>
              </w:rPr>
              <w:t>Integer</w:t>
            </w:r>
          </w:p>
        </w:tc>
        <w:tc>
          <w:tcPr>
            <w:tcW w:type="dxa" w:w="1238"/>
            <w:shd w:val="clear" w:color="auto" w:fill="F2F4F4"/>
          </w:tcPr>
          <w:p>
            <w:pPr>
              <w:spacing w:after="40" w:before="40" w:line="240" w:lineRule="auto"/>
            </w:pPr>
            <w:r/>
            <w:r>
              <w:rPr>
                <w:rFonts w:ascii="Calibri" w:hAnsi="Calibri"/>
                <w:b w:val="0"/>
                <w:i w:val="0"/>
                <w:color w:val="1A1A1A"/>
                <w:sz w:val="17"/>
              </w:rPr>
              <w:t>5</w:t>
            </w:r>
          </w:p>
        </w:tc>
        <w:tc>
          <w:tcPr>
            <w:tcW w:type="dxa" w:w="2563"/>
            <w:shd w:val="clear" w:color="auto" w:fill="F2F4F4"/>
          </w:tcPr>
          <w:p>
            <w:pPr>
              <w:spacing w:after="40" w:before="40" w:line="240" w:lineRule="auto"/>
            </w:pPr>
            <w:r/>
            <w:r>
              <w:rPr>
                <w:rFonts w:ascii="Calibri" w:hAnsi="Calibri"/>
                <w:b w:val="0"/>
                <w:i w:val="0"/>
                <w:color w:val="1A1A1A"/>
                <w:sz w:val="17"/>
              </w:rPr>
              <w:t>86</w:t>
            </w:r>
          </w:p>
        </w:tc>
        <w:tc>
          <w:tcPr>
            <w:tcW w:type="dxa" w:w="5947"/>
            <w:shd w:val="clear" w:color="auto" w:fill="F2F4F4"/>
          </w:tcPr>
          <w:p>
            <w:pPr>
              <w:spacing w:after="40" w:before="40" w:line="240" w:lineRule="auto"/>
            </w:pPr>
            <w:r/>
            <w:r>
              <w:rPr>
                <w:rFonts w:ascii="Calibri" w:hAnsi="Calibri"/>
                <w:b w:val="0"/>
                <w:i w:val="0"/>
                <w:color w:val="1A1A1A"/>
                <w:sz w:val="17"/>
              </w:rPr>
              <w:t>Engineered. Drives the round-up micro-investing projection.</w:t>
            </w:r>
          </w:p>
        </w:tc>
      </w:tr>
      <w:tr>
        <w:tc>
          <w:tcPr>
            <w:tcW w:type="dxa" w:w="3168"/>
          </w:tcPr>
          <w:p>
            <w:pPr>
              <w:spacing w:after="40" w:before="40" w:line="240" w:lineRule="auto"/>
            </w:pPr>
            <w:r/>
            <w:r>
              <w:rPr>
                <w:rFonts w:ascii="Consolas" w:hAnsi="Consolas"/>
                <w:b w:val="0"/>
                <w:color w:val="1A1A1A"/>
                <w:sz w:val="17"/>
              </w:rPr>
              <w:t>data_completeness_pct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5,2</w:t>
            </w:r>
          </w:p>
        </w:tc>
        <w:tc>
          <w:tcPr>
            <w:tcW w:type="dxa" w:w="2563"/>
          </w:tcPr>
          <w:p>
            <w:pPr>
              <w:spacing w:after="40" w:before="40" w:line="240" w:lineRule="auto"/>
            </w:pPr>
            <w:r/>
            <w:r>
              <w:rPr>
                <w:rFonts w:ascii="Calibri" w:hAnsi="Calibri"/>
                <w:b w:val="0"/>
                <w:i w:val="0"/>
                <w:color w:val="1A1A1A"/>
                <w:sz w:val="17"/>
              </w:rPr>
              <w:t>100.00</w:t>
            </w:r>
          </w:p>
        </w:tc>
        <w:tc>
          <w:tcPr>
            <w:tcW w:type="dxa" w:w="5947"/>
          </w:tcPr>
          <w:p>
            <w:pPr>
              <w:spacing w:after="40" w:before="40" w:line="240" w:lineRule="auto"/>
            </w:pPr>
            <w:r/>
            <w:r>
              <w:rPr>
                <w:rFonts w:ascii="Calibri" w:hAnsi="Calibri"/>
                <w:b w:val="0"/>
                <w:i w:val="0"/>
                <w:color w:val="1A1A1A"/>
                <w:sz w:val="17"/>
              </w:rPr>
              <w:t>Engineered. Share of days in the month with transaction coverage. Months below 80 are excluded from averages rather than silently understating spend.</w:t>
            </w:r>
          </w:p>
        </w:tc>
      </w:tr>
    </w:tbl>
    <w:p>
      <w:pPr>
        <w:spacing w:after="40"/>
      </w:pPr>
    </w:p>
    <w:p>
      <w:pPr>
        <w:spacing w:before="180" w:after="60"/>
      </w:pPr>
      <w:r>
        <w:rPr>
          <w:b/>
          <w:color w:val="1A1A1A"/>
          <w:sz w:val="21"/>
        </w:rPr>
        <w:t>11.2  Rolling metrics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avg_monthly_income_6m</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96416.67</w:t>
            </w:r>
          </w:p>
        </w:tc>
        <w:tc>
          <w:tcPr>
            <w:tcW w:type="dxa" w:w="5947"/>
          </w:tcPr>
          <w:p>
            <w:pPr>
              <w:spacing w:after="40" w:before="40" w:line="240" w:lineRule="auto"/>
            </w:pPr>
            <w:r/>
            <w:r>
              <w:rPr>
                <w:rFonts w:ascii="Calibri" w:hAnsi="Calibri"/>
                <w:b w:val="0"/>
                <w:i w:val="0"/>
                <w:color w:val="1A1A1A"/>
                <w:sz w:val="17"/>
              </w:rPr>
              <w:t>Engineered. Trailing 6-month mean income.</w:t>
            </w:r>
          </w:p>
        </w:tc>
      </w:tr>
      <w:tr>
        <w:tc>
          <w:tcPr>
            <w:tcW w:type="dxa" w:w="3168"/>
            <w:shd w:val="clear" w:color="auto" w:fill="F2F4F4"/>
          </w:tcPr>
          <w:p>
            <w:pPr>
              <w:spacing w:after="40" w:before="40" w:line="240" w:lineRule="auto"/>
            </w:pPr>
            <w:r/>
            <w:r>
              <w:rPr>
                <w:rFonts w:ascii="Consolas" w:hAnsi="Consolas"/>
                <w:b w:val="0"/>
                <w:color w:val="1A1A1A"/>
                <w:sz w:val="17"/>
              </w:rPr>
              <w:t>avg_monthly_spend_6m</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63291.67</w:t>
            </w:r>
          </w:p>
        </w:tc>
        <w:tc>
          <w:tcPr>
            <w:tcW w:type="dxa" w:w="5947"/>
            <w:shd w:val="clear" w:color="auto" w:fill="F2F4F4"/>
          </w:tcPr>
          <w:p>
            <w:pPr>
              <w:spacing w:after="40" w:before="40" w:line="240" w:lineRule="auto"/>
            </w:pPr>
            <w:r/>
            <w:r>
              <w:rPr>
                <w:rFonts w:ascii="Calibri" w:hAnsi="Calibri"/>
                <w:b w:val="0"/>
                <w:i w:val="0"/>
                <w:color w:val="1A1A1A"/>
                <w:sz w:val="17"/>
              </w:rPr>
              <w:t>Engineered. Trailing 6-month mean spend.</w:t>
            </w:r>
          </w:p>
        </w:tc>
      </w:tr>
      <w:tr>
        <w:tc>
          <w:tcPr>
            <w:tcW w:type="dxa" w:w="3168"/>
          </w:tcPr>
          <w:p>
            <w:pPr>
              <w:spacing w:after="40" w:before="40" w:line="240" w:lineRule="auto"/>
            </w:pPr>
            <w:r/>
            <w:r>
              <w:rPr>
                <w:rFonts w:ascii="Consolas" w:hAnsi="Consolas"/>
                <w:b w:val="0"/>
                <w:color w:val="1A1A1A"/>
                <w:sz w:val="17"/>
              </w:rPr>
              <w:t>avg_monthly_invested_6m</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8000.00</w:t>
            </w:r>
          </w:p>
        </w:tc>
        <w:tc>
          <w:tcPr>
            <w:tcW w:type="dxa" w:w="5947"/>
          </w:tcPr>
          <w:p>
            <w:pPr>
              <w:spacing w:after="40" w:before="40" w:line="240" w:lineRule="auto"/>
            </w:pPr>
            <w:r/>
            <w:r>
              <w:rPr>
                <w:rFonts w:ascii="Calibri" w:hAnsi="Calibri"/>
                <w:b w:val="0"/>
                <w:i w:val="0"/>
                <w:color w:val="1A1A1A"/>
                <w:sz w:val="17"/>
              </w:rPr>
              <w:t>Engineered. Trailing 6-month mean invested.</w:t>
            </w:r>
          </w:p>
        </w:tc>
      </w:tr>
      <w:tr>
        <w:tc>
          <w:tcPr>
            <w:tcW w:type="dxa" w:w="3168"/>
            <w:shd w:val="clear" w:color="auto" w:fill="F2F4F4"/>
          </w:tcPr>
          <w:p>
            <w:pPr>
              <w:spacing w:after="40" w:before="40" w:line="240" w:lineRule="auto"/>
            </w:pPr>
            <w:r/>
            <w:r>
              <w:rPr>
                <w:rFonts w:ascii="Consolas" w:hAnsi="Consolas"/>
                <w:b w:val="0"/>
                <w:color w:val="1A1A1A"/>
                <w:sz w:val="17"/>
              </w:rPr>
              <w:t>savings_rate_pct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5,2</w:t>
            </w:r>
          </w:p>
        </w:tc>
        <w:tc>
          <w:tcPr>
            <w:tcW w:type="dxa" w:w="2563"/>
            <w:shd w:val="clear" w:color="auto" w:fill="F2F4F4"/>
          </w:tcPr>
          <w:p>
            <w:pPr>
              <w:spacing w:after="40" w:before="40" w:line="240" w:lineRule="auto"/>
            </w:pPr>
            <w:r/>
            <w:r>
              <w:rPr>
                <w:rFonts w:ascii="Calibri" w:hAnsi="Calibri"/>
                <w:b w:val="0"/>
                <w:i w:val="0"/>
                <w:color w:val="1A1A1A"/>
                <w:sz w:val="17"/>
              </w:rPr>
              <w:t>34.35</w:t>
            </w:r>
          </w:p>
        </w:tc>
        <w:tc>
          <w:tcPr>
            <w:tcW w:type="dxa" w:w="5947"/>
            <w:shd w:val="clear" w:color="auto" w:fill="F2F4F4"/>
          </w:tcPr>
          <w:p>
            <w:pPr>
              <w:spacing w:after="40" w:before="40" w:line="240" w:lineRule="auto"/>
            </w:pPr>
            <w:r/>
            <w:r>
              <w:rPr>
                <w:rFonts w:ascii="Calibri" w:hAnsi="Calibri"/>
                <w:b w:val="0"/>
                <w:i w:val="0"/>
                <w:color w:val="1A1A1A"/>
                <w:sz w:val="17"/>
              </w:rPr>
              <w:t>Engineered as (income − spend) ÷ income. Primary component of the health score.</w:t>
            </w:r>
          </w:p>
        </w:tc>
      </w:tr>
      <w:tr>
        <w:tc>
          <w:tcPr>
            <w:tcW w:type="dxa" w:w="3168"/>
          </w:tcPr>
          <w:p>
            <w:pPr>
              <w:spacing w:after="40" w:before="40" w:line="240" w:lineRule="auto"/>
            </w:pPr>
            <w:r/>
            <w:r>
              <w:rPr>
                <w:rFonts w:ascii="Consolas" w:hAnsi="Consolas"/>
                <w:b w:val="0"/>
                <w:color w:val="1A1A1A"/>
                <w:sz w:val="17"/>
              </w:rPr>
              <w:t>income_volatility_cv</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5,4</w:t>
            </w:r>
          </w:p>
        </w:tc>
        <w:tc>
          <w:tcPr>
            <w:tcW w:type="dxa" w:w="2563"/>
          </w:tcPr>
          <w:p>
            <w:pPr>
              <w:spacing w:after="40" w:before="40" w:line="240" w:lineRule="auto"/>
            </w:pPr>
            <w:r/>
            <w:r>
              <w:rPr>
                <w:rFonts w:ascii="Calibri" w:hAnsi="Calibri"/>
                <w:b w:val="0"/>
                <w:i w:val="0"/>
                <w:color w:val="1A1A1A"/>
                <w:sz w:val="17"/>
              </w:rPr>
              <w:t>0.0412</w:t>
            </w:r>
          </w:p>
        </w:tc>
        <w:tc>
          <w:tcPr>
            <w:tcW w:type="dxa" w:w="5947"/>
          </w:tcPr>
          <w:p>
            <w:pPr>
              <w:spacing w:after="40" w:before="40" w:line="240" w:lineRule="auto"/>
            </w:pPr>
            <w:r/>
            <w:r>
              <w:rPr>
                <w:rFonts w:ascii="Calibri" w:hAnsi="Calibri"/>
                <w:b w:val="0"/>
                <w:i w:val="0"/>
                <w:color w:val="1A1A1A"/>
                <w:sz w:val="17"/>
              </w:rPr>
              <w:t>Engineered coefficient of variation of monthly income. Distinguishes salaried from self-employed cashflow and feeds risk capacity.</w:t>
            </w:r>
          </w:p>
        </w:tc>
      </w:tr>
      <w:tr>
        <w:tc>
          <w:tcPr>
            <w:tcW w:type="dxa" w:w="3168"/>
            <w:shd w:val="clear" w:color="auto" w:fill="F2F4F4"/>
          </w:tcPr>
          <w:p>
            <w:pPr>
              <w:spacing w:after="40" w:before="40" w:line="240" w:lineRule="auto"/>
            </w:pPr>
            <w:r/>
            <w:r>
              <w:rPr>
                <w:rFonts w:ascii="Consolas" w:hAnsi="Consolas"/>
                <w:b w:val="0"/>
                <w:color w:val="1A1A1A"/>
                <w:sz w:val="17"/>
              </w:rPr>
              <w:t>essential_spend_ratio_pct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5,2</w:t>
            </w:r>
          </w:p>
        </w:tc>
        <w:tc>
          <w:tcPr>
            <w:tcW w:type="dxa" w:w="2563"/>
            <w:shd w:val="clear" w:color="auto" w:fill="F2F4F4"/>
          </w:tcPr>
          <w:p>
            <w:pPr>
              <w:spacing w:after="40" w:before="40" w:line="240" w:lineRule="auto"/>
            </w:pPr>
            <w:r/>
            <w:r>
              <w:rPr>
                <w:rFonts w:ascii="Calibri" w:hAnsi="Calibri"/>
                <w:b w:val="0"/>
                <w:i w:val="0"/>
                <w:color w:val="1A1A1A"/>
                <w:sz w:val="17"/>
              </w:rPr>
              <w:t>62.40</w:t>
            </w:r>
          </w:p>
        </w:tc>
        <w:tc>
          <w:tcPr>
            <w:tcW w:type="dxa" w:w="5947"/>
            <w:shd w:val="clear" w:color="auto" w:fill="F2F4F4"/>
          </w:tcPr>
          <w:p>
            <w:pPr>
              <w:spacing w:after="40" w:before="40" w:line="240" w:lineRule="auto"/>
            </w:pPr>
            <w:r/>
            <w:r>
              <w:rPr>
                <w:rFonts w:ascii="Calibri" w:hAnsi="Calibri"/>
                <w:b w:val="0"/>
                <w:i w:val="0"/>
                <w:color w:val="1A1A1A"/>
                <w:sz w:val="17"/>
              </w:rPr>
              <w:t>Engineered. Essential share of spend. Determines how much of a shortfall is genuinely addressable.</w:t>
            </w:r>
          </w:p>
        </w:tc>
      </w:tr>
      <w:tr>
        <w:tc>
          <w:tcPr>
            <w:tcW w:type="dxa" w:w="3168"/>
          </w:tcPr>
          <w:p>
            <w:pPr>
              <w:spacing w:after="40" w:before="40" w:line="240" w:lineRule="auto"/>
            </w:pPr>
            <w:r/>
            <w:r>
              <w:rPr>
                <w:rFonts w:ascii="Consolas" w:hAnsi="Consolas"/>
                <w:b w:val="0"/>
                <w:color w:val="1A1A1A"/>
                <w:sz w:val="17"/>
              </w:rPr>
              <w:t>months_of_data_available</w:t>
            </w:r>
          </w:p>
        </w:tc>
        <w:tc>
          <w:tcPr>
            <w:tcW w:type="dxa" w:w="1123"/>
          </w:tcPr>
          <w:p>
            <w:pPr>
              <w:spacing w:after="40" w:before="40" w:line="240" w:lineRule="auto"/>
            </w:pPr>
            <w:r/>
            <w:r>
              <w:rPr>
                <w:rFonts w:ascii="Calibri" w:hAnsi="Calibri"/>
                <w:b w:val="0"/>
                <w:i w:val="0"/>
                <w:color w:val="1A1A1A"/>
                <w:sz w:val="17"/>
              </w:rPr>
              <w:t>Integer</w:t>
            </w:r>
          </w:p>
        </w:tc>
        <w:tc>
          <w:tcPr>
            <w:tcW w:type="dxa" w:w="1238"/>
          </w:tcPr>
          <w:p>
            <w:pPr>
              <w:spacing w:after="40" w:before="40" w:line="240" w:lineRule="auto"/>
            </w:pPr>
            <w:r/>
            <w:r>
              <w:rPr>
                <w:rFonts w:ascii="Calibri" w:hAnsi="Calibri"/>
                <w:b w:val="0"/>
                <w:i w:val="0"/>
                <w:color w:val="1A1A1A"/>
                <w:sz w:val="17"/>
              </w:rPr>
              <w:t>3</w:t>
            </w:r>
          </w:p>
        </w:tc>
        <w:tc>
          <w:tcPr>
            <w:tcW w:type="dxa" w:w="2563"/>
          </w:tcPr>
          <w:p>
            <w:pPr>
              <w:spacing w:after="40" w:before="40" w:line="240" w:lineRule="auto"/>
            </w:pPr>
            <w:r/>
            <w:r>
              <w:rPr>
                <w:rFonts w:ascii="Calibri" w:hAnsi="Calibri"/>
                <w:b w:val="0"/>
                <w:i w:val="0"/>
                <w:color w:val="1A1A1A"/>
                <w:sz w:val="17"/>
              </w:rPr>
              <w:t>6</w:t>
            </w:r>
          </w:p>
        </w:tc>
        <w:tc>
          <w:tcPr>
            <w:tcW w:type="dxa" w:w="5947"/>
          </w:tcPr>
          <w:p>
            <w:pPr>
              <w:spacing w:after="40" w:before="40" w:line="240" w:lineRule="auto"/>
            </w:pPr>
            <w:r/>
            <w:r>
              <w:rPr>
                <w:rFonts w:ascii="Calibri" w:hAnsi="Calibri"/>
                <w:b w:val="0"/>
                <w:i w:val="0"/>
                <w:color w:val="1A1A1A"/>
                <w:sz w:val="17"/>
              </w:rPr>
              <w:t>Engineered. Observation depth. Below 3, anomaly detection is suppressed.</w:t>
            </w:r>
          </w:p>
        </w:tc>
      </w:tr>
    </w:tbl>
    <w:p>
      <w:pPr>
        <w:spacing w:after="40"/>
      </w:pPr>
    </w:p>
    <w:p>
      <w:pPr>
        <w:spacing w:before="180" w:after="60"/>
      </w:pPr>
      <w:r>
        <w:rPr>
          <w:b/>
          <w:color w:val="1A1A1A"/>
          <w:sz w:val="21"/>
        </w:rPr>
        <w:t>11.3  Category aggregate (repeating block, one per category)</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category_code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30</w:t>
            </w:r>
          </w:p>
        </w:tc>
        <w:tc>
          <w:tcPr>
            <w:tcW w:type="dxa" w:w="2563"/>
          </w:tcPr>
          <w:p>
            <w:pPr>
              <w:spacing w:after="40" w:before="40" w:line="240" w:lineRule="auto"/>
            </w:pPr>
            <w:r/>
            <w:r>
              <w:rPr>
                <w:rFonts w:ascii="Calibri" w:hAnsi="Calibri"/>
                <w:b w:val="0"/>
                <w:i w:val="0"/>
                <w:color w:val="1A1A1A"/>
                <w:sz w:val="17"/>
              </w:rPr>
              <w:t>DINING_DELIVERY</w:t>
            </w:r>
          </w:p>
        </w:tc>
        <w:tc>
          <w:tcPr>
            <w:tcW w:type="dxa" w:w="5947"/>
          </w:tcPr>
          <w:p>
            <w:pPr>
              <w:spacing w:after="40" w:before="40" w:line="240" w:lineRule="auto"/>
            </w:pPr>
            <w:r/>
            <w:r>
              <w:rPr>
                <w:rFonts w:ascii="Calibri" w:hAnsi="Calibri"/>
                <w:b w:val="0"/>
                <w:i w:val="0"/>
                <w:color w:val="1A1A1A"/>
                <w:sz w:val="17"/>
              </w:rPr>
              <w:t>See the permitted values in Section 7.3.</w:t>
            </w:r>
          </w:p>
        </w:tc>
      </w:tr>
      <w:tr>
        <w:tc>
          <w:tcPr>
            <w:tcW w:type="dxa" w:w="3168"/>
            <w:shd w:val="clear" w:color="auto" w:fill="F2F4F4"/>
          </w:tcPr>
          <w:p>
            <w:pPr>
              <w:spacing w:after="40" w:before="40" w:line="240" w:lineRule="auto"/>
            </w:pPr>
            <w:r/>
            <w:r>
              <w:rPr>
                <w:rFonts w:ascii="Consolas" w:hAnsi="Consolas"/>
                <w:b w:val="0"/>
                <w:color w:val="1A1A1A"/>
                <w:sz w:val="17"/>
              </w:rPr>
              <w:t>category_spend_amount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11800.00</w:t>
            </w:r>
          </w:p>
        </w:tc>
        <w:tc>
          <w:tcPr>
            <w:tcW w:type="dxa" w:w="5947"/>
            <w:shd w:val="clear" w:color="auto" w:fill="F2F4F4"/>
          </w:tcPr>
          <w:p>
            <w:pPr>
              <w:spacing w:after="40" w:before="40" w:line="240" w:lineRule="auto"/>
            </w:pPr>
            <w:r/>
            <w:r>
              <w:rPr>
                <w:rFonts w:ascii="Calibri" w:hAnsi="Calibri"/>
                <w:b w:val="0"/>
                <w:i w:val="0"/>
                <w:color w:val="1A1A1A"/>
                <w:sz w:val="17"/>
              </w:rPr>
              <w:t>Engineered. Current-month spend in the category.</w:t>
            </w:r>
          </w:p>
        </w:tc>
      </w:tr>
      <w:tr>
        <w:tc>
          <w:tcPr>
            <w:tcW w:type="dxa" w:w="3168"/>
          </w:tcPr>
          <w:p>
            <w:pPr>
              <w:spacing w:after="40" w:before="40" w:line="240" w:lineRule="auto"/>
            </w:pPr>
            <w:r/>
            <w:r>
              <w:rPr>
                <w:rFonts w:ascii="Consolas" w:hAnsi="Consolas"/>
                <w:b w:val="0"/>
                <w:color w:val="1A1A1A"/>
                <w:sz w:val="17"/>
              </w:rPr>
              <w:t>category_trailing_3m_avg</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8100.00</w:t>
            </w:r>
          </w:p>
        </w:tc>
        <w:tc>
          <w:tcPr>
            <w:tcW w:type="dxa" w:w="5947"/>
          </w:tcPr>
          <w:p>
            <w:pPr>
              <w:spacing w:after="40" w:before="40" w:line="240" w:lineRule="auto"/>
            </w:pPr>
            <w:r/>
            <w:r>
              <w:rPr>
                <w:rFonts w:ascii="Calibri" w:hAnsi="Calibri"/>
                <w:b w:val="0"/>
                <w:i w:val="0"/>
                <w:color w:val="1A1A1A"/>
                <w:sz w:val="17"/>
              </w:rPr>
              <w:t>Engineered. Trailing 3-month mean, used as the anomaly baseline.</w:t>
            </w:r>
          </w:p>
        </w:tc>
      </w:tr>
      <w:tr>
        <w:tc>
          <w:tcPr>
            <w:tcW w:type="dxa" w:w="3168"/>
            <w:shd w:val="clear" w:color="auto" w:fill="F2F4F4"/>
          </w:tcPr>
          <w:p>
            <w:pPr>
              <w:spacing w:after="40" w:before="40" w:line="240" w:lineRule="auto"/>
            </w:pPr>
            <w:r/>
            <w:r>
              <w:rPr>
                <w:rFonts w:ascii="Consolas" w:hAnsi="Consolas"/>
                <w:b w:val="0"/>
                <w:color w:val="1A1A1A"/>
                <w:sz w:val="17"/>
              </w:rPr>
              <w:t>category_delta_pct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7,2</w:t>
            </w:r>
          </w:p>
        </w:tc>
        <w:tc>
          <w:tcPr>
            <w:tcW w:type="dxa" w:w="2563"/>
            <w:shd w:val="clear" w:color="auto" w:fill="F2F4F4"/>
          </w:tcPr>
          <w:p>
            <w:pPr>
              <w:spacing w:after="40" w:before="40" w:line="240" w:lineRule="auto"/>
            </w:pPr>
            <w:r/>
            <w:r>
              <w:rPr>
                <w:rFonts w:ascii="Calibri" w:hAnsi="Calibri"/>
                <w:b w:val="0"/>
                <w:i w:val="0"/>
                <w:color w:val="1A1A1A"/>
                <w:sz w:val="17"/>
              </w:rPr>
              <w:t>45.68</w:t>
            </w:r>
          </w:p>
        </w:tc>
        <w:tc>
          <w:tcPr>
            <w:tcW w:type="dxa" w:w="5947"/>
            <w:shd w:val="clear" w:color="auto" w:fill="F2F4F4"/>
          </w:tcPr>
          <w:p>
            <w:pPr>
              <w:spacing w:after="40" w:before="40" w:line="240" w:lineRule="auto"/>
            </w:pPr>
            <w:r/>
            <w:r>
              <w:rPr>
                <w:rFonts w:ascii="Calibri" w:hAnsi="Calibri"/>
                <w:b w:val="0"/>
                <w:i w:val="0"/>
                <w:color w:val="1A1A1A"/>
                <w:sz w:val="17"/>
              </w:rPr>
              <w:t>Engineered. Deviation from baseline. Above +15% on a non-essential category raises a nudge.</w:t>
            </w:r>
          </w:p>
        </w:tc>
      </w:tr>
      <w:tr>
        <w:tc>
          <w:tcPr>
            <w:tcW w:type="dxa" w:w="3168"/>
          </w:tcPr>
          <w:p>
            <w:pPr>
              <w:spacing w:after="40" w:before="40" w:line="240" w:lineRule="auto"/>
            </w:pPr>
            <w:r/>
            <w:r>
              <w:rPr>
                <w:rFonts w:ascii="Consolas" w:hAnsi="Consolas"/>
                <w:b w:val="0"/>
                <w:color w:val="1A1A1A"/>
                <w:sz w:val="17"/>
              </w:rPr>
              <w:t>essential_flag</w:t>
            </w:r>
          </w:p>
        </w:tc>
        <w:tc>
          <w:tcPr>
            <w:tcW w:type="dxa" w:w="1123"/>
          </w:tcPr>
          <w:p>
            <w:pPr>
              <w:spacing w:after="40" w:before="40" w:line="240" w:lineRule="auto"/>
            </w:pPr>
            <w:r/>
            <w:r>
              <w:rPr>
                <w:rFonts w:ascii="Calibri" w:hAnsi="Calibri"/>
                <w:b w:val="0"/>
                <w:i w:val="0"/>
                <w:color w:val="1A1A1A"/>
                <w:sz w:val="17"/>
              </w:rPr>
              <w:t>Boolean</w:t>
            </w:r>
          </w:p>
        </w:tc>
        <w:tc>
          <w:tcPr>
            <w:tcW w:type="dxa" w:w="1238"/>
          </w:tcPr>
          <w:p>
            <w:pPr>
              <w:spacing w:after="40" w:before="40" w:line="240" w:lineRule="auto"/>
            </w:pPr>
            <w:r/>
            <w:r>
              <w:rPr>
                <w:rFonts w:ascii="Calibri" w:hAnsi="Calibri"/>
                <w:b w:val="0"/>
                <w:i w:val="0"/>
                <w:color w:val="1A1A1A"/>
                <w:sz w:val="17"/>
              </w:rPr>
              <w:t>1</w:t>
            </w:r>
          </w:p>
        </w:tc>
        <w:tc>
          <w:tcPr>
            <w:tcW w:type="dxa" w:w="2563"/>
          </w:tcPr>
          <w:p>
            <w:pPr>
              <w:spacing w:after="40" w:before="40" w:line="240" w:lineRule="auto"/>
            </w:pPr>
            <w:r/>
            <w:r>
              <w:rPr>
                <w:rFonts w:ascii="Calibri" w:hAnsi="Calibri"/>
                <w:b w:val="0"/>
                <w:i w:val="0"/>
                <w:color w:val="1A1A1A"/>
                <w:sz w:val="17"/>
              </w:rPr>
              <w:t>false</w:t>
            </w:r>
          </w:p>
        </w:tc>
        <w:tc>
          <w:tcPr>
            <w:tcW w:type="dxa" w:w="5947"/>
          </w:tcPr>
          <w:p>
            <w:pPr>
              <w:spacing w:after="40" w:before="40" w:line="240" w:lineRule="auto"/>
            </w:pPr>
            <w:r/>
            <w:r>
              <w:rPr>
                <w:rFonts w:ascii="Calibri" w:hAnsi="Calibri"/>
                <w:b w:val="0"/>
                <w:i w:val="0"/>
                <w:color w:val="1A1A1A"/>
                <w:sz w:val="17"/>
              </w:rPr>
              <w:t>Whether the category is discretionary.</w:t>
            </w:r>
          </w:p>
        </w:tc>
      </w:tr>
      <w:tr>
        <w:tc>
          <w:tcPr>
            <w:tcW w:type="dxa" w:w="3168"/>
            <w:shd w:val="clear" w:color="auto" w:fill="F2F4F4"/>
          </w:tcPr>
          <w:p>
            <w:pPr>
              <w:spacing w:after="40" w:before="40" w:line="240" w:lineRule="auto"/>
            </w:pPr>
            <w:r/>
            <w:r>
              <w:rPr>
                <w:rFonts w:ascii="Consolas" w:hAnsi="Consolas"/>
                <w:b w:val="0"/>
                <w:color w:val="1A1A1A"/>
                <w:sz w:val="17"/>
              </w:rPr>
              <w:t>transaction_count</w:t>
            </w:r>
          </w:p>
        </w:tc>
        <w:tc>
          <w:tcPr>
            <w:tcW w:type="dxa" w:w="1123"/>
            <w:shd w:val="clear" w:color="auto" w:fill="F2F4F4"/>
          </w:tcPr>
          <w:p>
            <w:pPr>
              <w:spacing w:after="40" w:before="40" w:line="240" w:lineRule="auto"/>
            </w:pPr>
            <w:r/>
            <w:r>
              <w:rPr>
                <w:rFonts w:ascii="Calibri" w:hAnsi="Calibri"/>
                <w:b w:val="0"/>
                <w:i w:val="0"/>
                <w:color w:val="1A1A1A"/>
                <w:sz w:val="17"/>
              </w:rPr>
              <w:t>Integer</w:t>
            </w:r>
          </w:p>
        </w:tc>
        <w:tc>
          <w:tcPr>
            <w:tcW w:type="dxa" w:w="1238"/>
            <w:shd w:val="clear" w:color="auto" w:fill="F2F4F4"/>
          </w:tcPr>
          <w:p>
            <w:pPr>
              <w:spacing w:after="40" w:before="40" w:line="240" w:lineRule="auto"/>
            </w:pPr>
            <w:r/>
            <w:r>
              <w:rPr>
                <w:rFonts w:ascii="Calibri" w:hAnsi="Calibri"/>
                <w:b w:val="0"/>
                <w:i w:val="0"/>
                <w:color w:val="1A1A1A"/>
                <w:sz w:val="17"/>
              </w:rPr>
              <w:t>5</w:t>
            </w:r>
          </w:p>
        </w:tc>
        <w:tc>
          <w:tcPr>
            <w:tcW w:type="dxa" w:w="2563"/>
            <w:shd w:val="clear" w:color="auto" w:fill="F2F4F4"/>
          </w:tcPr>
          <w:p>
            <w:pPr>
              <w:spacing w:after="40" w:before="40" w:line="240" w:lineRule="auto"/>
            </w:pPr>
            <w:r/>
            <w:r>
              <w:rPr>
                <w:rFonts w:ascii="Calibri" w:hAnsi="Calibri"/>
                <w:b w:val="0"/>
                <w:i w:val="0"/>
                <w:color w:val="1A1A1A"/>
                <w:sz w:val="17"/>
              </w:rPr>
              <w:t>34</w:t>
            </w:r>
          </w:p>
        </w:tc>
        <w:tc>
          <w:tcPr>
            <w:tcW w:type="dxa" w:w="5947"/>
            <w:shd w:val="clear" w:color="auto" w:fill="F2F4F4"/>
          </w:tcPr>
          <w:p>
            <w:pPr>
              <w:spacing w:after="40" w:before="40" w:line="240" w:lineRule="auto"/>
            </w:pPr>
            <w:r/>
            <w:r>
              <w:rPr>
                <w:rFonts w:ascii="Calibri" w:hAnsi="Calibri"/>
                <w:b w:val="0"/>
                <w:i w:val="0"/>
                <w:color w:val="1A1A1A"/>
                <w:sz w:val="17"/>
              </w:rPr>
              <w:t>Transactions in the category this month.</w:t>
            </w:r>
          </w:p>
        </w:tc>
      </w:tr>
      <w:tr>
        <w:tc>
          <w:tcPr>
            <w:tcW w:type="dxa" w:w="3168"/>
          </w:tcPr>
          <w:p>
            <w:pPr>
              <w:spacing w:after="40" w:before="40" w:line="240" w:lineRule="auto"/>
            </w:pPr>
            <w:r/>
            <w:r>
              <w:rPr>
                <w:rFonts w:ascii="Consolas" w:hAnsi="Consolas"/>
                <w:b w:val="0"/>
                <w:color w:val="1A1A1A"/>
                <w:sz w:val="17"/>
              </w:rPr>
              <w:t>top_merchant_name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100</w:t>
            </w:r>
          </w:p>
        </w:tc>
        <w:tc>
          <w:tcPr>
            <w:tcW w:type="dxa" w:w="2563"/>
          </w:tcPr>
          <w:p>
            <w:pPr>
              <w:spacing w:after="40" w:before="40" w:line="240" w:lineRule="auto"/>
            </w:pPr>
            <w:r/>
            <w:r>
              <w:rPr>
                <w:rFonts w:ascii="Calibri" w:hAnsi="Calibri"/>
                <w:b w:val="0"/>
                <w:i w:val="0"/>
                <w:color w:val="1A1A1A"/>
                <w:sz w:val="17"/>
              </w:rPr>
              <w:t>Swiggy</w:t>
            </w:r>
          </w:p>
        </w:tc>
        <w:tc>
          <w:tcPr>
            <w:tcW w:type="dxa" w:w="5947"/>
          </w:tcPr>
          <w:p>
            <w:pPr>
              <w:spacing w:after="40" w:before="40" w:line="240" w:lineRule="auto"/>
            </w:pPr>
            <w:r/>
            <w:r>
              <w:rPr>
                <w:rFonts w:ascii="Calibri" w:hAnsi="Calibri"/>
                <w:b w:val="0"/>
                <w:i w:val="0"/>
                <w:color w:val="1A1A1A"/>
                <w:sz w:val="17"/>
              </w:rPr>
              <w:t>Engineered. Largest merchant by value in the category.</w:t>
            </w:r>
          </w:p>
        </w:tc>
      </w:tr>
      <w:tr>
        <w:tc>
          <w:tcPr>
            <w:tcW w:type="dxa" w:w="3168"/>
            <w:shd w:val="clear" w:color="auto" w:fill="F2F4F4"/>
          </w:tcPr>
          <w:p>
            <w:pPr>
              <w:spacing w:after="40" w:before="40" w:line="240" w:lineRule="auto"/>
            </w:pPr>
            <w:r/>
            <w:r>
              <w:rPr>
                <w:rFonts w:ascii="Consolas" w:hAnsi="Consolas"/>
                <w:b w:val="0"/>
                <w:color w:val="1A1A1A"/>
                <w:sz w:val="17"/>
              </w:rPr>
              <w:t>top_merchant_amount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6420.00</w:t>
            </w:r>
          </w:p>
        </w:tc>
        <w:tc>
          <w:tcPr>
            <w:tcW w:type="dxa" w:w="5947"/>
            <w:shd w:val="clear" w:color="auto" w:fill="F2F4F4"/>
          </w:tcPr>
          <w:p>
            <w:pPr>
              <w:spacing w:after="40" w:before="40" w:line="240" w:lineRule="auto"/>
            </w:pPr>
            <w:r/>
            <w:r>
              <w:rPr>
                <w:rFonts w:ascii="Calibri" w:hAnsi="Calibri"/>
                <w:b w:val="0"/>
                <w:i w:val="0"/>
                <w:color w:val="1A1A1A"/>
                <w:sz w:val="17"/>
              </w:rPr>
              <w:t>Engineered. Spend with that merchant.</w:t>
            </w:r>
          </w:p>
        </w:tc>
      </w:tr>
    </w:tbl>
    <w:p>
      <w:pPr>
        <w:spacing w:after="40"/>
      </w:pPr>
    </w:p>
    <w:p>
      <w:pPr>
        <w:spacing w:before="180" w:after="60"/>
      </w:pPr>
      <w:r>
        <w:rPr>
          <w:b/>
          <w:color w:val="1A1A1A"/>
          <w:sz w:val="21"/>
        </w:rPr>
        <w:t>11.4  Recurring payments (repeating block, one per merchant)</w:t>
      </w:r>
    </w:p>
    <w:tbl>
      <w:tblPr>
        <w:tblW w:type="auto" w:w="0"/>
        <w:jc w:val="left"/>
        <w:tblLook w:firstColumn="1" w:firstRow="1" w:lastColumn="0" w:lastRow="0" w:noHBand="0" w:noVBand="1" w:val="04A0"/>
      </w:tblPr>
      <w:tblGrid>
        <w:gridCol w:w="14040"/>
      </w:tblGrid>
      <w:tr>
        <w:tc>
          <w:tcPr>
            <w:tcW w:type="dxa" w:w="14040"/>
            <w:shd w:val="clear" w:color="auto" w:fill="FFF6E8"/>
          </w:tcPr>
          <w:p>
            <w:pPr>
              <w:spacing w:after="40" w:before="40" w:line="240" w:lineRule="auto"/>
            </w:pPr>
            <w:r/>
            <w:r>
              <w:rPr>
                <w:rFonts w:ascii="Calibri" w:hAnsi="Calibri"/>
                <w:b w:val="0"/>
                <w:i w:val="0"/>
                <w:color w:val="1A1A1A"/>
                <w:sz w:val="18"/>
              </w:rPr>
              <w:t>Deliberate limitation: a bank feed can establish that a charge recurred; it cannot establish whether the customer used the service. engagement_signal is therefore reported as UNKNOWN unless an authorised app-usage source is available, and MITRA's copy says "charged monthly, no recent activity detected" rather than "unused". Overstating this would be a claim the data does not support.</w:t>
            </w:r>
          </w:p>
        </w:tc>
      </w:tr>
    </w:tbl>
    <w:p>
      <w:pPr>
        <w:spacing w:after="80"/>
      </w:pP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merchant_id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40</w:t>
            </w:r>
          </w:p>
        </w:tc>
        <w:tc>
          <w:tcPr>
            <w:tcW w:type="dxa" w:w="2563"/>
          </w:tcPr>
          <w:p>
            <w:pPr>
              <w:spacing w:after="40" w:before="40" w:line="240" w:lineRule="auto"/>
            </w:pPr>
            <w:r/>
            <w:r>
              <w:rPr>
                <w:rFonts w:ascii="Calibri" w:hAnsi="Calibri"/>
                <w:b w:val="0"/>
                <w:i w:val="0"/>
                <w:color w:val="1A1A1A"/>
                <w:sz w:val="17"/>
              </w:rPr>
              <w:t>MRC_NETFLIX</w:t>
            </w:r>
          </w:p>
        </w:tc>
        <w:tc>
          <w:tcPr>
            <w:tcW w:type="dxa" w:w="5947"/>
          </w:tcPr>
          <w:p>
            <w:pPr>
              <w:spacing w:after="40" w:before="40" w:line="240" w:lineRule="auto"/>
            </w:pPr>
            <w:r/>
            <w:r>
              <w:rPr>
                <w:rFonts w:ascii="Calibri" w:hAnsi="Calibri"/>
                <w:b w:val="0"/>
                <w:i w:val="0"/>
                <w:color w:val="1A1A1A"/>
                <w:sz w:val="17"/>
              </w:rPr>
              <w:t>Normalised merchant identifier.</w:t>
            </w:r>
          </w:p>
        </w:tc>
      </w:tr>
      <w:tr>
        <w:tc>
          <w:tcPr>
            <w:tcW w:type="dxa" w:w="3168"/>
            <w:shd w:val="clear" w:color="auto" w:fill="F2F4F4"/>
          </w:tcPr>
          <w:p>
            <w:pPr>
              <w:spacing w:after="40" w:before="40" w:line="240" w:lineRule="auto"/>
            </w:pPr>
            <w:r/>
            <w:r>
              <w:rPr>
                <w:rFonts w:ascii="Consolas" w:hAnsi="Consolas"/>
                <w:b w:val="0"/>
                <w:color w:val="1A1A1A"/>
                <w:sz w:val="17"/>
              </w:rPr>
              <w:t>merchant_name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100</w:t>
            </w:r>
          </w:p>
        </w:tc>
        <w:tc>
          <w:tcPr>
            <w:tcW w:type="dxa" w:w="2563"/>
            <w:shd w:val="clear" w:color="auto" w:fill="F2F4F4"/>
          </w:tcPr>
          <w:p>
            <w:pPr>
              <w:spacing w:after="40" w:before="40" w:line="240" w:lineRule="auto"/>
            </w:pPr>
            <w:r/>
            <w:r>
              <w:rPr>
                <w:rFonts w:ascii="Calibri" w:hAnsi="Calibri"/>
                <w:b w:val="0"/>
                <w:i w:val="0"/>
                <w:color w:val="1A1A1A"/>
                <w:sz w:val="17"/>
              </w:rPr>
              <w:t>Netflix</w:t>
            </w:r>
          </w:p>
        </w:tc>
        <w:tc>
          <w:tcPr>
            <w:tcW w:type="dxa" w:w="5947"/>
            <w:shd w:val="clear" w:color="auto" w:fill="F2F4F4"/>
          </w:tcPr>
          <w:p>
            <w:pPr>
              <w:spacing w:after="40" w:before="40" w:line="240" w:lineRule="auto"/>
            </w:pPr>
            <w:r/>
            <w:r>
              <w:rPr>
                <w:rFonts w:ascii="Calibri" w:hAnsi="Calibri"/>
                <w:b w:val="0"/>
                <w:i w:val="0"/>
                <w:color w:val="1A1A1A"/>
                <w:sz w:val="17"/>
              </w:rPr>
              <w:t>Display name.</w:t>
            </w:r>
          </w:p>
        </w:tc>
      </w:tr>
      <w:tr>
        <w:tc>
          <w:tcPr>
            <w:tcW w:type="dxa" w:w="3168"/>
          </w:tcPr>
          <w:p>
            <w:pPr>
              <w:spacing w:after="40" w:before="40" w:line="240" w:lineRule="auto"/>
            </w:pPr>
            <w:r/>
            <w:r>
              <w:rPr>
                <w:rFonts w:ascii="Consolas" w:hAnsi="Consolas"/>
                <w:b w:val="0"/>
                <w:color w:val="1A1A1A"/>
                <w:sz w:val="17"/>
              </w:rPr>
              <w:t>recurring_amount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649.00</w:t>
            </w:r>
          </w:p>
        </w:tc>
        <w:tc>
          <w:tcPr>
            <w:tcW w:type="dxa" w:w="5947"/>
          </w:tcPr>
          <w:p>
            <w:pPr>
              <w:spacing w:after="40" w:before="40" w:line="240" w:lineRule="auto"/>
            </w:pPr>
            <w:r/>
            <w:r>
              <w:rPr>
                <w:rFonts w:ascii="Calibri" w:hAnsi="Calibri"/>
                <w:b w:val="0"/>
                <w:i w:val="0"/>
                <w:color w:val="1A1A1A"/>
                <w:sz w:val="17"/>
              </w:rPr>
              <w:t>Engineered. Mean charge across observed occurrences.</w:t>
            </w:r>
          </w:p>
        </w:tc>
      </w:tr>
      <w:tr>
        <w:tc>
          <w:tcPr>
            <w:tcW w:type="dxa" w:w="3168"/>
            <w:shd w:val="clear" w:color="auto" w:fill="F2F4F4"/>
          </w:tcPr>
          <w:p>
            <w:pPr>
              <w:spacing w:after="40" w:before="40" w:line="240" w:lineRule="auto"/>
            </w:pPr>
            <w:r/>
            <w:r>
              <w:rPr>
                <w:rFonts w:ascii="Consolas" w:hAnsi="Consolas"/>
                <w:b w:val="0"/>
                <w:color w:val="1A1A1A"/>
                <w:sz w:val="17"/>
              </w:rPr>
              <w:t>recurring_cadence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12</w:t>
            </w:r>
          </w:p>
        </w:tc>
        <w:tc>
          <w:tcPr>
            <w:tcW w:type="dxa" w:w="2563"/>
            <w:shd w:val="clear" w:color="auto" w:fill="F2F4F4"/>
          </w:tcPr>
          <w:p>
            <w:pPr>
              <w:spacing w:after="40" w:before="40" w:line="240" w:lineRule="auto"/>
            </w:pPr>
            <w:r/>
            <w:r>
              <w:rPr>
                <w:rFonts w:ascii="Calibri" w:hAnsi="Calibri"/>
                <w:b w:val="0"/>
                <w:i w:val="0"/>
                <w:color w:val="1A1A1A"/>
                <w:sz w:val="17"/>
              </w:rPr>
              <w:t>MONTHLY</w:t>
            </w:r>
          </w:p>
        </w:tc>
        <w:tc>
          <w:tcPr>
            <w:tcW w:type="dxa" w:w="5947"/>
            <w:shd w:val="clear" w:color="auto" w:fill="F2F4F4"/>
          </w:tcPr>
          <w:p>
            <w:pPr>
              <w:spacing w:after="40" w:before="40" w:line="240" w:lineRule="auto"/>
            </w:pPr>
            <w:r/>
            <w:r>
              <w:rPr>
                <w:rFonts w:ascii="Calibri" w:hAnsi="Calibri"/>
                <w:b w:val="0"/>
                <w:i w:val="0"/>
                <w:color w:val="1A1A1A"/>
                <w:sz w:val="17"/>
              </w:rPr>
              <w:t>WEEKLY, MONTHLY, QUARTERLY or ANNUAL.</w:t>
            </w:r>
          </w:p>
        </w:tc>
      </w:tr>
      <w:tr>
        <w:tc>
          <w:tcPr>
            <w:tcW w:type="dxa" w:w="3168"/>
          </w:tcPr>
          <w:p>
            <w:pPr>
              <w:spacing w:after="40" w:before="40" w:line="240" w:lineRule="auto"/>
            </w:pPr>
            <w:r/>
            <w:r>
              <w:rPr>
                <w:rFonts w:ascii="Consolas" w:hAnsi="Consolas"/>
                <w:b w:val="0"/>
                <w:color w:val="1A1A1A"/>
                <w:sz w:val="17"/>
              </w:rPr>
              <w:t>first_seen_date</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11-03-25</w:t>
            </w:r>
          </w:p>
        </w:tc>
        <w:tc>
          <w:tcPr>
            <w:tcW w:type="dxa" w:w="5947"/>
          </w:tcPr>
          <w:p>
            <w:pPr>
              <w:spacing w:after="40" w:before="40" w:line="240" w:lineRule="auto"/>
            </w:pPr>
            <w:r/>
            <w:r>
              <w:rPr>
                <w:rFonts w:ascii="Calibri" w:hAnsi="Calibri"/>
                <w:b w:val="0"/>
                <w:i w:val="0"/>
                <w:color w:val="1A1A1A"/>
                <w:sz w:val="17"/>
              </w:rPr>
              <w:t>First observed charge in the window.</w:t>
            </w:r>
          </w:p>
        </w:tc>
      </w:tr>
      <w:tr>
        <w:tc>
          <w:tcPr>
            <w:tcW w:type="dxa" w:w="3168"/>
            <w:shd w:val="clear" w:color="auto" w:fill="F2F4F4"/>
          </w:tcPr>
          <w:p>
            <w:pPr>
              <w:spacing w:after="40" w:before="40" w:line="240" w:lineRule="auto"/>
            </w:pPr>
            <w:r/>
            <w:r>
              <w:rPr>
                <w:rFonts w:ascii="Consolas" w:hAnsi="Consolas"/>
                <w:b w:val="0"/>
                <w:color w:val="1A1A1A"/>
                <w:sz w:val="17"/>
              </w:rPr>
              <w:t>last_charged_date</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11-08-26</w:t>
            </w:r>
          </w:p>
        </w:tc>
        <w:tc>
          <w:tcPr>
            <w:tcW w:type="dxa" w:w="5947"/>
            <w:shd w:val="clear" w:color="auto" w:fill="F2F4F4"/>
          </w:tcPr>
          <w:p>
            <w:pPr>
              <w:spacing w:after="40" w:before="40" w:line="240" w:lineRule="auto"/>
            </w:pPr>
            <w:r/>
            <w:r>
              <w:rPr>
                <w:rFonts w:ascii="Calibri" w:hAnsi="Calibri"/>
                <w:b w:val="0"/>
                <w:i w:val="0"/>
                <w:color w:val="1A1A1A"/>
                <w:sz w:val="17"/>
              </w:rPr>
              <w:t>Most recent charge.</w:t>
            </w:r>
          </w:p>
        </w:tc>
      </w:tr>
      <w:tr>
        <w:tc>
          <w:tcPr>
            <w:tcW w:type="dxa" w:w="3168"/>
          </w:tcPr>
          <w:p>
            <w:pPr>
              <w:spacing w:after="40" w:before="40" w:line="240" w:lineRule="auto"/>
            </w:pPr>
            <w:r/>
            <w:r>
              <w:rPr>
                <w:rFonts w:ascii="Consolas" w:hAnsi="Consolas"/>
                <w:b w:val="0"/>
                <w:color w:val="1A1A1A"/>
                <w:sz w:val="17"/>
              </w:rPr>
              <w:t>occurrence_count</w:t>
            </w:r>
          </w:p>
        </w:tc>
        <w:tc>
          <w:tcPr>
            <w:tcW w:type="dxa" w:w="1123"/>
          </w:tcPr>
          <w:p>
            <w:pPr>
              <w:spacing w:after="40" w:before="40" w:line="240" w:lineRule="auto"/>
            </w:pPr>
            <w:r/>
            <w:r>
              <w:rPr>
                <w:rFonts w:ascii="Calibri" w:hAnsi="Calibri"/>
                <w:b w:val="0"/>
                <w:i w:val="0"/>
                <w:color w:val="1A1A1A"/>
                <w:sz w:val="17"/>
              </w:rPr>
              <w:t>Integer</w:t>
            </w:r>
          </w:p>
        </w:tc>
        <w:tc>
          <w:tcPr>
            <w:tcW w:type="dxa" w:w="1238"/>
          </w:tcPr>
          <w:p>
            <w:pPr>
              <w:spacing w:after="40" w:before="40" w:line="240" w:lineRule="auto"/>
            </w:pPr>
            <w:r/>
            <w:r>
              <w:rPr>
                <w:rFonts w:ascii="Calibri" w:hAnsi="Calibri"/>
                <w:b w:val="0"/>
                <w:i w:val="0"/>
                <w:color w:val="1A1A1A"/>
                <w:sz w:val="17"/>
              </w:rPr>
              <w:t>3</w:t>
            </w:r>
          </w:p>
        </w:tc>
        <w:tc>
          <w:tcPr>
            <w:tcW w:type="dxa" w:w="2563"/>
          </w:tcPr>
          <w:p>
            <w:pPr>
              <w:spacing w:after="40" w:before="40" w:line="240" w:lineRule="auto"/>
            </w:pPr>
            <w:r/>
            <w:r>
              <w:rPr>
                <w:rFonts w:ascii="Calibri" w:hAnsi="Calibri"/>
                <w:b w:val="0"/>
                <w:i w:val="0"/>
                <w:color w:val="1A1A1A"/>
                <w:sz w:val="17"/>
              </w:rPr>
              <w:t>18</w:t>
            </w:r>
          </w:p>
        </w:tc>
        <w:tc>
          <w:tcPr>
            <w:tcW w:type="dxa" w:w="5947"/>
          </w:tcPr>
          <w:p>
            <w:pPr>
              <w:spacing w:after="40" w:before="40" w:line="240" w:lineRule="auto"/>
            </w:pPr>
            <w:r/>
            <w:r>
              <w:rPr>
                <w:rFonts w:ascii="Calibri" w:hAnsi="Calibri"/>
                <w:b w:val="0"/>
                <w:i w:val="0"/>
                <w:color w:val="1A1A1A"/>
                <w:sz w:val="17"/>
              </w:rPr>
              <w:t>Charges observed.</w:t>
            </w:r>
          </w:p>
        </w:tc>
      </w:tr>
      <w:tr>
        <w:tc>
          <w:tcPr>
            <w:tcW w:type="dxa" w:w="3168"/>
            <w:shd w:val="clear" w:color="auto" w:fill="F2F4F4"/>
          </w:tcPr>
          <w:p>
            <w:pPr>
              <w:spacing w:after="40" w:before="40" w:line="240" w:lineRule="auto"/>
            </w:pPr>
            <w:r/>
            <w:r>
              <w:rPr>
                <w:rFonts w:ascii="Consolas" w:hAnsi="Consolas"/>
                <w:b w:val="0"/>
                <w:color w:val="1A1A1A"/>
                <w:sz w:val="17"/>
              </w:rPr>
              <w:t>annualised_cost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7788.00</w:t>
            </w:r>
          </w:p>
        </w:tc>
        <w:tc>
          <w:tcPr>
            <w:tcW w:type="dxa" w:w="5947"/>
            <w:shd w:val="clear" w:color="auto" w:fill="F2F4F4"/>
          </w:tcPr>
          <w:p>
            <w:pPr>
              <w:spacing w:after="40" w:before="40" w:line="240" w:lineRule="auto"/>
            </w:pPr>
            <w:r/>
            <w:r>
              <w:rPr>
                <w:rFonts w:ascii="Calibri" w:hAnsi="Calibri"/>
                <w:b w:val="0"/>
                <w:i w:val="0"/>
                <w:color w:val="1A1A1A"/>
                <w:sz w:val="17"/>
              </w:rPr>
              <w:t>Engineered. Cost projected over 12 months — the figure that makes the trade-off legible.</w:t>
            </w:r>
          </w:p>
        </w:tc>
      </w:tr>
      <w:tr>
        <w:tc>
          <w:tcPr>
            <w:tcW w:type="dxa" w:w="3168"/>
          </w:tcPr>
          <w:p>
            <w:pPr>
              <w:spacing w:after="40" w:before="40" w:line="240" w:lineRule="auto"/>
            </w:pPr>
            <w:r/>
            <w:r>
              <w:rPr>
                <w:rFonts w:ascii="Consolas" w:hAnsi="Consolas"/>
                <w:b w:val="0"/>
                <w:color w:val="1A1A1A"/>
                <w:sz w:val="17"/>
              </w:rPr>
              <w:t>engagement_signal</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UNKNOWN</w:t>
            </w:r>
          </w:p>
        </w:tc>
        <w:tc>
          <w:tcPr>
            <w:tcW w:type="dxa" w:w="5947"/>
          </w:tcPr>
          <w:p>
            <w:pPr>
              <w:spacing w:after="40" w:before="40" w:line="240" w:lineRule="auto"/>
            </w:pPr>
            <w:r/>
            <w:r>
              <w:rPr>
                <w:rFonts w:ascii="Calibri" w:hAnsi="Calibri"/>
                <w:b w:val="0"/>
                <w:i w:val="0"/>
                <w:color w:val="1A1A1A"/>
                <w:sz w:val="17"/>
              </w:rPr>
              <w:t>ACTIVE, DORMANT or UNKNOWN. See the limitation note above.</w:t>
            </w:r>
          </w:p>
        </w:tc>
      </w:tr>
      <w:tr>
        <w:tc>
          <w:tcPr>
            <w:tcW w:type="dxa" w:w="3168"/>
            <w:shd w:val="clear" w:color="auto" w:fill="F2F4F4"/>
          </w:tcPr>
          <w:p>
            <w:pPr>
              <w:spacing w:after="40" w:before="40" w:line="240" w:lineRule="auto"/>
            </w:pPr>
            <w:r/>
            <w:r>
              <w:rPr>
                <w:rFonts w:ascii="Consolas" w:hAnsi="Consolas"/>
                <w:b w:val="0"/>
                <w:color w:val="1A1A1A"/>
                <w:sz w:val="17"/>
              </w:rPr>
              <w:t>detection_confidence</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3,2</w:t>
            </w:r>
          </w:p>
        </w:tc>
        <w:tc>
          <w:tcPr>
            <w:tcW w:type="dxa" w:w="2563"/>
            <w:shd w:val="clear" w:color="auto" w:fill="F2F4F4"/>
          </w:tcPr>
          <w:p>
            <w:pPr>
              <w:spacing w:after="40" w:before="40" w:line="240" w:lineRule="auto"/>
            </w:pPr>
            <w:r/>
            <w:r>
              <w:rPr>
                <w:rFonts w:ascii="Calibri" w:hAnsi="Calibri"/>
                <w:b w:val="0"/>
                <w:i w:val="0"/>
                <w:color w:val="1A1A1A"/>
                <w:sz w:val="17"/>
              </w:rPr>
              <w:t>0.94</w:t>
            </w:r>
          </w:p>
        </w:tc>
        <w:tc>
          <w:tcPr>
            <w:tcW w:type="dxa" w:w="5947"/>
            <w:shd w:val="clear" w:color="auto" w:fill="F2F4F4"/>
          </w:tcPr>
          <w:p>
            <w:pPr>
              <w:spacing w:after="40" w:before="40" w:line="240" w:lineRule="auto"/>
            </w:pPr>
            <w:r/>
            <w:r>
              <w:rPr>
                <w:rFonts w:ascii="Calibri" w:hAnsi="Calibri"/>
                <w:b w:val="0"/>
                <w:i w:val="0"/>
                <w:color w:val="1A1A1A"/>
                <w:sz w:val="17"/>
              </w:rPr>
              <w:t>Engineered. 0.00–1.00, based on amount consistency and cadence regularity.</w:t>
            </w:r>
          </w:p>
        </w:tc>
      </w:tr>
    </w:tbl>
    <w:p>
      <w:pPr>
        <w:spacing w:after="40"/>
      </w:pPr>
    </w:p>
    <w:p>
      <w:r>
        <w:br w:type="page"/>
      </w:r>
    </w:p>
    <w:p>
      <w:pPr>
        <w:spacing w:before="0" w:after="80"/>
      </w:pPr>
      <w:r>
        <w:rPr>
          <w:b/>
          <w:color w:val="006B6B"/>
          <w:sz w:val="34"/>
        </w:rPr>
        <w:t>12  MITRA Advisory Output (Outbound)</w:t>
      </w:r>
    </w:p>
    <w:p>
      <w:pPr>
        <w:spacing w:after="200"/>
      </w:pPr>
      <w:r>
        <w:rPr>
          <w:color w:val="006B6B"/>
          <w:sz w:val="12"/>
        </w:rPr>
        <w:t>────────────────────────────────────────────────────────────</w:t>
      </w:r>
    </w:p>
    <w:p>
      <w:pPr>
        <w:spacing w:after="120"/>
      </w:pPr>
      <w:r>
        <w:rPr>
          <w:b w:val="0"/>
          <w:i w:val="0"/>
          <w:color w:val="5A6363"/>
          <w:sz w:val="19"/>
        </w:rPr>
        <w:t>Fields MITRA returns to the app and writes to the advisory audit log. Every field is engineered. Section 12.3 carries the provenance fields that make each recommendation reconstructible — a record-keeping requirement, not a convenience.</w:t>
      </w:r>
    </w:p>
    <w:p>
      <w:pPr>
        <w:spacing w:before="180" w:after="60"/>
      </w:pPr>
      <w:r>
        <w:rPr>
          <w:b/>
          <w:color w:val="1A1A1A"/>
          <w:sz w:val="21"/>
        </w:rPr>
        <w:t>12.1  Financial health score</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financial_health_score</w:t>
            </w:r>
          </w:p>
        </w:tc>
        <w:tc>
          <w:tcPr>
            <w:tcW w:type="dxa" w:w="1123"/>
          </w:tcPr>
          <w:p>
            <w:pPr>
              <w:spacing w:after="40" w:before="40" w:line="240" w:lineRule="auto"/>
            </w:pPr>
            <w:r/>
            <w:r>
              <w:rPr>
                <w:rFonts w:ascii="Calibri" w:hAnsi="Calibri"/>
                <w:b w:val="0"/>
                <w:i w:val="0"/>
                <w:color w:val="1A1A1A"/>
                <w:sz w:val="17"/>
              </w:rPr>
              <w:t>Integer</w:t>
            </w:r>
          </w:p>
        </w:tc>
        <w:tc>
          <w:tcPr>
            <w:tcW w:type="dxa" w:w="1238"/>
          </w:tcPr>
          <w:p>
            <w:pPr>
              <w:spacing w:after="40" w:before="40" w:line="240" w:lineRule="auto"/>
            </w:pPr>
            <w:r/>
            <w:r>
              <w:rPr>
                <w:rFonts w:ascii="Calibri" w:hAnsi="Calibri"/>
                <w:b w:val="0"/>
                <w:i w:val="0"/>
                <w:color w:val="1A1A1A"/>
                <w:sz w:val="17"/>
              </w:rPr>
              <w:t>3</w:t>
            </w:r>
          </w:p>
        </w:tc>
        <w:tc>
          <w:tcPr>
            <w:tcW w:type="dxa" w:w="2563"/>
          </w:tcPr>
          <w:p>
            <w:pPr>
              <w:spacing w:after="40" w:before="40" w:line="240" w:lineRule="auto"/>
            </w:pPr>
            <w:r/>
            <w:r>
              <w:rPr>
                <w:rFonts w:ascii="Calibri" w:hAnsi="Calibri"/>
                <w:b w:val="0"/>
                <w:i w:val="0"/>
                <w:color w:val="1A1A1A"/>
                <w:sz w:val="17"/>
              </w:rPr>
              <w:t>68</w:t>
            </w:r>
          </w:p>
        </w:tc>
        <w:tc>
          <w:tcPr>
            <w:tcW w:type="dxa" w:w="5947"/>
          </w:tcPr>
          <w:p>
            <w:pPr>
              <w:spacing w:after="40" w:before="40" w:line="240" w:lineRule="auto"/>
            </w:pPr>
            <w:r/>
            <w:r>
              <w:rPr>
                <w:rFonts w:ascii="Calibri" w:hAnsi="Calibri"/>
                <w:b w:val="0"/>
                <w:i w:val="0"/>
                <w:color w:val="1A1A1A"/>
                <w:sz w:val="17"/>
              </w:rPr>
              <w:t>Engineered. Composite score, 0–100.</w:t>
            </w:r>
          </w:p>
        </w:tc>
      </w:tr>
      <w:tr>
        <w:tc>
          <w:tcPr>
            <w:tcW w:type="dxa" w:w="3168"/>
            <w:shd w:val="clear" w:color="auto" w:fill="F2F4F4"/>
          </w:tcPr>
          <w:p>
            <w:pPr>
              <w:spacing w:after="40" w:before="40" w:line="240" w:lineRule="auto"/>
            </w:pPr>
            <w:r/>
            <w:r>
              <w:rPr>
                <w:rFonts w:ascii="Consolas" w:hAnsi="Consolas"/>
                <w:b w:val="0"/>
                <w:color w:val="1A1A1A"/>
                <w:sz w:val="17"/>
              </w:rPr>
              <w:t>health_score_grade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15</w:t>
            </w:r>
          </w:p>
        </w:tc>
        <w:tc>
          <w:tcPr>
            <w:tcW w:type="dxa" w:w="2563"/>
            <w:shd w:val="clear" w:color="auto" w:fill="F2F4F4"/>
          </w:tcPr>
          <w:p>
            <w:pPr>
              <w:spacing w:after="40" w:before="40" w:line="240" w:lineRule="auto"/>
            </w:pPr>
            <w:r/>
            <w:r>
              <w:rPr>
                <w:rFonts w:ascii="Calibri" w:hAnsi="Calibri"/>
                <w:b w:val="0"/>
                <w:i w:val="0"/>
                <w:color w:val="1A1A1A"/>
                <w:sz w:val="17"/>
              </w:rPr>
              <w:t>GOOD</w:t>
            </w:r>
          </w:p>
        </w:tc>
        <w:tc>
          <w:tcPr>
            <w:tcW w:type="dxa" w:w="5947"/>
            <w:shd w:val="clear" w:color="auto" w:fill="F2F4F4"/>
          </w:tcPr>
          <w:p>
            <w:pPr>
              <w:spacing w:after="40" w:before="40" w:line="240" w:lineRule="auto"/>
            </w:pPr>
            <w:r/>
            <w:r>
              <w:rPr>
                <w:rFonts w:ascii="Calibri" w:hAnsi="Calibri"/>
                <w:b w:val="0"/>
                <w:i w:val="0"/>
                <w:color w:val="1A1A1A"/>
                <w:sz w:val="17"/>
              </w:rPr>
              <w:t>NEEDS_WORK, FAIR, GOOD or EXCELLENT.</w:t>
            </w:r>
          </w:p>
        </w:tc>
      </w:tr>
      <w:tr>
        <w:tc>
          <w:tcPr>
            <w:tcW w:type="dxa" w:w="3168"/>
          </w:tcPr>
          <w:p>
            <w:pPr>
              <w:spacing w:after="40" w:before="40" w:line="240" w:lineRule="auto"/>
            </w:pPr>
            <w:r/>
            <w:r>
              <w:rPr>
                <w:rFonts w:ascii="Consolas" w:hAnsi="Consolas"/>
                <w:b w:val="0"/>
                <w:color w:val="1A1A1A"/>
                <w:sz w:val="17"/>
              </w:rPr>
              <w:t>savings_rate_score</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5,2</w:t>
            </w:r>
          </w:p>
        </w:tc>
        <w:tc>
          <w:tcPr>
            <w:tcW w:type="dxa" w:w="2563"/>
          </w:tcPr>
          <w:p>
            <w:pPr>
              <w:spacing w:after="40" w:before="40" w:line="240" w:lineRule="auto"/>
            </w:pPr>
            <w:r/>
            <w:r>
              <w:rPr>
                <w:rFonts w:ascii="Calibri" w:hAnsi="Calibri"/>
                <w:b w:val="0"/>
                <w:i w:val="0"/>
                <w:color w:val="1A1A1A"/>
                <w:sz w:val="17"/>
              </w:rPr>
              <w:t>21.30</w:t>
            </w:r>
          </w:p>
        </w:tc>
        <w:tc>
          <w:tcPr>
            <w:tcW w:type="dxa" w:w="5947"/>
          </w:tcPr>
          <w:p>
            <w:pPr>
              <w:spacing w:after="40" w:before="40" w:line="240" w:lineRule="auto"/>
            </w:pPr>
            <w:r/>
            <w:r>
              <w:rPr>
                <w:rFonts w:ascii="Calibri" w:hAnsi="Calibri"/>
                <w:b w:val="0"/>
                <w:i w:val="0"/>
                <w:color w:val="1A1A1A"/>
                <w:sz w:val="17"/>
              </w:rPr>
              <w:t>Engineered. Component score out of 25.</w:t>
            </w:r>
          </w:p>
        </w:tc>
      </w:tr>
      <w:tr>
        <w:tc>
          <w:tcPr>
            <w:tcW w:type="dxa" w:w="3168"/>
            <w:shd w:val="clear" w:color="auto" w:fill="F2F4F4"/>
          </w:tcPr>
          <w:p>
            <w:pPr>
              <w:spacing w:after="40" w:before="40" w:line="240" w:lineRule="auto"/>
            </w:pPr>
            <w:r/>
            <w:r>
              <w:rPr>
                <w:rFonts w:ascii="Consolas" w:hAnsi="Consolas"/>
                <w:b w:val="0"/>
                <w:color w:val="1A1A1A"/>
                <w:sz w:val="17"/>
              </w:rPr>
              <w:t>emergency_cover_score</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5,2</w:t>
            </w:r>
          </w:p>
        </w:tc>
        <w:tc>
          <w:tcPr>
            <w:tcW w:type="dxa" w:w="2563"/>
            <w:shd w:val="clear" w:color="auto" w:fill="F2F4F4"/>
          </w:tcPr>
          <w:p>
            <w:pPr>
              <w:spacing w:after="40" w:before="40" w:line="240" w:lineRule="auto"/>
            </w:pPr>
            <w:r/>
            <w:r>
              <w:rPr>
                <w:rFonts w:ascii="Calibri" w:hAnsi="Calibri"/>
                <w:b w:val="0"/>
                <w:i w:val="0"/>
                <w:color w:val="1A1A1A"/>
                <w:sz w:val="17"/>
              </w:rPr>
              <w:t>17.40</w:t>
            </w:r>
          </w:p>
        </w:tc>
        <w:tc>
          <w:tcPr>
            <w:tcW w:type="dxa" w:w="5947"/>
            <w:shd w:val="clear" w:color="auto" w:fill="F2F4F4"/>
          </w:tcPr>
          <w:p>
            <w:pPr>
              <w:spacing w:after="40" w:before="40" w:line="240" w:lineRule="auto"/>
            </w:pPr>
            <w:r/>
            <w:r>
              <w:rPr>
                <w:rFonts w:ascii="Calibri" w:hAnsi="Calibri"/>
                <w:b w:val="0"/>
                <w:i w:val="0"/>
                <w:color w:val="1A1A1A"/>
                <w:sz w:val="17"/>
              </w:rPr>
              <w:t>Engineered. Component score out of 25.</w:t>
            </w:r>
          </w:p>
        </w:tc>
      </w:tr>
      <w:tr>
        <w:tc>
          <w:tcPr>
            <w:tcW w:type="dxa" w:w="3168"/>
          </w:tcPr>
          <w:p>
            <w:pPr>
              <w:spacing w:after="40" w:before="40" w:line="240" w:lineRule="auto"/>
            </w:pPr>
            <w:r/>
            <w:r>
              <w:rPr>
                <w:rFonts w:ascii="Consolas" w:hAnsi="Consolas"/>
                <w:b w:val="0"/>
                <w:color w:val="1A1A1A"/>
                <w:sz w:val="17"/>
              </w:rPr>
              <w:t>diversification_score</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5,2</w:t>
            </w:r>
          </w:p>
        </w:tc>
        <w:tc>
          <w:tcPr>
            <w:tcW w:type="dxa" w:w="2563"/>
          </w:tcPr>
          <w:p>
            <w:pPr>
              <w:spacing w:after="40" w:before="40" w:line="240" w:lineRule="auto"/>
            </w:pPr>
            <w:r/>
            <w:r>
              <w:rPr>
                <w:rFonts w:ascii="Calibri" w:hAnsi="Calibri"/>
                <w:b w:val="0"/>
                <w:i w:val="0"/>
                <w:color w:val="1A1A1A"/>
                <w:sz w:val="17"/>
              </w:rPr>
              <w:t>12.00</w:t>
            </w:r>
          </w:p>
        </w:tc>
        <w:tc>
          <w:tcPr>
            <w:tcW w:type="dxa" w:w="5947"/>
          </w:tcPr>
          <w:p>
            <w:pPr>
              <w:spacing w:after="40" w:before="40" w:line="240" w:lineRule="auto"/>
            </w:pPr>
            <w:r/>
            <w:r>
              <w:rPr>
                <w:rFonts w:ascii="Calibri" w:hAnsi="Calibri"/>
                <w:b w:val="0"/>
                <w:i w:val="0"/>
                <w:color w:val="1A1A1A"/>
                <w:sz w:val="17"/>
              </w:rPr>
              <w:t>Engineered. Component score out of 25.</w:t>
            </w:r>
          </w:p>
        </w:tc>
      </w:tr>
      <w:tr>
        <w:tc>
          <w:tcPr>
            <w:tcW w:type="dxa" w:w="3168"/>
            <w:shd w:val="clear" w:color="auto" w:fill="F2F4F4"/>
          </w:tcPr>
          <w:p>
            <w:pPr>
              <w:spacing w:after="40" w:before="40" w:line="240" w:lineRule="auto"/>
            </w:pPr>
            <w:r/>
            <w:r>
              <w:rPr>
                <w:rFonts w:ascii="Consolas" w:hAnsi="Consolas"/>
                <w:b w:val="0"/>
                <w:color w:val="1A1A1A"/>
                <w:sz w:val="17"/>
              </w:rPr>
              <w:t>goal_readiness_score</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5,2</w:t>
            </w:r>
          </w:p>
        </w:tc>
        <w:tc>
          <w:tcPr>
            <w:tcW w:type="dxa" w:w="2563"/>
            <w:shd w:val="clear" w:color="auto" w:fill="F2F4F4"/>
          </w:tcPr>
          <w:p>
            <w:pPr>
              <w:spacing w:after="40" w:before="40" w:line="240" w:lineRule="auto"/>
            </w:pPr>
            <w:r/>
            <w:r>
              <w:rPr>
                <w:rFonts w:ascii="Calibri" w:hAnsi="Calibri"/>
                <w:b w:val="0"/>
                <w:i w:val="0"/>
                <w:color w:val="1A1A1A"/>
                <w:sz w:val="17"/>
              </w:rPr>
              <w:t>17.30</w:t>
            </w:r>
          </w:p>
        </w:tc>
        <w:tc>
          <w:tcPr>
            <w:tcW w:type="dxa" w:w="5947"/>
            <w:shd w:val="clear" w:color="auto" w:fill="F2F4F4"/>
          </w:tcPr>
          <w:p>
            <w:pPr>
              <w:spacing w:after="40" w:before="40" w:line="240" w:lineRule="auto"/>
            </w:pPr>
            <w:r/>
            <w:r>
              <w:rPr>
                <w:rFonts w:ascii="Calibri" w:hAnsi="Calibri"/>
                <w:b w:val="0"/>
                <w:i w:val="0"/>
                <w:color w:val="1A1A1A"/>
                <w:sz w:val="17"/>
              </w:rPr>
              <w:t>Engineered. Component score out of 25.</w:t>
            </w:r>
          </w:p>
        </w:tc>
      </w:tr>
      <w:tr>
        <w:tc>
          <w:tcPr>
            <w:tcW w:type="dxa" w:w="3168"/>
          </w:tcPr>
          <w:p>
            <w:pPr>
              <w:spacing w:after="40" w:before="40" w:line="240" w:lineRule="auto"/>
            </w:pPr>
            <w:r/>
            <w:r>
              <w:rPr>
                <w:rFonts w:ascii="Consolas" w:hAnsi="Consolas"/>
                <w:b w:val="0"/>
                <w:color w:val="1A1A1A"/>
                <w:sz w:val="17"/>
              </w:rPr>
              <w:t>emergency_cover_months</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5,2</w:t>
            </w:r>
          </w:p>
        </w:tc>
        <w:tc>
          <w:tcPr>
            <w:tcW w:type="dxa" w:w="2563"/>
          </w:tcPr>
          <w:p>
            <w:pPr>
              <w:spacing w:after="40" w:before="40" w:line="240" w:lineRule="auto"/>
            </w:pPr>
            <w:r/>
            <w:r>
              <w:rPr>
                <w:rFonts w:ascii="Calibri" w:hAnsi="Calibri"/>
                <w:b w:val="0"/>
                <w:i w:val="0"/>
                <w:color w:val="1A1A1A"/>
                <w:sz w:val="17"/>
              </w:rPr>
              <w:t>4.20</w:t>
            </w:r>
          </w:p>
        </w:tc>
        <w:tc>
          <w:tcPr>
            <w:tcW w:type="dxa" w:w="5947"/>
          </w:tcPr>
          <w:p>
            <w:pPr>
              <w:spacing w:after="40" w:before="40" w:line="240" w:lineRule="auto"/>
            </w:pPr>
            <w:r/>
            <w:r>
              <w:rPr>
                <w:rFonts w:ascii="Calibri" w:hAnsi="Calibri"/>
                <w:b w:val="0"/>
                <w:i w:val="0"/>
                <w:color w:val="1A1A1A"/>
                <w:sz w:val="17"/>
              </w:rPr>
              <w:t>Engineered as liquid balance ÷ average monthly spend.</w:t>
            </w:r>
          </w:p>
        </w:tc>
      </w:tr>
      <w:tr>
        <w:tc>
          <w:tcPr>
            <w:tcW w:type="dxa" w:w="3168"/>
            <w:shd w:val="clear" w:color="auto" w:fill="F2F4F4"/>
          </w:tcPr>
          <w:p>
            <w:pPr>
              <w:spacing w:after="40" w:before="40" w:line="240" w:lineRule="auto"/>
            </w:pPr>
            <w:r/>
            <w:r>
              <w:rPr>
                <w:rFonts w:ascii="Consolas" w:hAnsi="Consolas"/>
                <w:b w:val="0"/>
                <w:color w:val="1A1A1A"/>
                <w:sz w:val="17"/>
              </w:rPr>
              <w:t>equity_exposure_pct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5,2</w:t>
            </w:r>
          </w:p>
        </w:tc>
        <w:tc>
          <w:tcPr>
            <w:tcW w:type="dxa" w:w="2563"/>
            <w:shd w:val="clear" w:color="auto" w:fill="F2F4F4"/>
          </w:tcPr>
          <w:p>
            <w:pPr>
              <w:spacing w:after="40" w:before="40" w:line="240" w:lineRule="auto"/>
            </w:pPr>
            <w:r/>
            <w:r>
              <w:rPr>
                <w:rFonts w:ascii="Calibri" w:hAnsi="Calibri"/>
                <w:b w:val="0"/>
                <w:i w:val="0"/>
                <w:color w:val="1A1A1A"/>
                <w:sz w:val="17"/>
              </w:rPr>
              <w:t>17.30</w:t>
            </w:r>
          </w:p>
        </w:tc>
        <w:tc>
          <w:tcPr>
            <w:tcW w:type="dxa" w:w="5947"/>
            <w:shd w:val="clear" w:color="auto" w:fill="F2F4F4"/>
          </w:tcPr>
          <w:p>
            <w:pPr>
              <w:spacing w:after="40" w:before="40" w:line="240" w:lineRule="auto"/>
            </w:pPr>
            <w:r/>
            <w:r>
              <w:rPr>
                <w:rFonts w:ascii="Calibri" w:hAnsi="Calibri"/>
                <w:b w:val="0"/>
                <w:i w:val="0"/>
                <w:color w:val="1A1A1A"/>
                <w:sz w:val="17"/>
              </w:rPr>
              <w:t>Engineered. Growth assets as a share of total portfolio.</w:t>
            </w:r>
          </w:p>
        </w:tc>
      </w:tr>
      <w:tr>
        <w:tc>
          <w:tcPr>
            <w:tcW w:type="dxa" w:w="3168"/>
          </w:tcPr>
          <w:p>
            <w:pPr>
              <w:spacing w:after="40" w:before="40" w:line="240" w:lineRule="auto"/>
            </w:pPr>
            <w:r/>
            <w:r>
              <w:rPr>
                <w:rFonts w:ascii="Consolas" w:hAnsi="Consolas"/>
                <w:b w:val="0"/>
                <w:color w:val="1A1A1A"/>
                <w:sz w:val="17"/>
              </w:rPr>
              <w:t>score_delta_1m</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5,2</w:t>
            </w:r>
          </w:p>
        </w:tc>
        <w:tc>
          <w:tcPr>
            <w:tcW w:type="dxa" w:w="2563"/>
          </w:tcPr>
          <w:p>
            <w:pPr>
              <w:spacing w:after="40" w:before="40" w:line="240" w:lineRule="auto"/>
            </w:pPr>
            <w:r/>
            <w:r>
              <w:rPr>
                <w:rFonts w:ascii="Calibri" w:hAnsi="Calibri"/>
                <w:b w:val="0"/>
                <w:i w:val="0"/>
                <w:color w:val="1A1A1A"/>
                <w:sz w:val="17"/>
              </w:rPr>
              <w:t>2.00</w:t>
            </w:r>
          </w:p>
        </w:tc>
        <w:tc>
          <w:tcPr>
            <w:tcW w:type="dxa" w:w="5947"/>
          </w:tcPr>
          <w:p>
            <w:pPr>
              <w:spacing w:after="40" w:before="40" w:line="240" w:lineRule="auto"/>
            </w:pPr>
            <w:r/>
            <w:r>
              <w:rPr>
                <w:rFonts w:ascii="Calibri" w:hAnsi="Calibri"/>
                <w:b w:val="0"/>
                <w:i w:val="0"/>
                <w:color w:val="1A1A1A"/>
                <w:sz w:val="17"/>
              </w:rPr>
              <w:t>Engineered. Change since the prior month, so the customer sees direction rather than a bare number.</w:t>
            </w:r>
          </w:p>
        </w:tc>
      </w:tr>
    </w:tbl>
    <w:p>
      <w:pPr>
        <w:spacing w:after="40"/>
      </w:pPr>
    </w:p>
    <w:p>
      <w:pPr>
        <w:spacing w:before="180" w:after="60"/>
      </w:pPr>
      <w:r>
        <w:rPr>
          <w:b/>
          <w:color w:val="1A1A1A"/>
          <w:sz w:val="21"/>
        </w:rPr>
        <w:t>12.2  Advisory insights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nudge_id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30</w:t>
            </w:r>
          </w:p>
        </w:tc>
        <w:tc>
          <w:tcPr>
            <w:tcW w:type="dxa" w:w="2563"/>
          </w:tcPr>
          <w:p>
            <w:pPr>
              <w:spacing w:after="40" w:before="40" w:line="240" w:lineRule="auto"/>
            </w:pPr>
            <w:r/>
            <w:r>
              <w:rPr>
                <w:rFonts w:ascii="Calibri" w:hAnsi="Calibri"/>
                <w:b w:val="0"/>
                <w:i w:val="0"/>
                <w:color w:val="1A1A1A"/>
                <w:sz w:val="17"/>
              </w:rPr>
              <w:t>NDG_01J8X2P4</w:t>
            </w:r>
          </w:p>
        </w:tc>
        <w:tc>
          <w:tcPr>
            <w:tcW w:type="dxa" w:w="5947"/>
          </w:tcPr>
          <w:p>
            <w:pPr>
              <w:spacing w:after="40" w:before="40" w:line="240" w:lineRule="auto"/>
            </w:pPr>
            <w:r/>
            <w:r>
              <w:rPr>
                <w:rFonts w:ascii="Calibri" w:hAnsi="Calibri"/>
                <w:b w:val="0"/>
                <w:i w:val="0"/>
                <w:color w:val="1A1A1A"/>
                <w:sz w:val="17"/>
              </w:rPr>
              <w:t>Unique recommendation identifier.</w:t>
            </w:r>
          </w:p>
        </w:tc>
      </w:tr>
      <w:tr>
        <w:tc>
          <w:tcPr>
            <w:tcW w:type="dxa" w:w="3168"/>
            <w:shd w:val="clear" w:color="auto" w:fill="F2F4F4"/>
          </w:tcPr>
          <w:p>
            <w:pPr>
              <w:spacing w:after="40" w:before="40" w:line="240" w:lineRule="auto"/>
            </w:pPr>
            <w:r/>
            <w:r>
              <w:rPr>
                <w:rFonts w:ascii="Consolas" w:hAnsi="Consolas"/>
                <w:b w:val="0"/>
                <w:color w:val="1A1A1A"/>
                <w:sz w:val="17"/>
              </w:rPr>
              <w:t>nudge_kind</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30</w:t>
            </w:r>
          </w:p>
        </w:tc>
        <w:tc>
          <w:tcPr>
            <w:tcW w:type="dxa" w:w="2563"/>
            <w:shd w:val="clear" w:color="auto" w:fill="F2F4F4"/>
          </w:tcPr>
          <w:p>
            <w:pPr>
              <w:spacing w:after="40" w:before="40" w:line="240" w:lineRule="auto"/>
            </w:pPr>
            <w:r/>
            <w:r>
              <w:rPr>
                <w:rFonts w:ascii="Calibri" w:hAnsi="Calibri"/>
                <w:b w:val="0"/>
                <w:i w:val="0"/>
                <w:color w:val="1A1A1A"/>
                <w:sz w:val="17"/>
              </w:rPr>
              <w:t>SURPLUS_IDLE</w:t>
            </w:r>
          </w:p>
        </w:tc>
        <w:tc>
          <w:tcPr>
            <w:tcW w:type="dxa" w:w="5947"/>
            <w:shd w:val="clear" w:color="auto" w:fill="F2F4F4"/>
          </w:tcPr>
          <w:p>
            <w:pPr>
              <w:spacing w:after="40" w:before="40" w:line="240" w:lineRule="auto"/>
            </w:pPr>
            <w:r/>
            <w:r>
              <w:rPr>
                <w:rFonts w:ascii="Calibri" w:hAnsi="Calibri"/>
                <w:b w:val="0"/>
                <w:i w:val="0"/>
                <w:color w:val="1A1A1A"/>
                <w:sz w:val="17"/>
              </w:rPr>
              <w:t>SURPLUS_IDLE, ALLOCATION_DRIFT, SPEND_ANOMALY, TAX_GAP, SUBSCRIPTION_WASTE, PROTECTION_GAP, EMERGENCY_FUND_LOW, FEE_DRAG, LTCG_HARVEST or LOAN_PREPAY.</w:t>
            </w:r>
          </w:p>
        </w:tc>
      </w:tr>
      <w:tr>
        <w:tc>
          <w:tcPr>
            <w:tcW w:type="dxa" w:w="3168"/>
          </w:tcPr>
          <w:p>
            <w:pPr>
              <w:spacing w:after="40" w:before="40" w:line="240" w:lineRule="auto"/>
            </w:pPr>
            <w:r/>
            <w:r>
              <w:rPr>
                <w:rFonts w:ascii="Consolas" w:hAnsi="Consolas"/>
                <w:b w:val="0"/>
                <w:color w:val="1A1A1A"/>
                <w:sz w:val="17"/>
              </w:rPr>
              <w:t>nudge_priority</w:t>
            </w:r>
          </w:p>
        </w:tc>
        <w:tc>
          <w:tcPr>
            <w:tcW w:type="dxa" w:w="1123"/>
          </w:tcPr>
          <w:p>
            <w:pPr>
              <w:spacing w:after="40" w:before="40" w:line="240" w:lineRule="auto"/>
            </w:pPr>
            <w:r/>
            <w:r>
              <w:rPr>
                <w:rFonts w:ascii="Calibri" w:hAnsi="Calibri"/>
                <w:b w:val="0"/>
                <w:i w:val="0"/>
                <w:color w:val="1A1A1A"/>
                <w:sz w:val="17"/>
              </w:rPr>
              <w:t>Integer</w:t>
            </w:r>
          </w:p>
        </w:tc>
        <w:tc>
          <w:tcPr>
            <w:tcW w:type="dxa" w:w="1238"/>
          </w:tcPr>
          <w:p>
            <w:pPr>
              <w:spacing w:after="40" w:before="40" w:line="240" w:lineRule="auto"/>
            </w:pPr>
            <w:r/>
            <w:r>
              <w:rPr>
                <w:rFonts w:ascii="Calibri" w:hAnsi="Calibri"/>
                <w:b w:val="0"/>
                <w:i w:val="0"/>
                <w:color w:val="1A1A1A"/>
                <w:sz w:val="17"/>
              </w:rPr>
              <w:t>2</w:t>
            </w:r>
          </w:p>
        </w:tc>
        <w:tc>
          <w:tcPr>
            <w:tcW w:type="dxa" w:w="2563"/>
          </w:tcPr>
          <w:p>
            <w:pPr>
              <w:spacing w:after="40" w:before="40" w:line="240" w:lineRule="auto"/>
            </w:pPr>
            <w:r/>
            <w:r>
              <w:rPr>
                <w:rFonts w:ascii="Calibri" w:hAnsi="Calibri"/>
                <w:b w:val="0"/>
                <w:i w:val="0"/>
                <w:color w:val="1A1A1A"/>
                <w:sz w:val="17"/>
              </w:rPr>
              <w:t>1</w:t>
            </w:r>
          </w:p>
        </w:tc>
        <w:tc>
          <w:tcPr>
            <w:tcW w:type="dxa" w:w="5947"/>
          </w:tcPr>
          <w:p>
            <w:pPr>
              <w:spacing w:after="40" w:before="40" w:line="240" w:lineRule="auto"/>
            </w:pPr>
            <w:r/>
            <w:r>
              <w:rPr>
                <w:rFonts w:ascii="Calibri" w:hAnsi="Calibri"/>
                <w:b w:val="0"/>
                <w:i w:val="0"/>
                <w:color w:val="1A1A1A"/>
                <w:sz w:val="17"/>
              </w:rPr>
              <w:t>Rank within the current set.</w:t>
            </w:r>
          </w:p>
        </w:tc>
      </w:tr>
      <w:tr>
        <w:tc>
          <w:tcPr>
            <w:tcW w:type="dxa" w:w="3168"/>
            <w:shd w:val="clear" w:color="auto" w:fill="F2F4F4"/>
          </w:tcPr>
          <w:p>
            <w:pPr>
              <w:spacing w:after="40" w:before="40" w:line="240" w:lineRule="auto"/>
            </w:pPr>
            <w:r/>
            <w:r>
              <w:rPr>
                <w:rFonts w:ascii="Consolas" w:hAnsi="Consolas"/>
                <w:b w:val="0"/>
                <w:color w:val="1A1A1A"/>
                <w:sz w:val="17"/>
              </w:rPr>
              <w:t>nudge_severity</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12</w:t>
            </w:r>
          </w:p>
        </w:tc>
        <w:tc>
          <w:tcPr>
            <w:tcW w:type="dxa" w:w="2563"/>
            <w:shd w:val="clear" w:color="auto" w:fill="F2F4F4"/>
          </w:tcPr>
          <w:p>
            <w:pPr>
              <w:spacing w:after="40" w:before="40" w:line="240" w:lineRule="auto"/>
            </w:pPr>
            <w:r/>
            <w:r>
              <w:rPr>
                <w:rFonts w:ascii="Calibri" w:hAnsi="Calibri"/>
                <w:b w:val="0"/>
                <w:i w:val="0"/>
                <w:color w:val="1A1A1A"/>
                <w:sz w:val="17"/>
              </w:rPr>
              <w:t>OPPORTUNITY</w:t>
            </w:r>
          </w:p>
        </w:tc>
        <w:tc>
          <w:tcPr>
            <w:tcW w:type="dxa" w:w="5947"/>
            <w:shd w:val="clear" w:color="auto" w:fill="F2F4F4"/>
          </w:tcPr>
          <w:p>
            <w:pPr>
              <w:spacing w:after="40" w:before="40" w:line="240" w:lineRule="auto"/>
            </w:pPr>
            <w:r/>
            <w:r>
              <w:rPr>
                <w:rFonts w:ascii="Calibri" w:hAnsi="Calibri"/>
                <w:b w:val="0"/>
                <w:i w:val="0"/>
                <w:color w:val="1A1A1A"/>
                <w:sz w:val="17"/>
              </w:rPr>
              <w:t>CRITICAL, WARNING, OPPORTUNITY or INFO.</w:t>
            </w:r>
          </w:p>
        </w:tc>
      </w:tr>
      <w:tr>
        <w:tc>
          <w:tcPr>
            <w:tcW w:type="dxa" w:w="3168"/>
          </w:tcPr>
          <w:p>
            <w:pPr>
              <w:spacing w:after="40" w:before="40" w:line="240" w:lineRule="auto"/>
            </w:pPr>
            <w:r/>
            <w:r>
              <w:rPr>
                <w:rFonts w:ascii="Consolas" w:hAnsi="Consolas"/>
                <w:b w:val="0"/>
                <w:color w:val="1A1A1A"/>
                <w:sz w:val="17"/>
              </w:rPr>
              <w:t>nudge_title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120</w:t>
            </w:r>
          </w:p>
        </w:tc>
        <w:tc>
          <w:tcPr>
            <w:tcW w:type="dxa" w:w="2563"/>
          </w:tcPr>
          <w:p>
            <w:pPr>
              <w:spacing w:after="40" w:before="40" w:line="240" w:lineRule="auto"/>
            </w:pPr>
            <w:r/>
            <w:r>
              <w:rPr>
                <w:rFonts w:ascii="Calibri" w:hAnsi="Calibri"/>
                <w:b w:val="0"/>
                <w:i w:val="0"/>
                <w:color w:val="1A1A1A"/>
                <w:sz w:val="17"/>
              </w:rPr>
              <w:t>Rs 12,450 idle every month</w:t>
            </w:r>
          </w:p>
        </w:tc>
        <w:tc>
          <w:tcPr>
            <w:tcW w:type="dxa" w:w="5947"/>
          </w:tcPr>
          <w:p>
            <w:pPr>
              <w:spacing w:after="40" w:before="40" w:line="240" w:lineRule="auto"/>
            </w:pPr>
            <w:r/>
            <w:r>
              <w:rPr>
                <w:rFonts w:ascii="Calibri" w:hAnsi="Calibri"/>
                <w:b w:val="0"/>
                <w:i w:val="0"/>
                <w:color w:val="1A1A1A"/>
                <w:sz w:val="17"/>
              </w:rPr>
              <w:t>Headline shown to the customer.</w:t>
            </w:r>
          </w:p>
        </w:tc>
      </w:tr>
      <w:tr>
        <w:tc>
          <w:tcPr>
            <w:tcW w:type="dxa" w:w="3168"/>
            <w:shd w:val="clear" w:color="auto" w:fill="F2F4F4"/>
          </w:tcPr>
          <w:p>
            <w:pPr>
              <w:spacing w:after="40" w:before="40" w:line="240" w:lineRule="auto"/>
            </w:pPr>
            <w:r/>
            <w:r>
              <w:rPr>
                <w:rFonts w:ascii="Consolas" w:hAnsi="Consolas"/>
                <w:b w:val="0"/>
                <w:color w:val="1A1A1A"/>
                <w:sz w:val="17"/>
              </w:rPr>
              <w:t>quantified_benefit</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1000000.00</w:t>
            </w:r>
          </w:p>
        </w:tc>
        <w:tc>
          <w:tcPr>
            <w:tcW w:type="dxa" w:w="5947"/>
            <w:shd w:val="clear" w:color="auto" w:fill="F2F4F4"/>
          </w:tcPr>
          <w:p>
            <w:pPr>
              <w:spacing w:after="40" w:before="40" w:line="240" w:lineRule="auto"/>
            </w:pPr>
            <w:r/>
            <w:r>
              <w:rPr>
                <w:rFonts w:ascii="Calibri" w:hAnsi="Calibri"/>
                <w:b w:val="0"/>
                <w:i w:val="0"/>
                <w:color w:val="1A1A1A"/>
                <w:sz w:val="17"/>
              </w:rPr>
              <w:t>Engineered. Modelled rupee benefit over the stated horizon.</w:t>
            </w:r>
          </w:p>
        </w:tc>
      </w:tr>
      <w:tr>
        <w:tc>
          <w:tcPr>
            <w:tcW w:type="dxa" w:w="3168"/>
          </w:tcPr>
          <w:p>
            <w:pPr>
              <w:spacing w:after="40" w:before="40" w:line="240" w:lineRule="auto"/>
            </w:pPr>
            <w:r/>
            <w:r>
              <w:rPr>
                <w:rFonts w:ascii="Consolas" w:hAnsi="Consolas"/>
                <w:b w:val="0"/>
                <w:color w:val="1A1A1A"/>
                <w:sz w:val="17"/>
              </w:rPr>
              <w:t>benefit_horizon_years</w:t>
            </w:r>
          </w:p>
        </w:tc>
        <w:tc>
          <w:tcPr>
            <w:tcW w:type="dxa" w:w="1123"/>
          </w:tcPr>
          <w:p>
            <w:pPr>
              <w:spacing w:after="40" w:before="40" w:line="240" w:lineRule="auto"/>
            </w:pPr>
            <w:r/>
            <w:r>
              <w:rPr>
                <w:rFonts w:ascii="Calibri" w:hAnsi="Calibri"/>
                <w:b w:val="0"/>
                <w:i w:val="0"/>
                <w:color w:val="1A1A1A"/>
                <w:sz w:val="17"/>
              </w:rPr>
              <w:t>Integer</w:t>
            </w:r>
          </w:p>
        </w:tc>
        <w:tc>
          <w:tcPr>
            <w:tcW w:type="dxa" w:w="1238"/>
          </w:tcPr>
          <w:p>
            <w:pPr>
              <w:spacing w:after="40" w:before="40" w:line="240" w:lineRule="auto"/>
            </w:pPr>
            <w:r/>
            <w:r>
              <w:rPr>
                <w:rFonts w:ascii="Calibri" w:hAnsi="Calibri"/>
                <w:b w:val="0"/>
                <w:i w:val="0"/>
                <w:color w:val="1A1A1A"/>
                <w:sz w:val="17"/>
              </w:rPr>
              <w:t>2</w:t>
            </w:r>
          </w:p>
        </w:tc>
        <w:tc>
          <w:tcPr>
            <w:tcW w:type="dxa" w:w="2563"/>
          </w:tcPr>
          <w:p>
            <w:pPr>
              <w:spacing w:after="40" w:before="40" w:line="240" w:lineRule="auto"/>
            </w:pPr>
            <w:r/>
            <w:r>
              <w:rPr>
                <w:rFonts w:ascii="Calibri" w:hAnsi="Calibri"/>
                <w:b w:val="0"/>
                <w:i w:val="0"/>
                <w:color w:val="1A1A1A"/>
                <w:sz w:val="17"/>
              </w:rPr>
              <w:t>10</w:t>
            </w:r>
          </w:p>
        </w:tc>
        <w:tc>
          <w:tcPr>
            <w:tcW w:type="dxa" w:w="5947"/>
          </w:tcPr>
          <w:p>
            <w:pPr>
              <w:spacing w:after="40" w:before="40" w:line="240" w:lineRule="auto"/>
            </w:pPr>
            <w:r/>
            <w:r>
              <w:rPr>
                <w:rFonts w:ascii="Calibri" w:hAnsi="Calibri"/>
                <w:b w:val="0"/>
                <w:i w:val="0"/>
                <w:color w:val="1A1A1A"/>
                <w:sz w:val="17"/>
              </w:rPr>
              <w:t>Horizon over which the benefit is modelled.</w:t>
            </w:r>
          </w:p>
        </w:tc>
      </w:tr>
      <w:tr>
        <w:tc>
          <w:tcPr>
            <w:tcW w:type="dxa" w:w="3168"/>
            <w:shd w:val="clear" w:color="auto" w:fill="F2F4F4"/>
          </w:tcPr>
          <w:p>
            <w:pPr>
              <w:spacing w:after="40" w:before="40" w:line="240" w:lineRule="auto"/>
            </w:pPr>
            <w:r/>
            <w:r>
              <w:rPr>
                <w:rFonts w:ascii="Consolas" w:hAnsi="Consolas"/>
                <w:b w:val="0"/>
                <w:color w:val="1A1A1A"/>
                <w:sz w:val="17"/>
              </w:rPr>
              <w:t>monthly_surplus</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12450.00</w:t>
            </w:r>
          </w:p>
        </w:tc>
        <w:tc>
          <w:tcPr>
            <w:tcW w:type="dxa" w:w="5947"/>
            <w:shd w:val="clear" w:color="auto" w:fill="F2F4F4"/>
          </w:tcPr>
          <w:p>
            <w:pPr>
              <w:spacing w:after="40" w:before="40" w:line="240" w:lineRule="auto"/>
            </w:pPr>
            <w:r/>
            <w:r>
              <w:rPr>
                <w:rFonts w:ascii="Calibri" w:hAnsi="Calibri"/>
                <w:b w:val="0"/>
                <w:i w:val="0"/>
                <w:color w:val="1A1A1A"/>
                <w:sz w:val="17"/>
              </w:rPr>
              <w:t>Engineered. Investable surplus after spend, existing investments and committed outflows.</w:t>
            </w:r>
          </w:p>
        </w:tc>
      </w:tr>
      <w:tr>
        <w:tc>
          <w:tcPr>
            <w:tcW w:type="dxa" w:w="3168"/>
          </w:tcPr>
          <w:p>
            <w:pPr>
              <w:spacing w:after="40" w:before="40" w:line="240" w:lineRule="auto"/>
            </w:pPr>
            <w:r/>
            <w:r>
              <w:rPr>
                <w:rFonts w:ascii="Consolas" w:hAnsi="Consolas"/>
                <w:b w:val="0"/>
                <w:color w:val="1A1A1A"/>
                <w:sz w:val="17"/>
              </w:rPr>
              <w:t>allocation_drift_pct</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7,2</w:t>
            </w:r>
          </w:p>
        </w:tc>
        <w:tc>
          <w:tcPr>
            <w:tcW w:type="dxa" w:w="2563"/>
          </w:tcPr>
          <w:p>
            <w:pPr>
              <w:spacing w:after="40" w:before="40" w:line="240" w:lineRule="auto"/>
            </w:pPr>
            <w:r/>
            <w:r>
              <w:rPr>
                <w:rFonts w:ascii="Calibri" w:hAnsi="Calibri"/>
                <w:b w:val="0"/>
                <w:i w:val="0"/>
                <w:color w:val="1A1A1A"/>
                <w:sz w:val="17"/>
              </w:rPr>
              <w:t>-37.70</w:t>
            </w:r>
          </w:p>
        </w:tc>
        <w:tc>
          <w:tcPr>
            <w:tcW w:type="dxa" w:w="5947"/>
          </w:tcPr>
          <w:p>
            <w:pPr>
              <w:spacing w:after="40" w:before="40" w:line="240" w:lineRule="auto"/>
            </w:pPr>
            <w:r/>
            <w:r>
              <w:rPr>
                <w:rFonts w:ascii="Calibri" w:hAnsi="Calibri"/>
                <w:b w:val="0"/>
                <w:i w:val="0"/>
                <w:color w:val="1A1A1A"/>
                <w:sz w:val="17"/>
              </w:rPr>
              <w:t>Engineered. Largest deviation from the target allocation for the customer's risk band.</w:t>
            </w:r>
          </w:p>
        </w:tc>
      </w:tr>
      <w:tr>
        <w:tc>
          <w:tcPr>
            <w:tcW w:type="dxa" w:w="3168"/>
            <w:shd w:val="clear" w:color="auto" w:fill="F2F4F4"/>
          </w:tcPr>
          <w:p>
            <w:pPr>
              <w:spacing w:after="40" w:before="40" w:line="240" w:lineRule="auto"/>
            </w:pPr>
            <w:r/>
            <w:r>
              <w:rPr>
                <w:rFonts w:ascii="Consolas" w:hAnsi="Consolas"/>
                <w:b w:val="0"/>
                <w:color w:val="1A1A1A"/>
                <w:sz w:val="17"/>
              </w:rPr>
              <w:t>protection_gap_life</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12100000.00</w:t>
            </w:r>
          </w:p>
        </w:tc>
        <w:tc>
          <w:tcPr>
            <w:tcW w:type="dxa" w:w="5947"/>
            <w:shd w:val="clear" w:color="auto" w:fill="F2F4F4"/>
          </w:tcPr>
          <w:p>
            <w:pPr>
              <w:spacing w:after="40" w:before="40" w:line="240" w:lineRule="auto"/>
            </w:pPr>
            <w:r/>
            <w:r>
              <w:rPr>
                <w:rFonts w:ascii="Calibri" w:hAnsi="Calibri"/>
                <w:b w:val="0"/>
                <w:i w:val="0"/>
                <w:color w:val="1A1A1A"/>
                <w:sz w:val="17"/>
              </w:rPr>
              <w:t>Engineered. Shortfall against the recommended term-cover multiple.</w:t>
            </w:r>
          </w:p>
        </w:tc>
      </w:tr>
      <w:tr>
        <w:tc>
          <w:tcPr>
            <w:tcW w:type="dxa" w:w="3168"/>
          </w:tcPr>
          <w:p>
            <w:pPr>
              <w:spacing w:after="40" w:before="40" w:line="240" w:lineRule="auto"/>
            </w:pPr>
            <w:r/>
            <w:r>
              <w:rPr>
                <w:rFonts w:ascii="Consolas" w:hAnsi="Consolas"/>
                <w:b w:val="0"/>
                <w:color w:val="1A1A1A"/>
                <w:sz w:val="17"/>
              </w:rPr>
              <w:t>protection_gap_health</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1000000.00</w:t>
            </w:r>
          </w:p>
        </w:tc>
        <w:tc>
          <w:tcPr>
            <w:tcW w:type="dxa" w:w="5947"/>
          </w:tcPr>
          <w:p>
            <w:pPr>
              <w:spacing w:after="40" w:before="40" w:line="240" w:lineRule="auto"/>
            </w:pPr>
            <w:r/>
            <w:r>
              <w:rPr>
                <w:rFonts w:ascii="Calibri" w:hAnsi="Calibri"/>
                <w:b w:val="0"/>
                <w:i w:val="0"/>
                <w:color w:val="1A1A1A"/>
                <w:sz w:val="17"/>
              </w:rPr>
              <w:t>Engineered. Shortfall against the recommended health cover for the customer's city tier.</w:t>
            </w:r>
          </w:p>
        </w:tc>
      </w:tr>
      <w:tr>
        <w:tc>
          <w:tcPr>
            <w:tcW w:type="dxa" w:w="3168"/>
            <w:shd w:val="clear" w:color="auto" w:fill="F2F4F4"/>
          </w:tcPr>
          <w:p>
            <w:pPr>
              <w:spacing w:after="40" w:before="40" w:line="240" w:lineRule="auto"/>
            </w:pPr>
            <w:r/>
            <w:r>
              <w:rPr>
                <w:rFonts w:ascii="Consolas" w:hAnsi="Consolas"/>
                <w:b w:val="0"/>
                <w:color w:val="1A1A1A"/>
                <w:sz w:val="17"/>
              </w:rPr>
              <w:t>fee_drag_annual</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1420.00</w:t>
            </w:r>
          </w:p>
        </w:tc>
        <w:tc>
          <w:tcPr>
            <w:tcW w:type="dxa" w:w="5947"/>
            <w:shd w:val="clear" w:color="auto" w:fill="F2F4F4"/>
          </w:tcPr>
          <w:p>
            <w:pPr>
              <w:spacing w:after="40" w:before="40" w:line="240" w:lineRule="auto"/>
            </w:pPr>
            <w:r/>
            <w:r>
              <w:rPr>
                <w:rFonts w:ascii="Calibri" w:hAnsi="Calibri"/>
                <w:b w:val="0"/>
                <w:i w:val="0"/>
                <w:color w:val="1A1A1A"/>
                <w:sz w:val="17"/>
              </w:rPr>
              <w:t>Engineered. Annual cost of regular-plan holdings versus their direct equivalents.</w:t>
            </w:r>
          </w:p>
        </w:tc>
      </w:tr>
      <w:tr>
        <w:tc>
          <w:tcPr>
            <w:tcW w:type="dxa" w:w="3168"/>
          </w:tcPr>
          <w:p>
            <w:pPr>
              <w:spacing w:after="40" w:before="40" w:line="240" w:lineRule="auto"/>
            </w:pPr>
            <w:r/>
            <w:r>
              <w:rPr>
                <w:rFonts w:ascii="Consolas" w:hAnsi="Consolas"/>
                <w:b w:val="0"/>
                <w:color w:val="1A1A1A"/>
                <w:sz w:val="17"/>
              </w:rPr>
              <w:t>projected_corpus_base</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41820000.00</w:t>
            </w:r>
          </w:p>
        </w:tc>
        <w:tc>
          <w:tcPr>
            <w:tcW w:type="dxa" w:w="5947"/>
          </w:tcPr>
          <w:p>
            <w:pPr>
              <w:spacing w:after="40" w:before="40" w:line="240" w:lineRule="auto"/>
            </w:pPr>
            <w:r/>
            <w:r>
              <w:rPr>
                <w:rFonts w:ascii="Calibri" w:hAnsi="Calibri"/>
                <w:b w:val="0"/>
                <w:i w:val="0"/>
                <w:color w:val="1A1A1A"/>
                <w:sz w:val="17"/>
              </w:rPr>
              <w:t>Engineered. Projected corpus at target age, base scenario.</w:t>
            </w:r>
          </w:p>
        </w:tc>
      </w:tr>
      <w:tr>
        <w:tc>
          <w:tcPr>
            <w:tcW w:type="dxa" w:w="3168"/>
            <w:shd w:val="clear" w:color="auto" w:fill="F2F4F4"/>
          </w:tcPr>
          <w:p>
            <w:pPr>
              <w:spacing w:after="40" w:before="40" w:line="240" w:lineRule="auto"/>
            </w:pPr>
            <w:r/>
            <w:r>
              <w:rPr>
                <w:rFonts w:ascii="Consolas" w:hAnsi="Consolas"/>
                <w:b w:val="0"/>
                <w:color w:val="1A1A1A"/>
                <w:sz w:val="17"/>
              </w:rPr>
              <w:t>projected_corpus_low</w:t>
            </w:r>
          </w:p>
        </w:tc>
        <w:tc>
          <w:tcPr>
            <w:tcW w:type="dxa" w:w="1123"/>
            <w:shd w:val="clear" w:color="auto" w:fill="F2F4F4"/>
          </w:tcPr>
          <w:p>
            <w:pPr>
              <w:spacing w:after="40" w:before="40" w:line="240" w:lineRule="auto"/>
            </w:pPr>
            <w:r/>
            <w:r>
              <w:rPr>
                <w:rFonts w:ascii="Calibri" w:hAnsi="Calibri"/>
                <w:b w:val="0"/>
                <w:i w:val="0"/>
                <w:color w:val="1A1A1A"/>
                <w:sz w:val="17"/>
              </w:rPr>
              <w:t>Decimal</w:t>
            </w:r>
          </w:p>
        </w:tc>
        <w:tc>
          <w:tcPr>
            <w:tcW w:type="dxa" w:w="1238"/>
            <w:shd w:val="clear" w:color="auto" w:fill="F2F4F4"/>
          </w:tcPr>
          <w:p>
            <w:pPr>
              <w:spacing w:after="40" w:before="40" w:line="240" w:lineRule="auto"/>
            </w:pPr>
            <w:r/>
            <w:r>
              <w:rPr>
                <w:rFonts w:ascii="Calibri" w:hAnsi="Calibri"/>
                <w:b w:val="0"/>
                <w:i w:val="0"/>
                <w:color w:val="1A1A1A"/>
                <w:sz w:val="17"/>
              </w:rPr>
              <w:t>18,2</w:t>
            </w:r>
          </w:p>
        </w:tc>
        <w:tc>
          <w:tcPr>
            <w:tcW w:type="dxa" w:w="2563"/>
            <w:shd w:val="clear" w:color="auto" w:fill="F2F4F4"/>
          </w:tcPr>
          <w:p>
            <w:pPr>
              <w:spacing w:after="40" w:before="40" w:line="240" w:lineRule="auto"/>
            </w:pPr>
            <w:r/>
            <w:r>
              <w:rPr>
                <w:rFonts w:ascii="Calibri" w:hAnsi="Calibri"/>
                <w:b w:val="0"/>
                <w:i w:val="0"/>
                <w:color w:val="1A1A1A"/>
                <w:sz w:val="17"/>
              </w:rPr>
              <w:t>28940000.00</w:t>
            </w:r>
          </w:p>
        </w:tc>
        <w:tc>
          <w:tcPr>
            <w:tcW w:type="dxa" w:w="5947"/>
            <w:shd w:val="clear" w:color="auto" w:fill="F2F4F4"/>
          </w:tcPr>
          <w:p>
            <w:pPr>
              <w:spacing w:after="40" w:before="40" w:line="240" w:lineRule="auto"/>
            </w:pPr>
            <w:r/>
            <w:r>
              <w:rPr>
                <w:rFonts w:ascii="Calibri" w:hAnsi="Calibri"/>
                <w:b w:val="0"/>
                <w:i w:val="0"/>
                <w:color w:val="1A1A1A"/>
                <w:sz w:val="17"/>
              </w:rPr>
              <w:t>Engineered. Pessimistic scenario. Mandatory — a projection must never be presented as a single figure.</w:t>
            </w:r>
          </w:p>
        </w:tc>
      </w:tr>
      <w:tr>
        <w:tc>
          <w:tcPr>
            <w:tcW w:type="dxa" w:w="3168"/>
          </w:tcPr>
          <w:p>
            <w:pPr>
              <w:spacing w:after="40" w:before="40" w:line="240" w:lineRule="auto"/>
            </w:pPr>
            <w:r/>
            <w:r>
              <w:rPr>
                <w:rFonts w:ascii="Consolas" w:hAnsi="Consolas"/>
                <w:b w:val="0"/>
                <w:color w:val="1A1A1A"/>
                <w:sz w:val="17"/>
              </w:rPr>
              <w:t>projected_corpus_high</w:t>
            </w:r>
          </w:p>
        </w:tc>
        <w:tc>
          <w:tcPr>
            <w:tcW w:type="dxa" w:w="1123"/>
          </w:tcPr>
          <w:p>
            <w:pPr>
              <w:spacing w:after="40" w:before="40" w:line="240" w:lineRule="auto"/>
            </w:pPr>
            <w:r/>
            <w:r>
              <w:rPr>
                <w:rFonts w:ascii="Calibri" w:hAnsi="Calibri"/>
                <w:b w:val="0"/>
                <w:i w:val="0"/>
                <w:color w:val="1A1A1A"/>
                <w:sz w:val="17"/>
              </w:rPr>
              <w:t>Decimal</w:t>
            </w:r>
          </w:p>
        </w:tc>
        <w:tc>
          <w:tcPr>
            <w:tcW w:type="dxa" w:w="1238"/>
          </w:tcPr>
          <w:p>
            <w:pPr>
              <w:spacing w:after="40" w:before="40" w:line="240" w:lineRule="auto"/>
            </w:pPr>
            <w:r/>
            <w:r>
              <w:rPr>
                <w:rFonts w:ascii="Calibri" w:hAnsi="Calibri"/>
                <w:b w:val="0"/>
                <w:i w:val="0"/>
                <w:color w:val="1A1A1A"/>
                <w:sz w:val="17"/>
              </w:rPr>
              <w:t>18,2</w:t>
            </w:r>
          </w:p>
        </w:tc>
        <w:tc>
          <w:tcPr>
            <w:tcW w:type="dxa" w:w="2563"/>
          </w:tcPr>
          <w:p>
            <w:pPr>
              <w:spacing w:after="40" w:before="40" w:line="240" w:lineRule="auto"/>
            </w:pPr>
            <w:r/>
            <w:r>
              <w:rPr>
                <w:rFonts w:ascii="Calibri" w:hAnsi="Calibri"/>
                <w:b w:val="0"/>
                <w:i w:val="0"/>
                <w:color w:val="1A1A1A"/>
                <w:sz w:val="17"/>
              </w:rPr>
              <w:t>61280000.00</w:t>
            </w:r>
          </w:p>
        </w:tc>
        <w:tc>
          <w:tcPr>
            <w:tcW w:type="dxa" w:w="5947"/>
          </w:tcPr>
          <w:p>
            <w:pPr>
              <w:spacing w:after="40" w:before="40" w:line="240" w:lineRule="auto"/>
            </w:pPr>
            <w:r/>
            <w:r>
              <w:rPr>
                <w:rFonts w:ascii="Calibri" w:hAnsi="Calibri"/>
                <w:b w:val="0"/>
                <w:i w:val="0"/>
                <w:color w:val="1A1A1A"/>
                <w:sz w:val="17"/>
              </w:rPr>
              <w:t>Engineered. Optimistic scenario.</w:t>
            </w:r>
          </w:p>
        </w:tc>
      </w:tr>
      <w:tr>
        <w:tc>
          <w:tcPr>
            <w:tcW w:type="dxa" w:w="3168"/>
            <w:shd w:val="clear" w:color="auto" w:fill="F2F4F4"/>
          </w:tcPr>
          <w:p>
            <w:pPr>
              <w:spacing w:after="40" w:before="40" w:line="240" w:lineRule="auto"/>
            </w:pPr>
            <w:r/>
            <w:r>
              <w:rPr>
                <w:rFonts w:ascii="Consolas" w:hAnsi="Consolas"/>
                <w:b w:val="0"/>
                <w:color w:val="1A1A1A"/>
                <w:sz w:val="17"/>
              </w:rPr>
              <w:t>financial_freedom_age</w:t>
            </w:r>
          </w:p>
        </w:tc>
        <w:tc>
          <w:tcPr>
            <w:tcW w:type="dxa" w:w="1123"/>
            <w:shd w:val="clear" w:color="auto" w:fill="F2F4F4"/>
          </w:tcPr>
          <w:p>
            <w:pPr>
              <w:spacing w:after="40" w:before="40" w:line="240" w:lineRule="auto"/>
            </w:pPr>
            <w:r/>
            <w:r>
              <w:rPr>
                <w:rFonts w:ascii="Calibri" w:hAnsi="Calibri"/>
                <w:b w:val="0"/>
                <w:i w:val="0"/>
                <w:color w:val="1A1A1A"/>
                <w:sz w:val="17"/>
              </w:rPr>
              <w:t>Integer</w:t>
            </w:r>
          </w:p>
        </w:tc>
        <w:tc>
          <w:tcPr>
            <w:tcW w:type="dxa" w:w="1238"/>
            <w:shd w:val="clear" w:color="auto" w:fill="F2F4F4"/>
          </w:tcPr>
          <w:p>
            <w:pPr>
              <w:spacing w:after="40" w:before="40" w:line="240" w:lineRule="auto"/>
            </w:pPr>
            <w:r/>
            <w:r>
              <w:rPr>
                <w:rFonts w:ascii="Calibri" w:hAnsi="Calibri"/>
                <w:b w:val="0"/>
                <w:i w:val="0"/>
                <w:color w:val="1A1A1A"/>
                <w:sz w:val="17"/>
              </w:rPr>
              <w:t>3</w:t>
            </w:r>
          </w:p>
        </w:tc>
        <w:tc>
          <w:tcPr>
            <w:tcW w:type="dxa" w:w="2563"/>
            <w:shd w:val="clear" w:color="auto" w:fill="F2F4F4"/>
          </w:tcPr>
          <w:p>
            <w:pPr>
              <w:spacing w:after="40" w:before="40" w:line="240" w:lineRule="auto"/>
            </w:pPr>
            <w:r/>
            <w:r>
              <w:rPr>
                <w:rFonts w:ascii="Calibri" w:hAnsi="Calibri"/>
                <w:b w:val="0"/>
                <w:i w:val="0"/>
                <w:color w:val="1A1A1A"/>
                <w:sz w:val="17"/>
              </w:rPr>
              <w:t>51</w:t>
            </w:r>
          </w:p>
        </w:tc>
        <w:tc>
          <w:tcPr>
            <w:tcW w:type="dxa" w:w="5947"/>
            <w:shd w:val="clear" w:color="auto" w:fill="F2F4F4"/>
          </w:tcPr>
          <w:p>
            <w:pPr>
              <w:spacing w:after="40" w:before="40" w:line="240" w:lineRule="auto"/>
            </w:pPr>
            <w:r/>
            <w:r>
              <w:rPr>
                <w:rFonts w:ascii="Calibri" w:hAnsi="Calibri"/>
                <w:b w:val="0"/>
                <w:i w:val="0"/>
                <w:color w:val="1A1A1A"/>
                <w:sz w:val="17"/>
              </w:rPr>
              <w:t>Engineered. Age at which projected corpus reaches 25× inflated annual expenses. Null where not reached by the target age.</w:t>
            </w:r>
          </w:p>
        </w:tc>
      </w:tr>
      <w:tr>
        <w:tc>
          <w:tcPr>
            <w:tcW w:type="dxa" w:w="3168"/>
          </w:tcPr>
          <w:p>
            <w:pPr>
              <w:spacing w:after="40" w:before="40" w:line="240" w:lineRule="auto"/>
            </w:pPr>
            <w:r/>
            <w:r>
              <w:rPr>
                <w:rFonts w:ascii="Consolas" w:hAnsi="Consolas"/>
                <w:b w:val="0"/>
                <w:color w:val="1A1A1A"/>
                <w:sz w:val="17"/>
              </w:rPr>
              <w:t>disclaimer_text</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500</w:t>
            </w:r>
          </w:p>
        </w:tc>
        <w:tc>
          <w:tcPr>
            <w:tcW w:type="dxa" w:w="2563"/>
          </w:tcPr>
          <w:p>
            <w:pPr>
              <w:spacing w:after="40" w:before="40" w:line="240" w:lineRule="auto"/>
            </w:pPr>
            <w:r/>
            <w:r>
              <w:rPr>
                <w:rFonts w:ascii="Calibri" w:hAnsi="Calibri"/>
                <w:b w:val="0"/>
                <w:i w:val="0"/>
                <w:color w:val="1A1A1A"/>
                <w:sz w:val="17"/>
              </w:rPr>
              <w:t>Projections are illustrative...</w:t>
            </w:r>
          </w:p>
        </w:tc>
        <w:tc>
          <w:tcPr>
            <w:tcW w:type="dxa" w:w="5947"/>
          </w:tcPr>
          <w:p>
            <w:pPr>
              <w:spacing w:after="40" w:before="40" w:line="240" w:lineRule="auto"/>
            </w:pPr>
            <w:r/>
            <w:r>
              <w:rPr>
                <w:rFonts w:ascii="Calibri" w:hAnsi="Calibri"/>
                <w:b w:val="0"/>
                <w:i w:val="0"/>
                <w:color w:val="1A1A1A"/>
                <w:sz w:val="17"/>
              </w:rPr>
              <w:t>Mandatory risk disclosure accompanying any projection.</w:t>
            </w:r>
          </w:p>
        </w:tc>
      </w:tr>
    </w:tbl>
    <w:p>
      <w:pPr>
        <w:spacing w:after="40"/>
      </w:pPr>
    </w:p>
    <w:p>
      <w:pPr>
        <w:spacing w:before="180" w:after="60"/>
      </w:pPr>
      <w:r>
        <w:rPr>
          <w:b/>
          <w:color w:val="1A1A1A"/>
          <w:sz w:val="21"/>
        </w:rPr>
        <w:t>12.3  Provenance and audit fields</w:t>
      </w:r>
    </w:p>
    <w:tbl>
      <w:tblPr>
        <w:tblW w:type="auto" w:w="0"/>
        <w:jc w:val="left"/>
        <w:tblLook w:firstColumn="1" w:firstRow="1" w:lastColumn="0" w:lastRow="0" w:noHBand="0" w:noVBand="1" w:val="04A0"/>
      </w:tblPr>
      <w:tblGrid>
        <w:gridCol w:w="14040"/>
      </w:tblGrid>
      <w:tr>
        <w:tc>
          <w:tcPr>
            <w:tcW w:type="dxa" w:w="14040"/>
            <w:shd w:val="clear" w:color="auto" w:fill="FFF6E8"/>
          </w:tcPr>
          <w:p>
            <w:pPr>
              <w:spacing w:after="40" w:before="40" w:line="240" w:lineRule="auto"/>
            </w:pPr>
            <w:r/>
            <w:r>
              <w:rPr>
                <w:rFonts w:ascii="Calibri" w:hAnsi="Calibri"/>
                <w:b w:val="0"/>
                <w:i w:val="0"/>
                <w:color w:val="1A1A1A"/>
                <w:sz w:val="18"/>
              </w:rPr>
              <w:t>These fields are what allow the bank to reconstruct, months later, exactly why a customer was told something — which inputs, which engine build, and which policy assumptions were in force. Advisory records are retained for 8 years under SEBI record-keeping norms.</w:t>
            </w:r>
          </w:p>
        </w:tc>
      </w:tr>
    </w:tbl>
    <w:p>
      <w:pPr>
        <w:spacing w:after="80"/>
      </w:pP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engine_version</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30</w:t>
            </w:r>
          </w:p>
        </w:tc>
        <w:tc>
          <w:tcPr>
            <w:tcW w:type="dxa" w:w="2563"/>
          </w:tcPr>
          <w:p>
            <w:pPr>
              <w:spacing w:after="40" w:before="40" w:line="240" w:lineRule="auto"/>
            </w:pPr>
            <w:r/>
            <w:r>
              <w:rPr>
                <w:rFonts w:ascii="Calibri" w:hAnsi="Calibri"/>
                <w:b w:val="0"/>
                <w:i w:val="0"/>
                <w:color w:val="1A1A1A"/>
                <w:sz w:val="17"/>
              </w:rPr>
              <w:t>analytics@2.1.0</w:t>
            </w:r>
          </w:p>
        </w:tc>
        <w:tc>
          <w:tcPr>
            <w:tcW w:type="dxa" w:w="5947"/>
          </w:tcPr>
          <w:p>
            <w:pPr>
              <w:spacing w:after="40" w:before="40" w:line="240" w:lineRule="auto"/>
            </w:pPr>
            <w:r/>
            <w:r>
              <w:rPr>
                <w:rFonts w:ascii="Calibri" w:hAnsi="Calibri"/>
                <w:b w:val="0"/>
                <w:i w:val="0"/>
                <w:color w:val="1A1A1A"/>
                <w:sz w:val="17"/>
              </w:rPr>
              <w:t>Version of the calculation engine that produced the output.</w:t>
            </w:r>
          </w:p>
        </w:tc>
      </w:tr>
      <w:tr>
        <w:tc>
          <w:tcPr>
            <w:tcW w:type="dxa" w:w="3168"/>
            <w:shd w:val="clear" w:color="auto" w:fill="F2F4F4"/>
          </w:tcPr>
          <w:p>
            <w:pPr>
              <w:spacing w:after="40" w:before="40" w:line="240" w:lineRule="auto"/>
            </w:pPr>
            <w:r/>
            <w:r>
              <w:rPr>
                <w:rFonts w:ascii="Consolas" w:hAnsi="Consolas"/>
                <w:b w:val="0"/>
                <w:color w:val="1A1A1A"/>
                <w:sz w:val="17"/>
              </w:rPr>
              <w:t>policy_version</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30</w:t>
            </w:r>
          </w:p>
        </w:tc>
        <w:tc>
          <w:tcPr>
            <w:tcW w:type="dxa" w:w="2563"/>
            <w:shd w:val="clear" w:color="auto" w:fill="F2F4F4"/>
          </w:tcPr>
          <w:p>
            <w:pPr>
              <w:spacing w:after="40" w:before="40" w:line="240" w:lineRule="auto"/>
            </w:pPr>
            <w:r/>
            <w:r>
              <w:rPr>
                <w:rFonts w:ascii="Calibri" w:hAnsi="Calibri"/>
                <w:b w:val="0"/>
                <w:i w:val="0"/>
                <w:color w:val="1A1A1A"/>
                <w:sz w:val="17"/>
              </w:rPr>
              <w:t>policy@2026.08</w:t>
            </w:r>
          </w:p>
        </w:tc>
        <w:tc>
          <w:tcPr>
            <w:tcW w:type="dxa" w:w="5947"/>
            <w:shd w:val="clear" w:color="auto" w:fill="F2F4F4"/>
          </w:tcPr>
          <w:p>
            <w:pPr>
              <w:spacing w:after="40" w:before="40" w:line="240" w:lineRule="auto"/>
            </w:pPr>
            <w:r/>
            <w:r>
              <w:rPr>
                <w:rFonts w:ascii="Calibri" w:hAnsi="Calibri"/>
                <w:b w:val="0"/>
                <w:i w:val="0"/>
                <w:color w:val="1A1A1A"/>
                <w:sz w:val="17"/>
              </w:rPr>
              <w:t>Version of the assumption set in force — expected returns, deduction limits, cover multiples.</w:t>
            </w:r>
          </w:p>
        </w:tc>
      </w:tr>
      <w:tr>
        <w:tc>
          <w:tcPr>
            <w:tcW w:type="dxa" w:w="3168"/>
          </w:tcPr>
          <w:p>
            <w:pPr>
              <w:spacing w:after="40" w:before="40" w:line="240" w:lineRule="auto"/>
            </w:pPr>
            <w:r/>
            <w:r>
              <w:rPr>
                <w:rFonts w:ascii="Consolas" w:hAnsi="Consolas"/>
                <w:b w:val="0"/>
                <w:color w:val="1A1A1A"/>
                <w:sz w:val="17"/>
              </w:rPr>
              <w:t>computed_datetime</w:t>
            </w:r>
          </w:p>
        </w:tc>
        <w:tc>
          <w:tcPr>
            <w:tcW w:type="dxa" w:w="1123"/>
          </w:tcPr>
          <w:p>
            <w:pPr>
              <w:spacing w:after="40" w:before="40" w:line="240" w:lineRule="auto"/>
            </w:pPr>
            <w:r/>
            <w:r>
              <w:rPr>
                <w:rFonts w:ascii="Calibri" w:hAnsi="Calibri"/>
                <w:b w:val="0"/>
                <w:i w:val="0"/>
                <w:color w:val="1A1A1A"/>
                <w:sz w:val="17"/>
              </w:rPr>
              <w:t>Datetime</w:t>
            </w:r>
          </w:p>
        </w:tc>
        <w:tc>
          <w:tcPr>
            <w:tcW w:type="dxa" w:w="1238"/>
          </w:tcPr>
          <w:p>
            <w:pPr>
              <w:spacing w:after="40" w:before="40" w:line="240" w:lineRule="auto"/>
            </w:pPr>
            <w:r/>
            <w:r>
              <w:rPr>
                <w:rFonts w:ascii="Calibri" w:hAnsi="Calibri"/>
                <w:b w:val="0"/>
                <w:i w:val="0"/>
                <w:color w:val="1A1A1A"/>
                <w:sz w:val="17"/>
              </w:rPr>
              <w:t>20</w:t>
            </w:r>
          </w:p>
        </w:tc>
        <w:tc>
          <w:tcPr>
            <w:tcW w:type="dxa" w:w="2563"/>
          </w:tcPr>
          <w:p>
            <w:pPr>
              <w:spacing w:after="40" w:before="40" w:line="240" w:lineRule="auto"/>
            </w:pPr>
            <w:r/>
            <w:r>
              <w:rPr>
                <w:rFonts w:ascii="Calibri" w:hAnsi="Calibri"/>
                <w:b w:val="0"/>
                <w:i w:val="0"/>
                <w:color w:val="1A1A1A"/>
                <w:sz w:val="17"/>
              </w:rPr>
              <w:t>2026-08-24T09:15:00Z</w:t>
            </w:r>
          </w:p>
        </w:tc>
        <w:tc>
          <w:tcPr>
            <w:tcW w:type="dxa" w:w="5947"/>
          </w:tcPr>
          <w:p>
            <w:pPr>
              <w:spacing w:after="40" w:before="40" w:line="240" w:lineRule="auto"/>
            </w:pPr>
            <w:r/>
            <w:r>
              <w:rPr>
                <w:rFonts w:ascii="Calibri" w:hAnsi="Calibri"/>
                <w:b w:val="0"/>
                <w:i w:val="0"/>
                <w:color w:val="1A1A1A"/>
                <w:sz w:val="17"/>
              </w:rPr>
              <w:t>Computation timestamp.</w:t>
            </w:r>
          </w:p>
        </w:tc>
      </w:tr>
      <w:tr>
        <w:tc>
          <w:tcPr>
            <w:tcW w:type="dxa" w:w="3168"/>
            <w:shd w:val="clear" w:color="auto" w:fill="F2F4F4"/>
          </w:tcPr>
          <w:p>
            <w:pPr>
              <w:spacing w:after="40" w:before="40" w:line="240" w:lineRule="auto"/>
            </w:pPr>
            <w:r/>
            <w:r>
              <w:rPr>
                <w:rFonts w:ascii="Consolas" w:hAnsi="Consolas"/>
                <w:b w:val="0"/>
                <w:color w:val="1A1A1A"/>
                <w:sz w:val="17"/>
              </w:rPr>
              <w:t>data_as_of_datetime</w:t>
            </w:r>
          </w:p>
        </w:tc>
        <w:tc>
          <w:tcPr>
            <w:tcW w:type="dxa" w:w="1123"/>
            <w:shd w:val="clear" w:color="auto" w:fill="F2F4F4"/>
          </w:tcPr>
          <w:p>
            <w:pPr>
              <w:spacing w:after="40" w:before="40" w:line="240" w:lineRule="auto"/>
            </w:pPr>
            <w:r/>
            <w:r>
              <w:rPr>
                <w:rFonts w:ascii="Calibri" w:hAnsi="Calibri"/>
                <w:b w:val="0"/>
                <w:i w:val="0"/>
                <w:color w:val="1A1A1A"/>
                <w:sz w:val="17"/>
              </w:rPr>
              <w:t>Datetime</w:t>
            </w:r>
          </w:p>
        </w:tc>
        <w:tc>
          <w:tcPr>
            <w:tcW w:type="dxa" w:w="1238"/>
            <w:shd w:val="clear" w:color="auto" w:fill="F2F4F4"/>
          </w:tcPr>
          <w:p>
            <w:pPr>
              <w:spacing w:after="40" w:before="40" w:line="240" w:lineRule="auto"/>
            </w:pPr>
            <w:r/>
            <w:r>
              <w:rPr>
                <w:rFonts w:ascii="Calibri" w:hAnsi="Calibri"/>
                <w:b w:val="0"/>
                <w:i w:val="0"/>
                <w:color w:val="1A1A1A"/>
                <w:sz w:val="17"/>
              </w:rPr>
              <w:t>20</w:t>
            </w:r>
          </w:p>
        </w:tc>
        <w:tc>
          <w:tcPr>
            <w:tcW w:type="dxa" w:w="2563"/>
            <w:shd w:val="clear" w:color="auto" w:fill="F2F4F4"/>
          </w:tcPr>
          <w:p>
            <w:pPr>
              <w:spacing w:after="40" w:before="40" w:line="240" w:lineRule="auto"/>
            </w:pPr>
            <w:r/>
            <w:r>
              <w:rPr>
                <w:rFonts w:ascii="Calibri" w:hAnsi="Calibri"/>
                <w:b w:val="0"/>
                <w:i w:val="0"/>
                <w:color w:val="1A1A1A"/>
                <w:sz w:val="17"/>
              </w:rPr>
              <w:t>2026-08-23T18:00:00Z</w:t>
            </w:r>
          </w:p>
        </w:tc>
        <w:tc>
          <w:tcPr>
            <w:tcW w:type="dxa" w:w="5947"/>
            <w:shd w:val="clear" w:color="auto" w:fill="F2F4F4"/>
          </w:tcPr>
          <w:p>
            <w:pPr>
              <w:spacing w:after="40" w:before="40" w:line="240" w:lineRule="auto"/>
            </w:pPr>
            <w:r/>
            <w:r>
              <w:rPr>
                <w:rFonts w:ascii="Calibri" w:hAnsi="Calibri"/>
                <w:b w:val="0"/>
                <w:i w:val="0"/>
                <w:color w:val="1A1A1A"/>
                <w:sz w:val="17"/>
              </w:rPr>
              <w:t>Timestamp of the newest source record used.</w:t>
            </w:r>
          </w:p>
        </w:tc>
      </w:tr>
      <w:tr>
        <w:tc>
          <w:tcPr>
            <w:tcW w:type="dxa" w:w="3168"/>
          </w:tcPr>
          <w:p>
            <w:pPr>
              <w:spacing w:after="40" w:before="40" w:line="240" w:lineRule="auto"/>
            </w:pPr>
            <w:r/>
            <w:r>
              <w:rPr>
                <w:rFonts w:ascii="Consolas" w:hAnsi="Consolas"/>
                <w:b w:val="0"/>
                <w:color w:val="1A1A1A"/>
                <w:sz w:val="17"/>
              </w:rPr>
              <w:t>staleness_indicator</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FRESH</w:t>
            </w:r>
          </w:p>
        </w:tc>
        <w:tc>
          <w:tcPr>
            <w:tcW w:type="dxa" w:w="5947"/>
          </w:tcPr>
          <w:p>
            <w:pPr>
              <w:spacing w:after="40" w:before="40" w:line="240" w:lineRule="auto"/>
            </w:pPr>
            <w:r/>
            <w:r>
              <w:rPr>
                <w:rFonts w:ascii="Calibri" w:hAnsi="Calibri"/>
                <w:b w:val="0"/>
                <w:i w:val="0"/>
                <w:color w:val="1A1A1A"/>
                <w:sz w:val="17"/>
              </w:rPr>
              <w:t>FRESH under 24h, STALE 24h–7d, EXPIRED beyond 7d or on consent revocation. The interface visibly degrades on EXPIRED rather than presenting stale figures with full confidence.</w:t>
            </w:r>
          </w:p>
        </w:tc>
      </w:tr>
      <w:tr>
        <w:tc>
          <w:tcPr>
            <w:tcW w:type="dxa" w:w="3168"/>
            <w:shd w:val="clear" w:color="auto" w:fill="F2F4F4"/>
          </w:tcPr>
          <w:p>
            <w:pPr>
              <w:spacing w:after="40" w:before="40" w:line="240" w:lineRule="auto"/>
            </w:pPr>
            <w:r/>
            <w:r>
              <w:rPr>
                <w:rFonts w:ascii="Consolas" w:hAnsi="Consolas"/>
                <w:b w:val="0"/>
                <w:color w:val="1A1A1A"/>
                <w:sz w:val="17"/>
              </w:rPr>
              <w:t>input_snapshot_ref</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60</w:t>
            </w:r>
          </w:p>
        </w:tc>
        <w:tc>
          <w:tcPr>
            <w:tcW w:type="dxa" w:w="2563"/>
            <w:shd w:val="clear" w:color="auto" w:fill="F2F4F4"/>
          </w:tcPr>
          <w:p>
            <w:pPr>
              <w:spacing w:after="40" w:before="40" w:line="240" w:lineRule="auto"/>
            </w:pPr>
            <w:r/>
            <w:r>
              <w:rPr>
                <w:rFonts w:ascii="Calibri" w:hAnsi="Calibri"/>
                <w:b w:val="0"/>
                <w:i w:val="0"/>
                <w:color w:val="1A1A1A"/>
                <w:sz w:val="17"/>
              </w:rPr>
              <w:t>SNAP_01J8X2P4K9</w:t>
            </w:r>
          </w:p>
        </w:tc>
        <w:tc>
          <w:tcPr>
            <w:tcW w:type="dxa" w:w="5947"/>
            <w:shd w:val="clear" w:color="auto" w:fill="F2F4F4"/>
          </w:tcPr>
          <w:p>
            <w:pPr>
              <w:spacing w:after="40" w:before="40" w:line="240" w:lineRule="auto"/>
            </w:pPr>
            <w:r/>
            <w:r>
              <w:rPr>
                <w:rFonts w:ascii="Calibri" w:hAnsi="Calibri"/>
                <w:b w:val="0"/>
                <w:i w:val="0"/>
                <w:color w:val="1A1A1A"/>
                <w:sz w:val="17"/>
              </w:rPr>
              <w:t>Reference to the immutable input snapshot used for this computation.</w:t>
            </w:r>
          </w:p>
        </w:tc>
      </w:tr>
      <w:tr>
        <w:tc>
          <w:tcPr>
            <w:tcW w:type="dxa" w:w="3168"/>
          </w:tcPr>
          <w:p>
            <w:pPr>
              <w:spacing w:after="40" w:before="40" w:line="240" w:lineRule="auto"/>
            </w:pPr>
            <w:r/>
            <w:r>
              <w:rPr>
                <w:rFonts w:ascii="Consolas" w:hAnsi="Consolas"/>
                <w:b w:val="0"/>
                <w:color w:val="1A1A1A"/>
                <w:sz w:val="17"/>
              </w:rPr>
              <w:t>assumption_set</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500</w:t>
            </w:r>
          </w:p>
        </w:tc>
        <w:tc>
          <w:tcPr>
            <w:tcW w:type="dxa" w:w="2563"/>
          </w:tcPr>
          <w:p>
            <w:pPr>
              <w:spacing w:after="40" w:before="40" w:line="240" w:lineRule="auto"/>
            </w:pPr>
            <w:r/>
            <w:r>
              <w:rPr>
                <w:rFonts w:ascii="Calibri" w:hAnsi="Calibri"/>
                <w:b w:val="0"/>
                <w:i w:val="0"/>
                <w:color w:val="1A1A1A"/>
                <w:sz w:val="17"/>
              </w:rPr>
              <w:t>EXPECTED_RETURN_PCT=11; EMERGENCY_MONTHS=6</w:t>
            </w:r>
          </w:p>
        </w:tc>
        <w:tc>
          <w:tcPr>
            <w:tcW w:type="dxa" w:w="5947"/>
          </w:tcPr>
          <w:p>
            <w:pPr>
              <w:spacing w:after="40" w:before="40" w:line="240" w:lineRule="auto"/>
            </w:pPr>
            <w:r/>
            <w:r>
              <w:rPr>
                <w:rFonts w:ascii="Calibri" w:hAnsi="Calibri"/>
                <w:b w:val="0"/>
                <w:i w:val="0"/>
                <w:color w:val="1A1A1A"/>
                <w:sz w:val="17"/>
              </w:rPr>
              <w:t>Semicolon-separated assumptions applied, with their values.</w:t>
            </w:r>
          </w:p>
        </w:tc>
      </w:tr>
      <w:tr>
        <w:tc>
          <w:tcPr>
            <w:tcW w:type="dxa" w:w="3168"/>
            <w:shd w:val="clear" w:color="auto" w:fill="F2F4F4"/>
          </w:tcPr>
          <w:p>
            <w:pPr>
              <w:spacing w:after="40" w:before="40" w:line="240" w:lineRule="auto"/>
            </w:pPr>
            <w:r/>
            <w:r>
              <w:rPr>
                <w:rFonts w:ascii="Consolas" w:hAnsi="Consolas"/>
                <w:b w:val="0"/>
                <w:color w:val="1A1A1A"/>
                <w:sz w:val="17"/>
              </w:rPr>
              <w:t>customer_action</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12</w:t>
            </w:r>
          </w:p>
        </w:tc>
        <w:tc>
          <w:tcPr>
            <w:tcW w:type="dxa" w:w="2563"/>
            <w:shd w:val="clear" w:color="auto" w:fill="F2F4F4"/>
          </w:tcPr>
          <w:p>
            <w:pPr>
              <w:spacing w:after="40" w:before="40" w:line="240" w:lineRule="auto"/>
            </w:pPr>
            <w:r/>
            <w:r>
              <w:rPr>
                <w:rFonts w:ascii="Calibri" w:hAnsi="Calibri"/>
                <w:b w:val="0"/>
                <w:i w:val="0"/>
                <w:color w:val="1A1A1A"/>
                <w:sz w:val="17"/>
              </w:rPr>
              <w:t>SHOWN</w:t>
            </w:r>
          </w:p>
        </w:tc>
        <w:tc>
          <w:tcPr>
            <w:tcW w:type="dxa" w:w="5947"/>
            <w:shd w:val="clear" w:color="auto" w:fill="F2F4F4"/>
          </w:tcPr>
          <w:p>
            <w:pPr>
              <w:spacing w:after="40" w:before="40" w:line="240" w:lineRule="auto"/>
            </w:pPr>
            <w:r/>
            <w:r>
              <w:rPr>
                <w:rFonts w:ascii="Calibri" w:hAnsi="Calibri"/>
                <w:b w:val="0"/>
                <w:i w:val="0"/>
                <w:color w:val="1A1A1A"/>
                <w:sz w:val="17"/>
              </w:rPr>
              <w:t>SHOWN, DISMISSED or ACTED_ON. Closes the audit loop between advice and outcome.</w:t>
            </w:r>
          </w:p>
        </w:tc>
      </w:tr>
    </w:tbl>
    <w:p>
      <w:pPr>
        <w:spacing w:after="40"/>
      </w:pPr>
    </w:p>
    <w:p>
      <w:r>
        <w:br w:type="page"/>
      </w:r>
    </w:p>
    <w:p>
      <w:pPr>
        <w:spacing w:before="0" w:after="80"/>
      </w:pPr>
      <w:r>
        <w:rPr>
          <w:b/>
          <w:color w:val="006B6B"/>
          <w:sz w:val="34"/>
        </w:rPr>
        <w:t>13  Standard Response Trailer</w:t>
      </w:r>
    </w:p>
    <w:p>
      <w:pPr>
        <w:spacing w:after="200"/>
      </w:pPr>
      <w:r>
        <w:rPr>
          <w:color w:val="006B6B"/>
          <w:sz w:val="12"/>
        </w:rPr>
        <w:t>────────────────────────────────────────────────────────────</w:t>
      </w:r>
    </w:p>
    <w:p>
      <w:pPr>
        <w:spacing w:after="120"/>
      </w:pPr>
      <w:r>
        <w:rPr>
          <w:b w:val="0"/>
          <w:i w:val="0"/>
          <w:color w:val="5A6363"/>
          <w:sz w:val="19"/>
        </w:rPr>
        <w:t>Every API response carries these fields, following the trailer convention in the IDBI sample.</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rPr>
          <w:tblHeader w:val="true"/>
        </w:trPr>
        <w:tc>
          <w:tcPr>
            <w:tcW w:type="dxa" w:w="3168"/>
            <w:shd w:val="clear" w:color="auto" w:fill="006B6B"/>
          </w:tcPr>
          <w:p>
            <w:pPr>
              <w:spacing w:after="40" w:before="40" w:line="240" w:lineRule="auto"/>
            </w:pPr>
            <w:r/>
            <w:r>
              <w:rPr>
                <w:rFonts w:ascii="Calibri" w:hAnsi="Calibri"/>
                <w:b/>
                <w:i w:val="0"/>
                <w:color w:val="FFFFFF"/>
                <w:sz w:val="17"/>
              </w:rPr>
              <w:t>Field Name</w:t>
            </w:r>
          </w:p>
        </w:tc>
        <w:tc>
          <w:tcPr>
            <w:tcW w:type="dxa" w:w="1123"/>
            <w:shd w:val="clear" w:color="auto" w:fill="006B6B"/>
          </w:tcPr>
          <w:p>
            <w:pPr>
              <w:spacing w:after="40" w:before="40" w:line="240" w:lineRule="auto"/>
            </w:pPr>
            <w:r/>
            <w:r>
              <w:rPr>
                <w:rFonts w:ascii="Calibri" w:hAnsi="Calibri"/>
                <w:b/>
                <w:i w:val="0"/>
                <w:color w:val="FFFFFF"/>
                <w:sz w:val="17"/>
              </w:rPr>
              <w:t>Field Type</w:t>
            </w:r>
          </w:p>
        </w:tc>
        <w:tc>
          <w:tcPr>
            <w:tcW w:type="dxa" w:w="1238"/>
            <w:shd w:val="clear" w:color="auto" w:fill="006B6B"/>
          </w:tcPr>
          <w:p>
            <w:pPr>
              <w:spacing w:after="40" w:before="40" w:line="240" w:lineRule="auto"/>
            </w:pPr>
            <w:r/>
            <w:r>
              <w:rPr>
                <w:rFonts w:ascii="Calibri" w:hAnsi="Calibri"/>
                <w:b/>
                <w:i w:val="0"/>
                <w:color w:val="FFFFFF"/>
                <w:sz w:val="17"/>
              </w:rPr>
              <w:t>Max Field Length</w:t>
            </w:r>
          </w:p>
        </w:tc>
        <w:tc>
          <w:tcPr>
            <w:tcW w:type="dxa" w:w="2563"/>
            <w:shd w:val="clear" w:color="auto" w:fill="006B6B"/>
          </w:tcPr>
          <w:p>
            <w:pPr>
              <w:spacing w:after="40" w:before="40" w:line="240" w:lineRule="auto"/>
            </w:pPr>
            <w:r/>
            <w:r>
              <w:rPr>
                <w:rFonts w:ascii="Calibri" w:hAnsi="Calibri"/>
                <w:b/>
                <w:i w:val="0"/>
                <w:color w:val="FFFFFF"/>
                <w:sz w:val="17"/>
              </w:rPr>
              <w:t>Sample Values</w:t>
            </w:r>
          </w:p>
        </w:tc>
        <w:tc>
          <w:tcPr>
            <w:tcW w:type="dxa" w:w="5947"/>
            <w:shd w:val="clear" w:color="auto" w:fill="006B6B"/>
          </w:tcPr>
          <w:p>
            <w:pPr>
              <w:spacing w:after="40" w:before="40" w:line="240" w:lineRule="auto"/>
            </w:pPr>
            <w:r/>
            <w:r>
              <w:rPr>
                <w:rFonts w:ascii="Calibri" w:hAnsi="Calibri"/>
                <w:b/>
                <w:i w:val="0"/>
                <w:color w:val="FFFFFF"/>
                <w:sz w:val="17"/>
              </w:rPr>
              <w:t>Description</w:t>
            </w:r>
          </w:p>
        </w:tc>
      </w:tr>
      <w:tr>
        <w:tc>
          <w:tcPr>
            <w:tcW w:type="dxa" w:w="3168"/>
          </w:tcPr>
          <w:p>
            <w:pPr>
              <w:spacing w:after="40" w:before="40" w:line="240" w:lineRule="auto"/>
            </w:pPr>
            <w:r/>
            <w:r>
              <w:rPr>
                <w:rFonts w:ascii="Consolas" w:hAnsi="Consolas"/>
                <w:b w:val="0"/>
                <w:color w:val="1A1A1A"/>
                <w:sz w:val="17"/>
              </w:rPr>
              <w:t>data_period_from</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01-08-25</w:t>
            </w:r>
          </w:p>
        </w:tc>
        <w:tc>
          <w:tcPr>
            <w:tcW w:type="dxa" w:w="5947"/>
          </w:tcPr>
          <w:p>
            <w:pPr>
              <w:spacing w:after="40" w:before="40" w:line="240" w:lineRule="auto"/>
            </w:pPr>
            <w:r/>
            <w:r>
              <w:rPr>
                <w:rFonts w:ascii="Calibri" w:hAnsi="Calibri"/>
                <w:b w:val="0"/>
                <w:i w:val="0"/>
                <w:color w:val="1A1A1A"/>
                <w:sz w:val="17"/>
              </w:rPr>
              <w:t>Start of the observation window covered by this response.</w:t>
            </w:r>
          </w:p>
        </w:tc>
      </w:tr>
      <w:tr>
        <w:tc>
          <w:tcPr>
            <w:tcW w:type="dxa" w:w="3168"/>
            <w:shd w:val="clear" w:color="auto" w:fill="F2F4F4"/>
          </w:tcPr>
          <w:p>
            <w:pPr>
              <w:spacing w:after="40" w:before="40" w:line="240" w:lineRule="auto"/>
            </w:pPr>
            <w:r/>
            <w:r>
              <w:rPr>
                <w:rFonts w:ascii="Consolas" w:hAnsi="Consolas"/>
                <w:b w:val="0"/>
                <w:color w:val="1A1A1A"/>
                <w:sz w:val="17"/>
              </w:rPr>
              <w:t>data_period_to</w:t>
            </w:r>
          </w:p>
        </w:tc>
        <w:tc>
          <w:tcPr>
            <w:tcW w:type="dxa" w:w="1123"/>
            <w:shd w:val="clear" w:color="auto" w:fill="F2F4F4"/>
          </w:tcPr>
          <w:p>
            <w:pPr>
              <w:spacing w:after="40" w:before="40" w:line="240" w:lineRule="auto"/>
            </w:pPr>
            <w:r/>
            <w:r>
              <w:rPr>
                <w:rFonts w:ascii="Calibri" w:hAnsi="Calibri"/>
                <w:b w:val="0"/>
                <w:i w:val="0"/>
                <w:color w:val="1A1A1A"/>
                <w:sz w:val="17"/>
              </w:rPr>
              <w:t>Date</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31-07-26</w:t>
            </w:r>
          </w:p>
        </w:tc>
        <w:tc>
          <w:tcPr>
            <w:tcW w:type="dxa" w:w="5947"/>
            <w:shd w:val="clear" w:color="auto" w:fill="F2F4F4"/>
          </w:tcPr>
          <w:p>
            <w:pPr>
              <w:spacing w:after="40" w:before="40" w:line="240" w:lineRule="auto"/>
            </w:pPr>
            <w:r/>
            <w:r>
              <w:rPr>
                <w:rFonts w:ascii="Calibri" w:hAnsi="Calibri"/>
                <w:b w:val="0"/>
                <w:i w:val="0"/>
                <w:color w:val="1A1A1A"/>
                <w:sz w:val="17"/>
              </w:rPr>
              <w:t>End of the observation window.</w:t>
            </w:r>
          </w:p>
        </w:tc>
      </w:tr>
      <w:tr>
        <w:tc>
          <w:tcPr>
            <w:tcW w:type="dxa" w:w="3168"/>
          </w:tcPr>
          <w:p>
            <w:pPr>
              <w:spacing w:after="40" w:before="40" w:line="240" w:lineRule="auto"/>
            </w:pPr>
            <w:r/>
            <w:r>
              <w:rPr>
                <w:rFonts w:ascii="Consolas" w:hAnsi="Consolas"/>
                <w:b w:val="0"/>
                <w:color w:val="1A1A1A"/>
                <w:sz w:val="17"/>
              </w:rPr>
              <w:t>data_freshness_date</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20-08-26</w:t>
            </w:r>
          </w:p>
        </w:tc>
        <w:tc>
          <w:tcPr>
            <w:tcW w:type="dxa" w:w="5947"/>
          </w:tcPr>
          <w:p>
            <w:pPr>
              <w:spacing w:after="40" w:before="40" w:line="240" w:lineRule="auto"/>
            </w:pPr>
            <w:r/>
            <w:r>
              <w:rPr>
                <w:rFonts w:ascii="Calibri" w:hAnsi="Calibri"/>
                <w:b w:val="0"/>
                <w:i w:val="0"/>
                <w:color w:val="1A1A1A"/>
                <w:sz w:val="17"/>
              </w:rPr>
              <w:t>Date through which the feed is considered complete.</w:t>
            </w:r>
          </w:p>
        </w:tc>
      </w:tr>
      <w:tr>
        <w:tc>
          <w:tcPr>
            <w:tcW w:type="dxa" w:w="3168"/>
            <w:shd w:val="clear" w:color="auto" w:fill="F2F4F4"/>
          </w:tcPr>
          <w:p>
            <w:pPr>
              <w:spacing w:after="40" w:before="40" w:line="240" w:lineRule="auto"/>
            </w:pPr>
            <w:r/>
            <w:r>
              <w:rPr>
                <w:rFonts w:ascii="Consolas" w:hAnsi="Consolas"/>
                <w:b w:val="0"/>
                <w:color w:val="1A1A1A"/>
                <w:sz w:val="17"/>
              </w:rPr>
              <w:t>consent_reference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50</w:t>
            </w:r>
          </w:p>
        </w:tc>
        <w:tc>
          <w:tcPr>
            <w:tcW w:type="dxa" w:w="2563"/>
            <w:shd w:val="clear" w:color="auto" w:fill="F2F4F4"/>
          </w:tcPr>
          <w:p>
            <w:pPr>
              <w:spacing w:after="40" w:before="40" w:line="240" w:lineRule="auto"/>
            </w:pPr>
            <w:r/>
            <w:r>
              <w:rPr>
                <w:rFonts w:ascii="Calibri" w:hAnsi="Calibri"/>
                <w:b w:val="0"/>
                <w:i w:val="0"/>
                <w:color w:val="1A1A1A"/>
                <w:sz w:val="17"/>
              </w:rPr>
              <w:t>CONS_MITRA_982731</w:t>
            </w:r>
          </w:p>
        </w:tc>
        <w:tc>
          <w:tcPr>
            <w:tcW w:type="dxa" w:w="5947"/>
            <w:shd w:val="clear" w:color="auto" w:fill="F2F4F4"/>
          </w:tcPr>
          <w:p>
            <w:pPr>
              <w:spacing w:after="40" w:before="40" w:line="240" w:lineRule="auto"/>
            </w:pPr>
            <w:r/>
            <w:r>
              <w:rPr>
                <w:rFonts w:ascii="Calibri" w:hAnsi="Calibri"/>
                <w:b w:val="0"/>
                <w:i w:val="0"/>
                <w:color w:val="1A1A1A"/>
                <w:sz w:val="17"/>
              </w:rPr>
              <w:t>Consent artefact under which the data was released.</w:t>
            </w:r>
          </w:p>
        </w:tc>
      </w:tr>
      <w:tr>
        <w:tc>
          <w:tcPr>
            <w:tcW w:type="dxa" w:w="3168"/>
          </w:tcPr>
          <w:p>
            <w:pPr>
              <w:spacing w:after="40" w:before="40" w:line="240" w:lineRule="auto"/>
            </w:pPr>
            <w:r/>
            <w:r>
              <w:rPr>
                <w:rFonts w:ascii="Consolas" w:hAnsi="Consolas"/>
                <w:b w:val="0"/>
                <w:color w:val="1A1A1A"/>
                <w:sz w:val="17"/>
              </w:rPr>
              <w:t>consent_expiry_date</w:t>
            </w:r>
          </w:p>
        </w:tc>
        <w:tc>
          <w:tcPr>
            <w:tcW w:type="dxa" w:w="1123"/>
          </w:tcPr>
          <w:p>
            <w:pPr>
              <w:spacing w:after="40" w:before="40" w:line="240" w:lineRule="auto"/>
            </w:pPr>
            <w:r/>
            <w:r>
              <w:rPr>
                <w:rFonts w:ascii="Calibri" w:hAnsi="Calibri"/>
                <w:b w:val="0"/>
                <w:i w:val="0"/>
                <w:color w:val="1A1A1A"/>
                <w:sz w:val="17"/>
              </w:rPr>
              <w:t>Date</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24-08-27</w:t>
            </w:r>
          </w:p>
        </w:tc>
        <w:tc>
          <w:tcPr>
            <w:tcW w:type="dxa" w:w="5947"/>
          </w:tcPr>
          <w:p>
            <w:pPr>
              <w:spacing w:after="40" w:before="40" w:line="240" w:lineRule="auto"/>
            </w:pPr>
            <w:r/>
            <w:r>
              <w:rPr>
                <w:rFonts w:ascii="Calibri" w:hAnsi="Calibri"/>
                <w:b w:val="0"/>
                <w:i w:val="0"/>
                <w:color w:val="1A1A1A"/>
                <w:sz w:val="17"/>
              </w:rPr>
              <w:t>Consent expiry. MITRA stops all fetches and purges derived data past this date.</w:t>
            </w:r>
          </w:p>
        </w:tc>
      </w:tr>
      <w:tr>
        <w:tc>
          <w:tcPr>
            <w:tcW w:type="dxa" w:w="3168"/>
            <w:shd w:val="clear" w:color="auto" w:fill="F2F4F4"/>
          </w:tcPr>
          <w:p>
            <w:pPr>
              <w:spacing w:after="40" w:before="40" w:line="240" w:lineRule="auto"/>
            </w:pPr>
            <w:r/>
            <w:r>
              <w:rPr>
                <w:rFonts w:ascii="Consolas" w:hAnsi="Consolas"/>
                <w:b w:val="0"/>
                <w:color w:val="1A1A1A"/>
                <w:sz w:val="17"/>
              </w:rPr>
              <w:t>record_count</w:t>
            </w:r>
          </w:p>
        </w:tc>
        <w:tc>
          <w:tcPr>
            <w:tcW w:type="dxa" w:w="1123"/>
            <w:shd w:val="clear" w:color="auto" w:fill="F2F4F4"/>
          </w:tcPr>
          <w:p>
            <w:pPr>
              <w:spacing w:after="40" w:before="40" w:line="240" w:lineRule="auto"/>
            </w:pPr>
            <w:r/>
            <w:r>
              <w:rPr>
                <w:rFonts w:ascii="Calibri" w:hAnsi="Calibri"/>
                <w:b w:val="0"/>
                <w:i w:val="0"/>
                <w:color w:val="1A1A1A"/>
                <w:sz w:val="17"/>
              </w:rPr>
              <w:t>Integer</w:t>
            </w:r>
          </w:p>
        </w:tc>
        <w:tc>
          <w:tcPr>
            <w:tcW w:type="dxa" w:w="1238"/>
            <w:shd w:val="clear" w:color="auto" w:fill="F2F4F4"/>
          </w:tcPr>
          <w:p>
            <w:pPr>
              <w:spacing w:after="40" w:before="40" w:line="240" w:lineRule="auto"/>
            </w:pPr>
            <w:r/>
            <w:r>
              <w:rPr>
                <w:rFonts w:ascii="Calibri" w:hAnsi="Calibri"/>
                <w:b w:val="0"/>
                <w:i w:val="0"/>
                <w:color w:val="1A1A1A"/>
                <w:sz w:val="17"/>
              </w:rPr>
              <w:t>10</w:t>
            </w:r>
          </w:p>
        </w:tc>
        <w:tc>
          <w:tcPr>
            <w:tcW w:type="dxa" w:w="2563"/>
            <w:shd w:val="clear" w:color="auto" w:fill="F2F4F4"/>
          </w:tcPr>
          <w:p>
            <w:pPr>
              <w:spacing w:after="40" w:before="40" w:line="240" w:lineRule="auto"/>
            </w:pPr>
            <w:r/>
            <w:r>
              <w:rPr>
                <w:rFonts w:ascii="Calibri" w:hAnsi="Calibri"/>
                <w:b w:val="0"/>
                <w:i w:val="0"/>
                <w:color w:val="1A1A1A"/>
                <w:sz w:val="17"/>
              </w:rPr>
              <w:t>148</w:t>
            </w:r>
          </w:p>
        </w:tc>
        <w:tc>
          <w:tcPr>
            <w:tcW w:type="dxa" w:w="5947"/>
            <w:shd w:val="clear" w:color="auto" w:fill="F2F4F4"/>
          </w:tcPr>
          <w:p>
            <w:pPr>
              <w:spacing w:after="40" w:before="40" w:line="240" w:lineRule="auto"/>
            </w:pPr>
            <w:r/>
            <w:r>
              <w:rPr>
                <w:rFonts w:ascii="Calibri" w:hAnsi="Calibri"/>
                <w:b w:val="0"/>
                <w:i w:val="0"/>
                <w:color w:val="1A1A1A"/>
                <w:sz w:val="17"/>
              </w:rPr>
              <w:t>Records in this response page.</w:t>
            </w:r>
          </w:p>
        </w:tc>
      </w:tr>
      <w:tr>
        <w:tc>
          <w:tcPr>
            <w:tcW w:type="dxa" w:w="3168"/>
          </w:tcPr>
          <w:p>
            <w:pPr>
              <w:spacing w:after="40" w:before="40" w:line="240" w:lineRule="auto"/>
            </w:pPr>
            <w:r/>
            <w:r>
              <w:rPr>
                <w:rFonts w:ascii="Consolas" w:hAnsi="Consolas"/>
                <w:b w:val="0"/>
                <w:color w:val="1A1A1A"/>
                <w:sz w:val="17"/>
              </w:rPr>
              <w:t>next_cursor</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200</w:t>
            </w:r>
          </w:p>
        </w:tc>
        <w:tc>
          <w:tcPr>
            <w:tcW w:type="dxa" w:w="2563"/>
          </w:tcPr>
          <w:p>
            <w:pPr>
              <w:spacing w:after="40" w:before="40" w:line="240" w:lineRule="auto"/>
            </w:pPr>
            <w:r/>
            <w:r>
              <w:rPr>
                <w:rFonts w:ascii="Calibri" w:hAnsi="Calibri"/>
                <w:b w:val="0"/>
                <w:i w:val="0"/>
                <w:color w:val="1A1A1A"/>
                <w:sz w:val="17"/>
              </w:rPr>
              <w:t>eyJrIjoiMjAyNi0w</w:t>
            </w:r>
          </w:p>
        </w:tc>
        <w:tc>
          <w:tcPr>
            <w:tcW w:type="dxa" w:w="5947"/>
          </w:tcPr>
          <w:p>
            <w:pPr>
              <w:spacing w:after="40" w:before="40" w:line="240" w:lineRule="auto"/>
            </w:pPr>
            <w:r/>
            <w:r>
              <w:rPr>
                <w:rFonts w:ascii="Calibri" w:hAnsi="Calibri"/>
                <w:b w:val="0"/>
                <w:i w:val="0"/>
                <w:color w:val="1A1A1A"/>
                <w:sz w:val="17"/>
              </w:rPr>
              <w:t>Continuation token. Null on the final page.</w:t>
            </w:r>
          </w:p>
        </w:tc>
      </w:tr>
      <w:tr>
        <w:tc>
          <w:tcPr>
            <w:tcW w:type="dxa" w:w="3168"/>
            <w:shd w:val="clear" w:color="auto" w:fill="F2F4F4"/>
          </w:tcPr>
          <w:p>
            <w:pPr>
              <w:spacing w:after="40" w:before="40" w:line="240" w:lineRule="auto"/>
            </w:pPr>
            <w:r/>
            <w:r>
              <w:rPr>
                <w:rFonts w:ascii="Consolas" w:hAnsi="Consolas"/>
                <w:b w:val="0"/>
                <w:color w:val="1A1A1A"/>
                <w:sz w:val="17"/>
              </w:rPr>
              <w:t>response_status</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20</w:t>
            </w:r>
          </w:p>
        </w:tc>
        <w:tc>
          <w:tcPr>
            <w:tcW w:type="dxa" w:w="2563"/>
            <w:shd w:val="clear" w:color="auto" w:fill="F2F4F4"/>
          </w:tcPr>
          <w:p>
            <w:pPr>
              <w:spacing w:after="40" w:before="40" w:line="240" w:lineRule="auto"/>
            </w:pPr>
            <w:r/>
            <w:r>
              <w:rPr>
                <w:rFonts w:ascii="Calibri" w:hAnsi="Calibri"/>
                <w:b w:val="0"/>
                <w:i w:val="0"/>
                <w:color w:val="1A1A1A"/>
                <w:sz w:val="17"/>
              </w:rPr>
              <w:t>SUCCESS</w:t>
            </w:r>
          </w:p>
        </w:tc>
        <w:tc>
          <w:tcPr>
            <w:tcW w:type="dxa" w:w="5947"/>
            <w:shd w:val="clear" w:color="auto" w:fill="F2F4F4"/>
          </w:tcPr>
          <w:p>
            <w:pPr>
              <w:spacing w:after="40" w:before="40" w:line="240" w:lineRule="auto"/>
            </w:pPr>
            <w:r/>
            <w:r>
              <w:rPr>
                <w:rFonts w:ascii="Calibri" w:hAnsi="Calibri"/>
                <w:b w:val="0"/>
                <w:i w:val="0"/>
                <w:color w:val="1A1A1A"/>
                <w:sz w:val="17"/>
              </w:rPr>
              <w:t>SUCCESS, PARTIAL or FAILURE. PARTIAL indicates some consented accounts could not be reached and must be surfaced, not silently absorbed.</w:t>
            </w:r>
          </w:p>
        </w:tc>
      </w:tr>
      <w:tr>
        <w:tc>
          <w:tcPr>
            <w:tcW w:type="dxa" w:w="3168"/>
          </w:tcPr>
          <w:p>
            <w:pPr>
              <w:spacing w:after="40" w:before="40" w:line="240" w:lineRule="auto"/>
            </w:pPr>
            <w:r/>
            <w:r>
              <w:rPr>
                <w:rFonts w:ascii="Consolas" w:hAnsi="Consolas"/>
                <w:b w:val="0"/>
                <w:color w:val="1A1A1A"/>
                <w:sz w:val="17"/>
              </w:rPr>
              <w:t>response_code</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10</w:t>
            </w:r>
          </w:p>
        </w:tc>
        <w:tc>
          <w:tcPr>
            <w:tcW w:type="dxa" w:w="2563"/>
          </w:tcPr>
          <w:p>
            <w:pPr>
              <w:spacing w:after="40" w:before="40" w:line="240" w:lineRule="auto"/>
            </w:pPr>
            <w:r/>
            <w:r>
              <w:rPr>
                <w:rFonts w:ascii="Calibri" w:hAnsi="Calibri"/>
                <w:b w:val="0"/>
                <w:i w:val="0"/>
                <w:color w:val="1A1A1A"/>
                <w:sz w:val="17"/>
              </w:rPr>
              <w:t>200</w:t>
            </w:r>
          </w:p>
        </w:tc>
        <w:tc>
          <w:tcPr>
            <w:tcW w:type="dxa" w:w="5947"/>
          </w:tcPr>
          <w:p>
            <w:pPr>
              <w:spacing w:after="40" w:before="40" w:line="240" w:lineRule="auto"/>
            </w:pPr>
            <w:r/>
            <w:r>
              <w:rPr>
                <w:rFonts w:ascii="Calibri" w:hAnsi="Calibri"/>
                <w:b w:val="0"/>
                <w:i w:val="0"/>
                <w:color w:val="1A1A1A"/>
                <w:sz w:val="17"/>
              </w:rPr>
              <w:t>HTTP-aligned status code.</w:t>
            </w:r>
          </w:p>
        </w:tc>
      </w:tr>
      <w:tr>
        <w:tc>
          <w:tcPr>
            <w:tcW w:type="dxa" w:w="3168"/>
            <w:shd w:val="clear" w:color="auto" w:fill="F2F4F4"/>
          </w:tcPr>
          <w:p>
            <w:pPr>
              <w:spacing w:after="40" w:before="40" w:line="240" w:lineRule="auto"/>
            </w:pPr>
            <w:r/>
            <w:r>
              <w:rPr>
                <w:rFonts w:ascii="Consolas" w:hAnsi="Consolas"/>
                <w:b w:val="0"/>
                <w:color w:val="1A1A1A"/>
                <w:sz w:val="17"/>
              </w:rPr>
              <w:t>error_message</w:t>
            </w:r>
          </w:p>
        </w:tc>
        <w:tc>
          <w:tcPr>
            <w:tcW w:type="dxa" w:w="1123"/>
            <w:shd w:val="clear" w:color="auto" w:fill="F2F4F4"/>
          </w:tcPr>
          <w:p>
            <w:pPr>
              <w:spacing w:after="40" w:before="40" w:line="240" w:lineRule="auto"/>
            </w:pPr>
            <w:r/>
            <w:r>
              <w:rPr>
                <w:rFonts w:ascii="Calibri" w:hAnsi="Calibri"/>
                <w:b w:val="0"/>
                <w:i w:val="0"/>
                <w:color w:val="1A1A1A"/>
                <w:sz w:val="17"/>
              </w:rPr>
              <w:t>String</w:t>
            </w:r>
          </w:p>
        </w:tc>
        <w:tc>
          <w:tcPr>
            <w:tcW w:type="dxa" w:w="1238"/>
            <w:shd w:val="clear" w:color="auto" w:fill="F2F4F4"/>
          </w:tcPr>
          <w:p>
            <w:pPr>
              <w:spacing w:after="40" w:before="40" w:line="240" w:lineRule="auto"/>
            </w:pPr>
            <w:r/>
            <w:r>
              <w:rPr>
                <w:rFonts w:ascii="Calibri" w:hAnsi="Calibri"/>
                <w:b w:val="0"/>
                <w:i w:val="0"/>
                <w:color w:val="1A1A1A"/>
                <w:sz w:val="17"/>
              </w:rPr>
              <w:t>250</w:t>
            </w:r>
          </w:p>
        </w:tc>
        <w:tc>
          <w:tcPr>
            <w:tcW w:type="dxa" w:w="2563"/>
            <w:shd w:val="clear" w:color="auto" w:fill="F2F4F4"/>
          </w:tcPr>
          <w:p>
            <w:pPr>
              <w:spacing w:after="40" w:before="40" w:line="240" w:lineRule="auto"/>
            </w:pPr>
            <w:r/>
            <w:r>
              <w:rPr>
                <w:rFonts w:ascii="Calibri" w:hAnsi="Calibri"/>
                <w:b w:val="0"/>
                <w:i w:val="0"/>
                <w:color w:val="1A1A1A"/>
                <w:sz w:val="17"/>
              </w:rPr>
            </w:r>
          </w:p>
        </w:tc>
        <w:tc>
          <w:tcPr>
            <w:tcW w:type="dxa" w:w="5947"/>
            <w:shd w:val="clear" w:color="auto" w:fill="F2F4F4"/>
          </w:tcPr>
          <w:p>
            <w:pPr>
              <w:spacing w:after="40" w:before="40" w:line="240" w:lineRule="auto"/>
            </w:pPr>
            <w:r/>
            <w:r>
              <w:rPr>
                <w:rFonts w:ascii="Calibri" w:hAnsi="Calibri"/>
                <w:b w:val="0"/>
                <w:i w:val="0"/>
                <w:color w:val="1A1A1A"/>
                <w:sz w:val="17"/>
              </w:rPr>
              <w:t>Human-readable error detail. Populated only where response_status is not SUCCESS.</w:t>
            </w:r>
          </w:p>
        </w:tc>
      </w:tr>
      <w:tr>
        <w:tc>
          <w:tcPr>
            <w:tcW w:type="dxa" w:w="3168"/>
          </w:tcPr>
          <w:p>
            <w:pPr>
              <w:spacing w:after="40" w:before="40" w:line="240" w:lineRule="auto"/>
            </w:pPr>
            <w:r/>
            <w:r>
              <w:rPr>
                <w:rFonts w:ascii="Consolas" w:hAnsi="Consolas"/>
                <w:b w:val="0"/>
                <w:color w:val="1A1A1A"/>
                <w:sz w:val="17"/>
              </w:rPr>
              <w:t>trace_id</w:t>
            </w:r>
          </w:p>
        </w:tc>
        <w:tc>
          <w:tcPr>
            <w:tcW w:type="dxa" w:w="1123"/>
          </w:tcPr>
          <w:p>
            <w:pPr>
              <w:spacing w:after="40" w:before="40" w:line="240" w:lineRule="auto"/>
            </w:pPr>
            <w:r/>
            <w:r>
              <w:rPr>
                <w:rFonts w:ascii="Calibri" w:hAnsi="Calibri"/>
                <w:b w:val="0"/>
                <w:i w:val="0"/>
                <w:color w:val="1A1A1A"/>
                <w:sz w:val="17"/>
              </w:rPr>
              <w:t>String</w:t>
            </w:r>
          </w:p>
        </w:tc>
        <w:tc>
          <w:tcPr>
            <w:tcW w:type="dxa" w:w="1238"/>
          </w:tcPr>
          <w:p>
            <w:pPr>
              <w:spacing w:after="40" w:before="40" w:line="240" w:lineRule="auto"/>
            </w:pPr>
            <w:r/>
            <w:r>
              <w:rPr>
                <w:rFonts w:ascii="Calibri" w:hAnsi="Calibri"/>
                <w:b w:val="0"/>
                <w:i w:val="0"/>
                <w:color w:val="1A1A1A"/>
                <w:sz w:val="17"/>
              </w:rPr>
              <w:t>40</w:t>
            </w:r>
          </w:p>
        </w:tc>
        <w:tc>
          <w:tcPr>
            <w:tcW w:type="dxa" w:w="2563"/>
          </w:tcPr>
          <w:p>
            <w:pPr>
              <w:spacing w:after="40" w:before="40" w:line="240" w:lineRule="auto"/>
            </w:pPr>
            <w:r/>
            <w:r>
              <w:rPr>
                <w:rFonts w:ascii="Calibri" w:hAnsi="Calibri"/>
                <w:b w:val="0"/>
                <w:i w:val="0"/>
                <w:color w:val="1A1A1A"/>
                <w:sz w:val="17"/>
              </w:rPr>
              <w:t>1-68aa1f30-4c1d2e</w:t>
            </w:r>
          </w:p>
        </w:tc>
        <w:tc>
          <w:tcPr>
            <w:tcW w:type="dxa" w:w="5947"/>
          </w:tcPr>
          <w:p>
            <w:pPr>
              <w:spacing w:after="40" w:before="40" w:line="240" w:lineRule="auto"/>
            </w:pPr>
            <w:r/>
            <w:r>
              <w:rPr>
                <w:rFonts w:ascii="Calibri" w:hAnsi="Calibri"/>
                <w:b w:val="0"/>
                <w:i w:val="0"/>
                <w:color w:val="1A1A1A"/>
                <w:sz w:val="17"/>
              </w:rPr>
              <w:t>Correlation identifier for support and audit traceability.</w:t>
            </w:r>
          </w:p>
        </w:tc>
      </w:tr>
    </w:tbl>
    <w:p>
      <w:pPr>
        <w:spacing w:after="40"/>
      </w:pPr>
    </w:p>
    <w:p>
      <w:r>
        <w:br w:type="page"/>
      </w:r>
    </w:p>
    <w:p>
      <w:pPr>
        <w:spacing w:before="0" w:after="80"/>
      </w:pPr>
      <w:r>
        <w:rPr>
          <w:b/>
          <w:color w:val="006B6B"/>
          <w:sz w:val="34"/>
        </w:rPr>
        <w:t>14  Integration Requirements</w:t>
      </w:r>
    </w:p>
    <w:p>
      <w:pPr>
        <w:spacing w:after="200"/>
      </w:pPr>
      <w:r>
        <w:rPr>
          <w:color w:val="006B6B"/>
          <w:sz w:val="12"/>
        </w:rPr>
        <w:t>────────────────────────────────────────────────────────────</w:t>
      </w:r>
    </w:p>
    <w:p>
      <w:pPr>
        <w:spacing w:after="120"/>
      </w:pPr>
      <w:r>
        <w:rPr>
          <w:b w:val="0"/>
          <w:i w:val="0"/>
          <w:color w:val="5A6363"/>
          <w:sz w:val="19"/>
        </w:rPr>
        <w:t>Summarised from the accompanying SANDBOX_REQUIREMENTS.md. These are the platform-level conditions for the field specification above to be delivered safely.</w:t>
      </w:r>
    </w:p>
    <w:p>
      <w:pPr>
        <w:spacing w:before="240" w:after="80"/>
      </w:pPr>
      <w:r>
        <w:rPr>
          <w:b/>
          <w:color w:val="006B6B"/>
          <w:sz w:val="25"/>
        </w:rPr>
        <w:t>14.1  Transport and security</w:t>
      </w:r>
    </w:p>
    <w:tbl>
      <w:tblPr>
        <w:tblStyle w:val="TableGrid"/>
        <w:tblW w:type="auto" w:w="0"/>
        <w:tblLayout w:type="fixed"/>
        <w:tblLook w:firstColumn="1" w:firstRow="1" w:lastColumn="0" w:lastRow="0" w:noHBand="0" w:noVBand="1" w:val="04A0"/>
      </w:tblPr>
      <w:tblGrid>
        <w:gridCol w:w="7056"/>
        <w:gridCol w:w="7056"/>
      </w:tblGrid>
      <w:tr>
        <w:trPr>
          <w:tblHeader w:val="true"/>
        </w:trPr>
        <w:tc>
          <w:tcPr>
            <w:tcW w:type="dxa" w:w="2597"/>
            <w:shd w:val="clear" w:color="auto" w:fill="006B6B"/>
          </w:tcPr>
          <w:p>
            <w:pPr>
              <w:spacing w:after="40" w:before="40" w:line="240" w:lineRule="auto"/>
            </w:pPr>
            <w:r/>
            <w:r>
              <w:rPr>
                <w:rFonts w:ascii="Calibri" w:hAnsi="Calibri"/>
                <w:b/>
                <w:i w:val="0"/>
                <w:color w:val="FFFFFF"/>
                <w:sz w:val="17"/>
              </w:rPr>
              <w:t>Requirement</w:t>
            </w:r>
          </w:p>
        </w:tc>
        <w:tc>
          <w:tcPr>
            <w:tcW w:type="dxa" w:w="11443"/>
            <w:shd w:val="clear" w:color="auto" w:fill="006B6B"/>
          </w:tcPr>
          <w:p>
            <w:pPr>
              <w:spacing w:after="40" w:before="40" w:line="240" w:lineRule="auto"/>
            </w:pPr>
            <w:r/>
            <w:r>
              <w:rPr>
                <w:rFonts w:ascii="Calibri" w:hAnsi="Calibri"/>
                <w:b/>
                <w:i w:val="0"/>
                <w:color w:val="FFFFFF"/>
                <w:sz w:val="17"/>
              </w:rPr>
              <w:t>Specification</w:t>
            </w:r>
          </w:p>
        </w:tc>
      </w:tr>
      <w:tr>
        <w:tc>
          <w:tcPr>
            <w:tcW w:type="dxa" w:w="2597"/>
          </w:tcPr>
          <w:p>
            <w:pPr>
              <w:spacing w:after="40" w:before="40" w:line="240" w:lineRule="auto"/>
            </w:pPr>
            <w:r/>
            <w:r>
              <w:rPr>
                <w:rFonts w:ascii="Calibri" w:hAnsi="Calibri"/>
                <w:b w:val="0"/>
                <w:i w:val="0"/>
                <w:color w:val="1A1A1A"/>
                <w:sz w:val="18"/>
              </w:rPr>
              <w:t>Protocol</w:t>
            </w:r>
          </w:p>
        </w:tc>
        <w:tc>
          <w:tcPr>
            <w:tcW w:type="dxa" w:w="11443"/>
          </w:tcPr>
          <w:p>
            <w:pPr>
              <w:spacing w:after="40" w:before="40" w:line="240" w:lineRule="auto"/>
            </w:pPr>
            <w:r/>
            <w:r>
              <w:rPr>
                <w:rFonts w:ascii="Calibri" w:hAnsi="Calibri"/>
                <w:b w:val="0"/>
                <w:i w:val="0"/>
                <w:color w:val="1A1A1A"/>
                <w:sz w:val="18"/>
              </w:rPr>
              <w:t>HTTPS, TLS 1.3. REST with JSON payloads.</w:t>
            </w:r>
          </w:p>
        </w:tc>
      </w:tr>
      <w:tr>
        <w:tc>
          <w:tcPr>
            <w:tcW w:type="dxa" w:w="2597"/>
            <w:shd w:val="clear" w:color="auto" w:fill="F2F4F4"/>
          </w:tcPr>
          <w:p>
            <w:pPr>
              <w:spacing w:after="40" w:before="40" w:line="240" w:lineRule="auto"/>
            </w:pPr>
            <w:r/>
            <w:r>
              <w:rPr>
                <w:rFonts w:ascii="Calibri" w:hAnsi="Calibri"/>
                <w:b w:val="0"/>
                <w:i w:val="0"/>
                <w:color w:val="1A1A1A"/>
                <w:sz w:val="18"/>
              </w:rPr>
              <w:t>Authentication</w:t>
            </w:r>
          </w:p>
        </w:tc>
        <w:tc>
          <w:tcPr>
            <w:tcW w:type="dxa" w:w="11443"/>
            <w:shd w:val="clear" w:color="auto" w:fill="F2F4F4"/>
          </w:tcPr>
          <w:p>
            <w:pPr>
              <w:spacing w:after="40" w:before="40" w:line="240" w:lineRule="auto"/>
            </w:pPr>
            <w:r/>
            <w:r>
              <w:rPr>
                <w:rFonts w:ascii="Calibri" w:hAnsi="Calibri"/>
                <w:b w:val="0"/>
                <w:i w:val="0"/>
                <w:color w:val="1A1A1A"/>
                <w:sz w:val="18"/>
              </w:rPr>
              <w:t>OAuth 2.0 client credentials for service-to-service; OIDC federation to the bank's identity provider for customer sessions.</w:t>
            </w:r>
          </w:p>
        </w:tc>
      </w:tr>
      <w:tr>
        <w:tc>
          <w:tcPr>
            <w:tcW w:type="dxa" w:w="2597"/>
          </w:tcPr>
          <w:p>
            <w:pPr>
              <w:spacing w:after="40" w:before="40" w:line="240" w:lineRule="auto"/>
            </w:pPr>
            <w:r/>
            <w:r>
              <w:rPr>
                <w:rFonts w:ascii="Calibri" w:hAnsi="Calibri"/>
                <w:b w:val="0"/>
                <w:i w:val="0"/>
                <w:color w:val="1A1A1A"/>
                <w:sz w:val="18"/>
              </w:rPr>
              <w:t>Authorisation</w:t>
            </w:r>
          </w:p>
        </w:tc>
        <w:tc>
          <w:tcPr>
            <w:tcW w:type="dxa" w:w="11443"/>
          </w:tcPr>
          <w:p>
            <w:pPr>
              <w:spacing w:after="40" w:before="40" w:line="240" w:lineRule="auto"/>
            </w:pPr>
            <w:r/>
            <w:r>
              <w:rPr>
                <w:rFonts w:ascii="Calibri" w:hAnsi="Calibri"/>
                <w:b w:val="0"/>
                <w:i w:val="0"/>
                <w:color w:val="1A1A1A"/>
                <w:sz w:val="18"/>
              </w:rPr>
              <w:t>Scoped per data domain and per consent purpose. A wealth-advisory token cannot read credit-assessment data.</w:t>
            </w:r>
          </w:p>
        </w:tc>
      </w:tr>
      <w:tr>
        <w:tc>
          <w:tcPr>
            <w:tcW w:type="dxa" w:w="2597"/>
            <w:shd w:val="clear" w:color="auto" w:fill="F2F4F4"/>
          </w:tcPr>
          <w:p>
            <w:pPr>
              <w:spacing w:after="40" w:before="40" w:line="240" w:lineRule="auto"/>
            </w:pPr>
            <w:r/>
            <w:r>
              <w:rPr>
                <w:rFonts w:ascii="Calibri" w:hAnsi="Calibri"/>
                <w:b w:val="0"/>
                <w:i w:val="0"/>
                <w:color w:val="1A1A1A"/>
                <w:sz w:val="18"/>
              </w:rPr>
              <w:t>Encryption</w:t>
            </w:r>
          </w:p>
        </w:tc>
        <w:tc>
          <w:tcPr>
            <w:tcW w:type="dxa" w:w="11443"/>
            <w:shd w:val="clear" w:color="auto" w:fill="F2F4F4"/>
          </w:tcPr>
          <w:p>
            <w:pPr>
              <w:spacing w:after="40" w:before="40" w:line="240" w:lineRule="auto"/>
            </w:pPr>
            <w:r/>
            <w:r>
              <w:rPr>
                <w:rFonts w:ascii="Calibri" w:hAnsi="Calibri"/>
                <w:b w:val="0"/>
                <w:i w:val="0"/>
                <w:color w:val="1A1A1A"/>
                <w:sz w:val="18"/>
              </w:rPr>
              <w:t>TLS in transit; AES-256 with a bank-managed key at rest. Field-level encryption for PAN, account number and name.</w:t>
            </w:r>
          </w:p>
        </w:tc>
      </w:tr>
      <w:tr>
        <w:tc>
          <w:tcPr>
            <w:tcW w:type="dxa" w:w="2597"/>
          </w:tcPr>
          <w:p>
            <w:pPr>
              <w:spacing w:after="40" w:before="40" w:line="240" w:lineRule="auto"/>
            </w:pPr>
            <w:r/>
            <w:r>
              <w:rPr>
                <w:rFonts w:ascii="Calibri" w:hAnsi="Calibri"/>
                <w:b w:val="0"/>
                <w:i w:val="0"/>
                <w:color w:val="1A1A1A"/>
                <w:sz w:val="18"/>
              </w:rPr>
              <w:t>Masking</w:t>
            </w:r>
          </w:p>
        </w:tc>
        <w:tc>
          <w:tcPr>
            <w:tcW w:type="dxa" w:w="11443"/>
          </w:tcPr>
          <w:p>
            <w:pPr>
              <w:spacing w:after="40" w:before="40" w:line="240" w:lineRule="auto"/>
            </w:pPr>
            <w:r/>
            <w:r>
              <w:rPr>
                <w:rFonts w:ascii="Calibri" w:hAnsi="Calibri"/>
                <w:b w:val="0"/>
                <w:i w:val="0"/>
                <w:color w:val="1A1A1A"/>
                <w:sz w:val="18"/>
              </w:rPr>
              <w:t>Account numbers, PAN, mobile and email masked at source. MITRA never receives unmasked identifiers.</w:t>
            </w:r>
          </w:p>
        </w:tc>
      </w:tr>
      <w:tr>
        <w:tc>
          <w:tcPr>
            <w:tcW w:type="dxa" w:w="2597"/>
            <w:shd w:val="clear" w:color="auto" w:fill="F2F4F4"/>
          </w:tcPr>
          <w:p>
            <w:pPr>
              <w:spacing w:after="40" w:before="40" w:line="240" w:lineRule="auto"/>
            </w:pPr>
            <w:r/>
            <w:r>
              <w:rPr>
                <w:rFonts w:ascii="Calibri" w:hAnsi="Calibri"/>
                <w:b w:val="0"/>
                <w:i w:val="0"/>
                <w:color w:val="1A1A1A"/>
                <w:sz w:val="18"/>
              </w:rPr>
              <w:t>Idempotency</w:t>
            </w:r>
          </w:p>
        </w:tc>
        <w:tc>
          <w:tcPr>
            <w:tcW w:type="dxa" w:w="11443"/>
            <w:shd w:val="clear" w:color="auto" w:fill="F2F4F4"/>
          </w:tcPr>
          <w:p>
            <w:pPr>
              <w:spacing w:after="40" w:before="40" w:line="240" w:lineRule="auto"/>
            </w:pPr>
            <w:r/>
            <w:r>
              <w:rPr>
                <w:rFonts w:ascii="Calibri" w:hAnsi="Calibri"/>
                <w:b w:val="0"/>
                <w:i w:val="0"/>
                <w:color w:val="1A1A1A"/>
                <w:sz w:val="18"/>
              </w:rPr>
              <w:t>All state-changing calls carry an Idempotency-Key header, retained 24 hours.</w:t>
            </w:r>
          </w:p>
        </w:tc>
      </w:tr>
      <w:tr>
        <w:tc>
          <w:tcPr>
            <w:tcW w:type="dxa" w:w="2597"/>
          </w:tcPr>
          <w:p>
            <w:pPr>
              <w:spacing w:after="40" w:before="40" w:line="240" w:lineRule="auto"/>
            </w:pPr>
            <w:r/>
            <w:r>
              <w:rPr>
                <w:rFonts w:ascii="Calibri" w:hAnsi="Calibri"/>
                <w:b w:val="0"/>
                <w:i w:val="0"/>
                <w:color w:val="1A1A1A"/>
                <w:sz w:val="18"/>
              </w:rPr>
              <w:t>Rate limits</w:t>
            </w:r>
          </w:p>
        </w:tc>
        <w:tc>
          <w:tcPr>
            <w:tcW w:type="dxa" w:w="11443"/>
          </w:tcPr>
          <w:p>
            <w:pPr>
              <w:spacing w:after="40" w:before="40" w:line="240" w:lineRule="auto"/>
            </w:pPr>
            <w:r/>
            <w:r>
              <w:rPr>
                <w:rFonts w:ascii="Calibri" w:hAnsi="Calibri"/>
                <w:b w:val="0"/>
                <w:i w:val="0"/>
                <w:color w:val="1A1A1A"/>
                <w:sz w:val="18"/>
              </w:rPr>
              <w:t>120 requests per minute per customer for reads; 10 per hour for ingestion jobs.</w:t>
            </w:r>
          </w:p>
        </w:tc>
      </w:tr>
      <w:tr>
        <w:tc>
          <w:tcPr>
            <w:tcW w:type="dxa" w:w="2597"/>
            <w:shd w:val="clear" w:color="auto" w:fill="F2F4F4"/>
          </w:tcPr>
          <w:p>
            <w:pPr>
              <w:spacing w:after="40" w:before="40" w:line="240" w:lineRule="auto"/>
            </w:pPr>
            <w:r/>
            <w:r>
              <w:rPr>
                <w:rFonts w:ascii="Calibri" w:hAnsi="Calibri"/>
                <w:b w:val="0"/>
                <w:i w:val="0"/>
                <w:color w:val="1A1A1A"/>
                <w:sz w:val="18"/>
              </w:rPr>
              <w:t>Residency</w:t>
            </w:r>
          </w:p>
        </w:tc>
        <w:tc>
          <w:tcPr>
            <w:tcW w:type="dxa" w:w="11443"/>
            <w:shd w:val="clear" w:color="auto" w:fill="F2F4F4"/>
          </w:tcPr>
          <w:p>
            <w:pPr>
              <w:spacing w:after="40" w:before="40" w:line="240" w:lineRule="auto"/>
            </w:pPr>
            <w:r/>
            <w:r>
              <w:rPr>
                <w:rFonts w:ascii="Calibri" w:hAnsi="Calibri"/>
                <w:b w:val="0"/>
                <w:i w:val="0"/>
                <w:color w:val="1A1A1A"/>
                <w:sz w:val="18"/>
              </w:rPr>
              <w:t>All data, backups and logs held in India (ap-south-1 primary, ap-south-2 disaster recovery). No cross-border replication.</w:t>
            </w:r>
          </w:p>
        </w:tc>
      </w:tr>
    </w:tbl>
    <w:p>
      <w:pPr>
        <w:spacing w:after="40"/>
      </w:pPr>
    </w:p>
    <w:p>
      <w:pPr>
        <w:spacing w:before="240" w:after="80"/>
      </w:pPr>
      <w:r>
        <w:rPr>
          <w:b/>
          <w:color w:val="006B6B"/>
          <w:sz w:val="25"/>
        </w:rPr>
        <w:t>14.2  Data quality expectations</w:t>
      </w:r>
    </w:p>
    <w:p>
      <w:pPr>
        <w:pStyle w:val="ListBullet"/>
        <w:spacing w:after="60"/>
        <w:ind w:left="403"/>
      </w:pPr>
      <w:r>
        <w:rPr>
          <w:color w:val="1A1A1A"/>
          <w:sz w:val="20"/>
        </w:rPr>
        <w:t>Transaction history of at least 6 months; 24 months preferred. Below 3 months, anomaly detection is suppressed rather than shown at low confidence.</w:t>
      </w:r>
    </w:p>
    <w:p>
      <w:pPr>
        <w:pStyle w:val="ListBullet"/>
        <w:spacing w:after="60"/>
        <w:ind w:left="403"/>
      </w:pPr>
      <w:r>
        <w:rPr>
          <w:color w:val="1A1A1A"/>
          <w:sz w:val="20"/>
        </w:rPr>
        <w:t>NAV data no older than 3 business days. Older values are flagged stale to the customer.</w:t>
      </w:r>
    </w:p>
    <w:p>
      <w:pPr>
        <w:pStyle w:val="ListBullet"/>
        <w:spacing w:after="60"/>
        <w:ind w:left="403"/>
      </w:pPr>
      <w:r>
        <w:rPr>
          <w:color w:val="1A1A1A"/>
          <w:sz w:val="20"/>
        </w:rPr>
        <w:t>Balances refreshed at least daily for accounts under an active periodic consent.</w:t>
      </w:r>
    </w:p>
    <w:p>
      <w:pPr>
        <w:pStyle w:val="ListBullet"/>
        <w:spacing w:after="60"/>
        <w:ind w:left="403"/>
      </w:pPr>
      <w:r>
        <w:rPr>
          <w:color w:val="1A1A1A"/>
          <w:sz w:val="20"/>
        </w:rPr>
        <w:t>Unknown values returned as null, never as 0 — the two lead to materially different advice.</w:t>
      </w:r>
    </w:p>
    <w:p>
      <w:pPr>
        <w:pStyle w:val="ListBullet"/>
        <w:spacing w:after="60"/>
        <w:ind w:left="403"/>
      </w:pPr>
      <w:r>
        <w:rPr>
          <w:color w:val="1A1A1A"/>
          <w:sz w:val="20"/>
        </w:rPr>
        <w:t>A response covering only some consented accounts must set response_status to PARTIAL and name the unreachable accounts.</w:t>
      </w:r>
    </w:p>
    <w:p>
      <w:pPr>
        <w:spacing w:before="240" w:after="80"/>
      </w:pPr>
      <w:r>
        <w:rPr>
          <w:b/>
          <w:color w:val="006B6B"/>
          <w:sz w:val="25"/>
        </w:rPr>
        <w:t>14.3  Service levels</w:t>
      </w:r>
    </w:p>
    <w:tbl>
      <w:tblPr>
        <w:tblStyle w:val="TableGrid"/>
        <w:tblW w:type="auto" w:w="0"/>
        <w:tblLayout w:type="fixed"/>
        <w:tblLook w:firstColumn="1" w:firstRow="1" w:lastColumn="0" w:lastRow="0" w:noHBand="0" w:noVBand="1" w:val="04A0"/>
      </w:tblPr>
      <w:tblGrid>
        <w:gridCol w:w="4704"/>
        <w:gridCol w:w="4704"/>
        <w:gridCol w:w="4704"/>
      </w:tblGrid>
      <w:tr>
        <w:trPr>
          <w:tblHeader w:val="true"/>
        </w:trPr>
        <w:tc>
          <w:tcPr>
            <w:tcW w:type="dxa" w:w="5616"/>
            <w:shd w:val="clear" w:color="auto" w:fill="006B6B"/>
          </w:tcPr>
          <w:p>
            <w:pPr>
              <w:spacing w:after="40" w:before="40" w:line="240" w:lineRule="auto"/>
            </w:pPr>
            <w:r/>
            <w:r>
              <w:rPr>
                <w:rFonts w:ascii="Calibri" w:hAnsi="Calibri"/>
                <w:b/>
                <w:i w:val="0"/>
                <w:color w:val="FFFFFF"/>
                <w:sz w:val="17"/>
              </w:rPr>
              <w:t>Operation</w:t>
            </w:r>
          </w:p>
        </w:tc>
        <w:tc>
          <w:tcPr>
            <w:tcW w:type="dxa" w:w="4212"/>
            <w:shd w:val="clear" w:color="auto" w:fill="006B6B"/>
          </w:tcPr>
          <w:p>
            <w:pPr>
              <w:spacing w:after="40" w:before="40" w:line="240" w:lineRule="auto"/>
            </w:pPr>
            <w:r/>
            <w:r>
              <w:rPr>
                <w:rFonts w:ascii="Calibri" w:hAnsi="Calibri"/>
                <w:b/>
                <w:i w:val="0"/>
                <w:color w:val="FFFFFF"/>
                <w:sz w:val="17"/>
              </w:rPr>
              <w:t>Latency target</w:t>
            </w:r>
          </w:p>
        </w:tc>
        <w:tc>
          <w:tcPr>
            <w:tcW w:type="dxa" w:w="4212"/>
            <w:shd w:val="clear" w:color="auto" w:fill="006B6B"/>
          </w:tcPr>
          <w:p>
            <w:pPr>
              <w:spacing w:after="40" w:before="40" w:line="240" w:lineRule="auto"/>
            </w:pPr>
            <w:r/>
            <w:r>
              <w:rPr>
                <w:rFonts w:ascii="Calibri" w:hAnsi="Calibri"/>
                <w:b/>
                <w:i w:val="0"/>
                <w:color w:val="FFFFFF"/>
                <w:sz w:val="17"/>
              </w:rPr>
              <w:t>Availability</w:t>
            </w:r>
          </w:p>
        </w:tc>
      </w:tr>
      <w:tr>
        <w:tc>
          <w:tcPr>
            <w:tcW w:type="dxa" w:w="5616"/>
          </w:tcPr>
          <w:p>
            <w:pPr>
              <w:spacing w:after="40" w:before="40" w:line="240" w:lineRule="auto"/>
            </w:pPr>
            <w:r/>
            <w:r>
              <w:rPr>
                <w:rFonts w:ascii="Calibri" w:hAnsi="Calibri"/>
                <w:b w:val="0"/>
                <w:i w:val="0"/>
                <w:color w:val="1A1A1A"/>
                <w:sz w:val="18"/>
              </w:rPr>
              <w:t>Profile, Accounts, Holdings</w:t>
            </w:r>
          </w:p>
        </w:tc>
        <w:tc>
          <w:tcPr>
            <w:tcW w:type="dxa" w:w="4212"/>
          </w:tcPr>
          <w:p>
            <w:pPr>
              <w:spacing w:after="40" w:before="40" w:line="240" w:lineRule="auto"/>
            </w:pPr>
            <w:r/>
            <w:r>
              <w:rPr>
                <w:rFonts w:ascii="Calibri" w:hAnsi="Calibri"/>
                <w:b w:val="0"/>
                <w:i w:val="0"/>
                <w:color w:val="1A1A1A"/>
                <w:sz w:val="18"/>
              </w:rPr>
              <w:t>p95 under 800 ms</w:t>
            </w:r>
          </w:p>
        </w:tc>
        <w:tc>
          <w:tcPr>
            <w:tcW w:type="dxa" w:w="4212"/>
          </w:tcPr>
          <w:p>
            <w:pPr>
              <w:spacing w:after="40" w:before="40" w:line="240" w:lineRule="auto"/>
            </w:pPr>
            <w:r/>
            <w:r>
              <w:rPr>
                <w:rFonts w:ascii="Calibri" w:hAnsi="Calibri"/>
                <w:b w:val="0"/>
                <w:i w:val="0"/>
                <w:color w:val="1A1A1A"/>
                <w:sz w:val="18"/>
              </w:rPr>
              <w:t>99.5% monthly</w:t>
            </w:r>
          </w:p>
        </w:tc>
      </w:tr>
      <w:tr>
        <w:tc>
          <w:tcPr>
            <w:tcW w:type="dxa" w:w="5616"/>
            <w:shd w:val="clear" w:color="auto" w:fill="F2F4F4"/>
          </w:tcPr>
          <w:p>
            <w:pPr>
              <w:spacing w:after="40" w:before="40" w:line="240" w:lineRule="auto"/>
            </w:pPr>
            <w:r/>
            <w:r>
              <w:rPr>
                <w:rFonts w:ascii="Calibri" w:hAnsi="Calibri"/>
                <w:b w:val="0"/>
                <w:i w:val="0"/>
                <w:color w:val="1A1A1A"/>
                <w:sz w:val="18"/>
              </w:rPr>
              <w:t>Transactions (500-record page)</w:t>
            </w:r>
          </w:p>
        </w:tc>
        <w:tc>
          <w:tcPr>
            <w:tcW w:type="dxa" w:w="4212"/>
            <w:shd w:val="clear" w:color="auto" w:fill="F2F4F4"/>
          </w:tcPr>
          <w:p>
            <w:pPr>
              <w:spacing w:after="40" w:before="40" w:line="240" w:lineRule="auto"/>
            </w:pPr>
            <w:r/>
            <w:r>
              <w:rPr>
                <w:rFonts w:ascii="Calibri" w:hAnsi="Calibri"/>
                <w:b w:val="0"/>
                <w:i w:val="0"/>
                <w:color w:val="1A1A1A"/>
                <w:sz w:val="18"/>
              </w:rPr>
              <w:t>p95 under 2 s</w:t>
            </w:r>
          </w:p>
        </w:tc>
        <w:tc>
          <w:tcPr>
            <w:tcW w:type="dxa" w:w="4212"/>
            <w:shd w:val="clear" w:color="auto" w:fill="F2F4F4"/>
          </w:tcPr>
          <w:p>
            <w:pPr>
              <w:spacing w:after="40" w:before="40" w:line="240" w:lineRule="auto"/>
            </w:pPr>
            <w:r/>
            <w:r>
              <w:rPr>
                <w:rFonts w:ascii="Calibri" w:hAnsi="Calibri"/>
                <w:b w:val="0"/>
                <w:i w:val="0"/>
                <w:color w:val="1A1A1A"/>
                <w:sz w:val="18"/>
              </w:rPr>
              <w:t>99.5% monthly</w:t>
            </w:r>
          </w:p>
        </w:tc>
      </w:tr>
      <w:tr>
        <w:tc>
          <w:tcPr>
            <w:tcW w:type="dxa" w:w="5616"/>
          </w:tcPr>
          <w:p>
            <w:pPr>
              <w:spacing w:after="40" w:before="40" w:line="240" w:lineRule="auto"/>
            </w:pPr>
            <w:r/>
            <w:r>
              <w:rPr>
                <w:rFonts w:ascii="Calibri" w:hAnsi="Calibri"/>
                <w:b w:val="0"/>
                <w:i w:val="0"/>
                <w:color w:val="1A1A1A"/>
                <w:sz w:val="18"/>
              </w:rPr>
              <w:t>Advisory output</w:t>
            </w:r>
          </w:p>
        </w:tc>
        <w:tc>
          <w:tcPr>
            <w:tcW w:type="dxa" w:w="4212"/>
          </w:tcPr>
          <w:p>
            <w:pPr>
              <w:spacing w:after="40" w:before="40" w:line="240" w:lineRule="auto"/>
            </w:pPr>
            <w:r/>
            <w:r>
              <w:rPr>
                <w:rFonts w:ascii="Calibri" w:hAnsi="Calibri"/>
                <w:b w:val="0"/>
                <w:i w:val="0"/>
                <w:color w:val="1A1A1A"/>
                <w:sz w:val="18"/>
              </w:rPr>
              <w:t>p95 under 1.5 s</w:t>
            </w:r>
          </w:p>
        </w:tc>
        <w:tc>
          <w:tcPr>
            <w:tcW w:type="dxa" w:w="4212"/>
          </w:tcPr>
          <w:p>
            <w:pPr>
              <w:spacing w:after="40" w:before="40" w:line="240" w:lineRule="auto"/>
            </w:pPr>
            <w:r/>
            <w:r>
              <w:rPr>
                <w:rFonts w:ascii="Calibri" w:hAnsi="Calibri"/>
                <w:b w:val="0"/>
                <w:i w:val="0"/>
                <w:color w:val="1A1A1A"/>
                <w:sz w:val="18"/>
              </w:rPr>
              <w:t>99.0% monthly</w:t>
            </w:r>
          </w:p>
        </w:tc>
      </w:tr>
      <w:tr>
        <w:tc>
          <w:tcPr>
            <w:tcW w:type="dxa" w:w="5616"/>
            <w:shd w:val="clear" w:color="auto" w:fill="F2F4F4"/>
          </w:tcPr>
          <w:p>
            <w:pPr>
              <w:spacing w:after="40" w:before="40" w:line="240" w:lineRule="auto"/>
            </w:pPr>
            <w:r/>
            <w:r>
              <w:rPr>
                <w:rFonts w:ascii="Calibri" w:hAnsi="Calibri"/>
                <w:b w:val="0"/>
                <w:i w:val="0"/>
                <w:color w:val="1A1A1A"/>
                <w:sz w:val="18"/>
              </w:rPr>
              <w:t>Statement ingestion (asynchronous)</w:t>
            </w:r>
          </w:p>
        </w:tc>
        <w:tc>
          <w:tcPr>
            <w:tcW w:type="dxa" w:w="4212"/>
            <w:shd w:val="clear" w:color="auto" w:fill="F2F4F4"/>
          </w:tcPr>
          <w:p>
            <w:pPr>
              <w:spacing w:after="40" w:before="40" w:line="240" w:lineRule="auto"/>
            </w:pPr>
            <w:r/>
            <w:r>
              <w:rPr>
                <w:rFonts w:ascii="Calibri" w:hAnsi="Calibri"/>
                <w:b w:val="0"/>
                <w:i w:val="0"/>
                <w:color w:val="1A1A1A"/>
                <w:sz w:val="18"/>
              </w:rPr>
              <w:t>under 60 s for a 3-page PDF</w:t>
            </w:r>
          </w:p>
        </w:tc>
        <w:tc>
          <w:tcPr>
            <w:tcW w:type="dxa" w:w="4212"/>
            <w:shd w:val="clear" w:color="auto" w:fill="F2F4F4"/>
          </w:tcPr>
          <w:p>
            <w:pPr>
              <w:spacing w:after="40" w:before="40" w:line="240" w:lineRule="auto"/>
            </w:pPr>
            <w:r/>
            <w:r>
              <w:rPr>
                <w:rFonts w:ascii="Calibri" w:hAnsi="Calibri"/>
                <w:b w:val="0"/>
                <w:i w:val="0"/>
                <w:color w:val="1A1A1A"/>
                <w:sz w:val="18"/>
              </w:rPr>
              <w:t>95% of jobs</w:t>
            </w:r>
          </w:p>
        </w:tc>
      </w:tr>
    </w:tbl>
    <w:p>
      <w:pPr>
        <w:spacing w:after="40"/>
      </w:pPr>
    </w:p>
    <w:p>
      <w:r>
        <w:br w:type="page"/>
      </w:r>
    </w:p>
    <w:p>
      <w:pPr>
        <w:spacing w:before="0" w:after="80"/>
      </w:pPr>
      <w:r>
        <w:rPr>
          <w:b/>
          <w:color w:val="006B6B"/>
          <w:sz w:val="34"/>
        </w:rPr>
        <w:t>15  Appendix A — Prototype Data Gaps</w:t>
      </w:r>
    </w:p>
    <w:p>
      <w:pPr>
        <w:spacing w:after="200"/>
      </w:pPr>
      <w:r>
        <w:rPr>
          <w:color w:val="006B6B"/>
          <w:sz w:val="12"/>
        </w:rPr>
        <w:t>────────────────────────────────────────────────────────────</w:t>
      </w:r>
    </w:p>
    <w:p>
      <w:pPr>
        <w:spacing w:after="120"/>
      </w:pPr>
      <w:r>
        <w:rPr>
          <w:b w:val="0"/>
          <w:i w:val="0"/>
          <w:color w:val="1A1A1A"/>
          <w:sz w:val="20"/>
        </w:rPr>
        <w:t>The current MITRA prototype runs entirely in the browser against two hand-authored customer profiles. The advisory calculations are genuine and port to a server unchanged; the data layer around them does not yet accept a live source. This appendix records the gaps that this field specification is intended to close, so reviewers can see what changes and what does not.</w:t>
      </w:r>
    </w:p>
    <w:p>
      <w:pPr>
        <w:spacing w:before="240" w:after="80"/>
      </w:pPr>
      <w:r>
        <w:rPr>
          <w:b/>
          <w:color w:val="006B6B"/>
          <w:sz w:val="25"/>
        </w:rPr>
        <w:t>15.1  What is already real</w:t>
      </w:r>
    </w:p>
    <w:p>
      <w:pPr>
        <w:pStyle w:val="ListBullet"/>
        <w:spacing w:after="60"/>
        <w:ind w:left="403"/>
      </w:pPr>
      <w:r>
        <w:rPr>
          <w:color w:val="1A1A1A"/>
          <w:sz w:val="20"/>
        </w:rPr>
        <w:t>All advisory mathematics — SIP future value, required-instalment solving, loan amortisation, allocation drift, capital-gains harvesting and fee-drag projection.</w:t>
      </w:r>
    </w:p>
    <w:p>
      <w:pPr>
        <w:pStyle w:val="ListBullet"/>
        <w:spacing w:after="60"/>
        <w:ind w:left="403"/>
      </w:pPr>
      <w:r>
        <w:rPr>
          <w:color w:val="1A1A1A"/>
          <w:sz w:val="20"/>
        </w:rPr>
        <w:t>CSV statement parsing, transaction categorisation, monthly aggregation and recurring-payment detection.</w:t>
      </w:r>
    </w:p>
    <w:p>
      <w:pPr>
        <w:pStyle w:val="ListBullet"/>
        <w:spacing w:after="60"/>
        <w:ind w:left="403"/>
      </w:pPr>
      <w:r>
        <w:rPr>
          <w:color w:val="1A1A1A"/>
          <w:sz w:val="20"/>
        </w:rPr>
        <w:t>A deterministic rule-based advisor that answers without any language model — a genuine resilience property, retained by design.</w:t>
      </w:r>
    </w:p>
    <w:p>
      <w:pPr>
        <w:spacing w:before="240" w:after="80"/>
      </w:pPr>
      <w:r>
        <w:rPr>
          <w:b/>
          <w:color w:val="006B6B"/>
          <w:sz w:val="25"/>
        </w:rPr>
        <w:t>15.2  What this specification replaces</w:t>
      </w:r>
    </w:p>
    <w:tbl>
      <w:tblPr>
        <w:tblStyle w:val="TableGrid"/>
        <w:tblW w:type="auto" w:w="0"/>
        <w:tblLayout w:type="fixed"/>
        <w:tblLook w:firstColumn="1" w:firstRow="1" w:lastColumn="0" w:lastRow="0" w:noHBand="0" w:noVBand="1" w:val="04A0"/>
      </w:tblPr>
      <w:tblGrid>
        <w:gridCol w:w="4704"/>
        <w:gridCol w:w="4704"/>
        <w:gridCol w:w="4704"/>
      </w:tblGrid>
      <w:tr>
        <w:trPr>
          <w:tblHeader w:val="true"/>
        </w:trPr>
        <w:tc>
          <w:tcPr>
            <w:tcW w:type="dxa" w:w="3299"/>
            <w:shd w:val="clear" w:color="auto" w:fill="006B6B"/>
          </w:tcPr>
          <w:p>
            <w:pPr>
              <w:spacing w:after="40" w:before="40" w:line="240" w:lineRule="auto"/>
            </w:pPr>
            <w:r/>
            <w:r>
              <w:rPr>
                <w:rFonts w:ascii="Calibri" w:hAnsi="Calibri"/>
                <w:b/>
                <w:i w:val="0"/>
                <w:color w:val="FFFFFF"/>
                <w:sz w:val="17"/>
              </w:rPr>
              <w:t>Prototype behaviour</w:t>
            </w:r>
          </w:p>
        </w:tc>
        <w:tc>
          <w:tcPr>
            <w:tcW w:type="dxa" w:w="5616"/>
            <w:shd w:val="clear" w:color="auto" w:fill="006B6B"/>
          </w:tcPr>
          <w:p>
            <w:pPr>
              <w:spacing w:after="40" w:before="40" w:line="240" w:lineRule="auto"/>
            </w:pPr>
            <w:r/>
            <w:r>
              <w:rPr>
                <w:rFonts w:ascii="Calibri" w:hAnsi="Calibri"/>
                <w:b/>
                <w:i w:val="0"/>
                <w:color w:val="FFFFFF"/>
                <w:sz w:val="17"/>
              </w:rPr>
              <w:t>Current state</w:t>
            </w:r>
          </w:p>
        </w:tc>
        <w:tc>
          <w:tcPr>
            <w:tcW w:type="dxa" w:w="5125"/>
            <w:shd w:val="clear" w:color="auto" w:fill="006B6B"/>
          </w:tcPr>
          <w:p>
            <w:pPr>
              <w:spacing w:after="40" w:before="40" w:line="240" w:lineRule="auto"/>
            </w:pPr>
            <w:r/>
            <w:r>
              <w:rPr>
                <w:rFonts w:ascii="Calibri" w:hAnsi="Calibri"/>
                <w:b/>
                <w:i w:val="0"/>
                <w:color w:val="FFFFFF"/>
                <w:sz w:val="17"/>
              </w:rPr>
              <w:t>Replaced by</w:t>
            </w:r>
          </w:p>
        </w:tc>
      </w:tr>
      <w:tr>
        <w:tc>
          <w:tcPr>
            <w:tcW w:type="dxa" w:w="3299"/>
          </w:tcPr>
          <w:p>
            <w:pPr>
              <w:spacing w:after="40" w:before="40" w:line="240" w:lineRule="auto"/>
            </w:pPr>
            <w:r/>
            <w:r>
              <w:rPr>
                <w:rFonts w:ascii="Calibri" w:hAnsi="Calibri"/>
                <w:b w:val="0"/>
                <w:i w:val="0"/>
                <w:color w:val="1A1A1A"/>
                <w:sz w:val="18"/>
              </w:rPr>
              <w:t>Simulated account connection</w:t>
            </w:r>
          </w:p>
        </w:tc>
        <w:tc>
          <w:tcPr>
            <w:tcW w:type="dxa" w:w="5616"/>
          </w:tcPr>
          <w:p>
            <w:pPr>
              <w:spacing w:after="40" w:before="40" w:line="240" w:lineRule="auto"/>
            </w:pPr>
            <w:r/>
            <w:r>
              <w:rPr>
                <w:rFonts w:ascii="Calibri" w:hAnsi="Calibri"/>
                <w:b w:val="0"/>
                <w:i w:val="0"/>
                <w:color w:val="1A1A1A"/>
                <w:sz w:val="18"/>
              </w:rPr>
              <w:t>Randomly generated holdings stand in for a broker or aggregator link.</w:t>
            </w:r>
          </w:p>
        </w:tc>
        <w:tc>
          <w:tcPr>
            <w:tcW w:type="dxa" w:w="5125"/>
          </w:tcPr>
          <w:p>
            <w:pPr>
              <w:spacing w:after="40" w:before="40" w:line="240" w:lineRule="auto"/>
            </w:pPr>
            <w:r/>
            <w:r>
              <w:rPr>
                <w:rFonts w:ascii="Calibri" w:hAnsi="Calibri"/>
                <w:b w:val="0"/>
                <w:i w:val="0"/>
                <w:color w:val="1A1A1A"/>
                <w:sz w:val="18"/>
              </w:rPr>
              <w:t>Sections 5–6, sourced via Account Aggregator.</w:t>
            </w:r>
          </w:p>
        </w:tc>
      </w:tr>
      <w:tr>
        <w:tc>
          <w:tcPr>
            <w:tcW w:type="dxa" w:w="3299"/>
            <w:shd w:val="clear" w:color="auto" w:fill="F2F4F4"/>
          </w:tcPr>
          <w:p>
            <w:pPr>
              <w:spacing w:after="40" w:before="40" w:line="240" w:lineRule="auto"/>
            </w:pPr>
            <w:r/>
            <w:r>
              <w:rPr>
                <w:rFonts w:ascii="Calibri" w:hAnsi="Calibri"/>
                <w:b w:val="0"/>
                <w:i w:val="0"/>
                <w:color w:val="1A1A1A"/>
                <w:sz w:val="18"/>
              </w:rPr>
              <w:t>Static market data</w:t>
            </w:r>
          </w:p>
        </w:tc>
        <w:tc>
          <w:tcPr>
            <w:tcW w:type="dxa" w:w="5616"/>
            <w:shd w:val="clear" w:color="auto" w:fill="F2F4F4"/>
          </w:tcPr>
          <w:p>
            <w:pPr>
              <w:spacing w:after="40" w:before="40" w:line="240" w:lineRule="auto"/>
            </w:pPr>
            <w:r/>
            <w:r>
              <w:rPr>
                <w:rFonts w:ascii="Calibri" w:hAnsi="Calibri"/>
                <w:b w:val="0"/>
                <w:i w:val="0"/>
                <w:color w:val="1A1A1A"/>
                <w:sz w:val="18"/>
              </w:rPr>
              <w:t>A fixed 20-point index series and a fixed headline.</w:t>
            </w:r>
          </w:p>
        </w:tc>
        <w:tc>
          <w:tcPr>
            <w:tcW w:type="dxa" w:w="5125"/>
            <w:shd w:val="clear" w:color="auto" w:fill="F2F4F4"/>
          </w:tcPr>
          <w:p>
            <w:pPr>
              <w:spacing w:after="40" w:before="40" w:line="240" w:lineRule="auto"/>
            </w:pPr>
            <w:r/>
            <w:r>
              <w:rPr>
                <w:rFonts w:ascii="Calibri" w:hAnsi="Calibri"/>
                <w:b w:val="0"/>
                <w:i w:val="0"/>
                <w:color w:val="1A1A1A"/>
                <w:sz w:val="18"/>
              </w:rPr>
              <w:t>Licensed exchange feed and AMFI NAV file.</w:t>
            </w:r>
          </w:p>
        </w:tc>
      </w:tr>
      <w:tr>
        <w:tc>
          <w:tcPr>
            <w:tcW w:type="dxa" w:w="3299"/>
          </w:tcPr>
          <w:p>
            <w:pPr>
              <w:spacing w:after="40" w:before="40" w:line="240" w:lineRule="auto"/>
            </w:pPr>
            <w:r/>
            <w:r>
              <w:rPr>
                <w:rFonts w:ascii="Calibri" w:hAnsi="Calibri"/>
                <w:b w:val="0"/>
                <w:i w:val="0"/>
                <w:color w:val="1A1A1A"/>
                <w:sz w:val="18"/>
              </w:rPr>
              <w:t>Hand-authored peer benchmarks</w:t>
            </w:r>
          </w:p>
        </w:tc>
        <w:tc>
          <w:tcPr>
            <w:tcW w:type="dxa" w:w="5616"/>
          </w:tcPr>
          <w:p>
            <w:pPr>
              <w:spacing w:after="40" w:before="40" w:line="240" w:lineRule="auto"/>
            </w:pPr>
            <w:r/>
            <w:r>
              <w:rPr>
                <w:rFonts w:ascii="Calibri" w:hAnsi="Calibri"/>
                <w:b w:val="0"/>
                <w:i w:val="0"/>
                <w:color w:val="1A1A1A"/>
                <w:sz w:val="18"/>
              </w:rPr>
              <w:t>Cohort percentiles written per persona.</w:t>
            </w:r>
          </w:p>
        </w:tc>
        <w:tc>
          <w:tcPr>
            <w:tcW w:type="dxa" w:w="5125"/>
          </w:tcPr>
          <w:p>
            <w:pPr>
              <w:spacing w:after="40" w:before="40" w:line="240" w:lineRule="auto"/>
            </w:pPr>
            <w:r/>
            <w:r>
              <w:rPr>
                <w:rFonts w:ascii="Calibri" w:hAnsi="Calibri"/>
                <w:b w:val="0"/>
                <w:i w:val="0"/>
                <w:color w:val="1A1A1A"/>
                <w:sz w:val="18"/>
              </w:rPr>
              <w:t>Computed cohort statistics with a minimum cohort size of 1,000 for anonymity.</w:t>
            </w:r>
          </w:p>
        </w:tc>
      </w:tr>
      <w:tr>
        <w:tc>
          <w:tcPr>
            <w:tcW w:type="dxa" w:w="3299"/>
            <w:shd w:val="clear" w:color="auto" w:fill="F2F4F4"/>
          </w:tcPr>
          <w:p>
            <w:pPr>
              <w:spacing w:after="40" w:before="40" w:line="240" w:lineRule="auto"/>
            </w:pPr>
            <w:r/>
            <w:r>
              <w:rPr>
                <w:rFonts w:ascii="Calibri" w:hAnsi="Calibri"/>
                <w:b w:val="0"/>
                <w:i w:val="0"/>
                <w:color w:val="1A1A1A"/>
                <w:sz w:val="18"/>
              </w:rPr>
              <w:t>Embedded assumptions</w:t>
            </w:r>
          </w:p>
        </w:tc>
        <w:tc>
          <w:tcPr>
            <w:tcW w:type="dxa" w:w="5616"/>
            <w:shd w:val="clear" w:color="auto" w:fill="F2F4F4"/>
          </w:tcPr>
          <w:p>
            <w:pPr>
              <w:spacing w:after="40" w:before="40" w:line="240" w:lineRule="auto"/>
            </w:pPr>
            <w:r/>
            <w:r>
              <w:rPr>
                <w:rFonts w:ascii="Calibri" w:hAnsi="Calibri"/>
                <w:b w:val="0"/>
                <w:i w:val="0"/>
                <w:color w:val="1A1A1A"/>
                <w:sz w:val="18"/>
              </w:rPr>
              <w:t>Emergency-fund target, tax slab, deduction limits and expected returns fixed in code.</w:t>
            </w:r>
          </w:p>
        </w:tc>
        <w:tc>
          <w:tcPr>
            <w:tcW w:type="dxa" w:w="5125"/>
            <w:shd w:val="clear" w:color="auto" w:fill="F2F4F4"/>
          </w:tcPr>
          <w:p>
            <w:pPr>
              <w:spacing w:after="40" w:before="40" w:line="240" w:lineRule="auto"/>
            </w:pPr>
            <w:r/>
            <w:r>
              <w:rPr>
                <w:rFonts w:ascii="Calibri" w:hAnsi="Calibri"/>
                <w:b w:val="0"/>
                <w:i w:val="0"/>
                <w:color w:val="1A1A1A"/>
                <w:sz w:val="18"/>
              </w:rPr>
              <w:t>Versioned policy parameters returned in assumption_set (Section 12.3).</w:t>
            </w:r>
          </w:p>
        </w:tc>
      </w:tr>
      <w:tr>
        <w:tc>
          <w:tcPr>
            <w:tcW w:type="dxa" w:w="3299"/>
          </w:tcPr>
          <w:p>
            <w:pPr>
              <w:spacing w:after="40" w:before="40" w:line="240" w:lineRule="auto"/>
            </w:pPr>
            <w:r/>
            <w:r>
              <w:rPr>
                <w:rFonts w:ascii="Calibri" w:hAnsi="Calibri"/>
                <w:b w:val="0"/>
                <w:i w:val="0"/>
                <w:color w:val="1A1A1A"/>
                <w:sz w:val="18"/>
              </w:rPr>
              <w:t>Client-side credentials</w:t>
            </w:r>
          </w:p>
        </w:tc>
        <w:tc>
          <w:tcPr>
            <w:tcW w:type="dxa" w:w="5616"/>
          </w:tcPr>
          <w:p>
            <w:pPr>
              <w:spacing w:after="40" w:before="40" w:line="240" w:lineRule="auto"/>
            </w:pPr>
            <w:r/>
            <w:r>
              <w:rPr>
                <w:rFonts w:ascii="Calibri" w:hAnsi="Calibri"/>
                <w:b w:val="0"/>
                <w:i w:val="0"/>
                <w:color w:val="1A1A1A"/>
                <w:sz w:val="18"/>
              </w:rPr>
              <w:t>Prototype-only session handling and a language-model key held in the browser.</w:t>
            </w:r>
          </w:p>
        </w:tc>
        <w:tc>
          <w:tcPr>
            <w:tcW w:type="dxa" w:w="5125"/>
          </w:tcPr>
          <w:p>
            <w:pPr>
              <w:spacing w:after="40" w:before="40" w:line="240" w:lineRule="auto"/>
            </w:pPr>
            <w:r/>
            <w:r>
              <w:rPr>
                <w:rFonts w:ascii="Calibri" w:hAnsi="Calibri"/>
                <w:b w:val="0"/>
                <w:i w:val="0"/>
                <w:color w:val="1A1A1A"/>
                <w:sz w:val="18"/>
              </w:rPr>
              <w:t>Server-side identity federation and server-side model invocation.</w:t>
            </w:r>
          </w:p>
        </w:tc>
      </w:tr>
      <w:tr>
        <w:tc>
          <w:tcPr>
            <w:tcW w:type="dxa" w:w="3299"/>
            <w:shd w:val="clear" w:color="auto" w:fill="F2F4F4"/>
          </w:tcPr>
          <w:p>
            <w:pPr>
              <w:spacing w:after="40" w:before="40" w:line="240" w:lineRule="auto"/>
            </w:pPr>
            <w:r/>
            <w:r>
              <w:rPr>
                <w:rFonts w:ascii="Calibri" w:hAnsi="Calibri"/>
                <w:b w:val="0"/>
                <w:i w:val="0"/>
                <w:color w:val="1A1A1A"/>
                <w:sz w:val="18"/>
              </w:rPr>
              <w:t>Silent PDF handling</w:t>
            </w:r>
          </w:p>
        </w:tc>
        <w:tc>
          <w:tcPr>
            <w:tcW w:type="dxa" w:w="5616"/>
            <w:shd w:val="clear" w:color="auto" w:fill="F2F4F4"/>
          </w:tcPr>
          <w:p>
            <w:pPr>
              <w:spacing w:after="40" w:before="40" w:line="240" w:lineRule="auto"/>
            </w:pPr>
            <w:r/>
            <w:r>
              <w:rPr>
                <w:rFonts w:ascii="Calibri" w:hAnsi="Calibri"/>
                <w:b w:val="0"/>
                <w:i w:val="0"/>
                <w:color w:val="1A1A1A"/>
                <w:sz w:val="18"/>
              </w:rPr>
              <w:t>PDF statement uploads are accepted but not parsed.</w:t>
            </w:r>
          </w:p>
        </w:tc>
        <w:tc>
          <w:tcPr>
            <w:tcW w:type="dxa" w:w="5125"/>
            <w:shd w:val="clear" w:color="auto" w:fill="F2F4F4"/>
          </w:tcPr>
          <w:p>
            <w:pPr>
              <w:spacing w:after="40" w:before="40" w:line="240" w:lineRule="auto"/>
            </w:pPr>
            <w:r/>
            <w:r>
              <w:rPr>
                <w:rFonts w:ascii="Calibri" w:hAnsi="Calibri"/>
                <w:b w:val="0"/>
                <w:i w:val="0"/>
                <w:color w:val="1A1A1A"/>
                <w:sz w:val="18"/>
              </w:rPr>
              <w:t>Server-side extraction with an explicit per-stage job status.</w:t>
            </w:r>
          </w:p>
        </w:tc>
      </w:tr>
    </w:tbl>
    <w:p>
      <w:pPr>
        <w:spacing w:after="40"/>
      </w:pPr>
    </w:p>
    <w:p>
      <w:pPr>
        <w:spacing w:before="240" w:after="80"/>
      </w:pPr>
      <w:r>
        <w:rPr>
          <w:b/>
          <w:color w:val="006B6B"/>
          <w:sz w:val="25"/>
        </w:rPr>
        <w:t>15.3  Sequencing</w:t>
      </w:r>
    </w:p>
    <w:p>
      <w:pPr>
        <w:spacing w:after="120"/>
      </w:pPr>
      <w:r>
        <w:rPr>
          <w:b w:val="0"/>
          <w:i w:val="0"/>
          <w:color w:val="1A1A1A"/>
          <w:sz w:val="20"/>
        </w:rPr>
        <w:t>The field specification does not depend on Account Aggregator onboarding. A synthetic corpus conforming to these field definitions — including a customer holding no investments, which the current prototype does not handle — unblocks the entire build while the aggregator agreement proceeds in parallel.</w:t>
      </w:r>
    </w:p>
    <w:p>
      <w:r>
        <w:br w:type="page"/>
      </w:r>
    </w:p>
    <w:p>
      <w:pPr>
        <w:spacing w:before="0" w:after="80"/>
      </w:pPr>
      <w:r>
        <w:rPr>
          <w:b/>
          <w:color w:val="006B6B"/>
          <w:sz w:val="34"/>
        </w:rPr>
        <w:t>16  Appendix B — Open Points for IDBI</w:t>
      </w:r>
    </w:p>
    <w:p>
      <w:pPr>
        <w:spacing w:after="200"/>
      </w:pPr>
      <w:r>
        <w:rPr>
          <w:color w:val="006B6B"/>
          <w:sz w:val="12"/>
        </w:rPr>
        <w:t>────────────────────────────────────────────────────────────</w:t>
      </w:r>
    </w:p>
    <w:p>
      <w:pPr>
        <w:spacing w:after="120"/>
      </w:pPr>
      <w:r>
        <w:rPr>
          <w:b w:val="0"/>
          <w:i w:val="0"/>
          <w:color w:val="5A6363"/>
          <w:sz w:val="19"/>
        </w:rPr>
        <w:t>Items requiring a decision or confirmation from the bank before the field list can be frozen.</w:t>
      </w:r>
    </w:p>
    <w:tbl>
      <w:tblPr>
        <w:tblStyle w:val="TableGrid"/>
        <w:tblW w:type="auto" w:w="0"/>
        <w:tblLayout w:type="fixed"/>
        <w:tblLook w:firstColumn="1" w:firstRow="1" w:lastColumn="0" w:lastRow="0" w:noHBand="0" w:noVBand="1" w:val="04A0"/>
      </w:tblPr>
      <w:tblGrid>
        <w:gridCol w:w="3528"/>
        <w:gridCol w:w="3528"/>
        <w:gridCol w:w="3528"/>
        <w:gridCol w:w="3528"/>
      </w:tblGrid>
      <w:tr>
        <w:trPr>
          <w:tblHeader w:val="true"/>
        </w:trPr>
        <w:tc>
          <w:tcPr>
            <w:tcW w:type="dxa" w:w="562"/>
            <w:shd w:val="clear" w:color="auto" w:fill="006B6B"/>
          </w:tcPr>
          <w:p>
            <w:pPr>
              <w:spacing w:after="40" w:before="40" w:line="240" w:lineRule="auto"/>
            </w:pPr>
            <w:r/>
            <w:r>
              <w:rPr>
                <w:rFonts w:ascii="Calibri" w:hAnsi="Calibri"/>
                <w:b/>
                <w:i w:val="0"/>
                <w:color w:val="FFFFFF"/>
                <w:sz w:val="17"/>
              </w:rPr>
              <w:t>#</w:t>
            </w:r>
          </w:p>
        </w:tc>
        <w:tc>
          <w:tcPr>
            <w:tcW w:type="dxa" w:w="3299"/>
            <w:shd w:val="clear" w:color="auto" w:fill="006B6B"/>
          </w:tcPr>
          <w:p>
            <w:pPr>
              <w:spacing w:after="40" w:before="40" w:line="240" w:lineRule="auto"/>
            </w:pPr>
            <w:r/>
            <w:r>
              <w:rPr>
                <w:rFonts w:ascii="Calibri" w:hAnsi="Calibri"/>
                <w:b/>
                <w:i w:val="0"/>
                <w:color w:val="FFFFFF"/>
                <w:sz w:val="17"/>
              </w:rPr>
              <w:t>Item</w:t>
            </w:r>
          </w:p>
        </w:tc>
        <w:tc>
          <w:tcPr>
            <w:tcW w:type="dxa" w:w="4914"/>
            <w:shd w:val="clear" w:color="auto" w:fill="006B6B"/>
          </w:tcPr>
          <w:p>
            <w:pPr>
              <w:spacing w:after="40" w:before="40" w:line="240" w:lineRule="auto"/>
            </w:pPr>
            <w:r/>
            <w:r>
              <w:rPr>
                <w:rFonts w:ascii="Calibri" w:hAnsi="Calibri"/>
                <w:b/>
                <w:i w:val="0"/>
                <w:color w:val="FFFFFF"/>
                <w:sz w:val="17"/>
              </w:rPr>
              <w:t>Question</w:t>
            </w:r>
          </w:p>
        </w:tc>
        <w:tc>
          <w:tcPr>
            <w:tcW w:type="dxa" w:w="5265"/>
            <w:shd w:val="clear" w:color="auto" w:fill="006B6B"/>
          </w:tcPr>
          <w:p>
            <w:pPr>
              <w:spacing w:after="40" w:before="40" w:line="240" w:lineRule="auto"/>
            </w:pPr>
            <w:r/>
            <w:r>
              <w:rPr>
                <w:rFonts w:ascii="Calibri" w:hAnsi="Calibri"/>
                <w:b/>
                <w:i w:val="0"/>
                <w:color w:val="FFFFFF"/>
                <w:sz w:val="17"/>
              </w:rPr>
              <w:t>Why it matters</w:t>
            </w:r>
          </w:p>
        </w:tc>
      </w:tr>
      <w:tr>
        <w:tc>
          <w:tcPr>
            <w:tcW w:type="dxa" w:w="562"/>
          </w:tcPr>
          <w:p>
            <w:pPr>
              <w:spacing w:after="40" w:before="40" w:line="240" w:lineRule="auto"/>
            </w:pPr>
            <w:r/>
            <w:r>
              <w:rPr>
                <w:rFonts w:ascii="Calibri" w:hAnsi="Calibri"/>
                <w:b w:val="0"/>
                <w:i w:val="0"/>
                <w:color w:val="1A1A1A"/>
                <w:sz w:val="18"/>
              </w:rPr>
              <w:t>1</w:t>
            </w:r>
          </w:p>
        </w:tc>
        <w:tc>
          <w:tcPr>
            <w:tcW w:type="dxa" w:w="3299"/>
          </w:tcPr>
          <w:p>
            <w:pPr>
              <w:spacing w:after="40" w:before="40" w:line="240" w:lineRule="auto"/>
            </w:pPr>
            <w:r/>
            <w:r>
              <w:rPr>
                <w:rFonts w:ascii="Calibri" w:hAnsi="Calibri"/>
                <w:b w:val="0"/>
                <w:i w:val="0"/>
                <w:color w:val="1A1A1A"/>
                <w:sz w:val="18"/>
              </w:rPr>
              <w:t>Source of record for profile and accounts</w:t>
            </w:r>
          </w:p>
        </w:tc>
        <w:tc>
          <w:tcPr>
            <w:tcW w:type="dxa" w:w="4914"/>
          </w:tcPr>
          <w:p>
            <w:pPr>
              <w:spacing w:after="40" w:before="40" w:line="240" w:lineRule="auto"/>
            </w:pPr>
            <w:r/>
            <w:r>
              <w:rPr>
                <w:rFonts w:ascii="Calibri" w:hAnsi="Calibri"/>
                <w:b w:val="0"/>
                <w:i w:val="0"/>
                <w:color w:val="1A1A1A"/>
                <w:sz w:val="18"/>
              </w:rPr>
              <w:t>Core Banking direct, or Account Aggregator for all sources uniformly?</w:t>
            </w:r>
          </w:p>
        </w:tc>
        <w:tc>
          <w:tcPr>
            <w:tcW w:type="dxa" w:w="5265"/>
          </w:tcPr>
          <w:p>
            <w:pPr>
              <w:spacing w:after="40" w:before="40" w:line="240" w:lineRule="auto"/>
            </w:pPr>
            <w:r/>
            <w:r>
              <w:rPr>
                <w:rFonts w:ascii="Calibri" w:hAnsi="Calibri"/>
                <w:b w:val="0"/>
                <w:i w:val="0"/>
                <w:color w:val="1A1A1A"/>
                <w:sz w:val="18"/>
              </w:rPr>
              <w:t>Determines whether Sections 4–5 are one integration or two.</w:t>
            </w:r>
          </w:p>
        </w:tc>
      </w:tr>
      <w:tr>
        <w:tc>
          <w:tcPr>
            <w:tcW w:type="dxa" w:w="562"/>
            <w:shd w:val="clear" w:color="auto" w:fill="F2F4F4"/>
          </w:tcPr>
          <w:p>
            <w:pPr>
              <w:spacing w:after="40" w:before="40" w:line="240" w:lineRule="auto"/>
            </w:pPr>
            <w:r/>
            <w:r>
              <w:rPr>
                <w:rFonts w:ascii="Calibri" w:hAnsi="Calibri"/>
                <w:b w:val="0"/>
                <w:i w:val="0"/>
                <w:color w:val="1A1A1A"/>
                <w:sz w:val="18"/>
              </w:rPr>
              <w:t>2</w:t>
            </w:r>
          </w:p>
        </w:tc>
        <w:tc>
          <w:tcPr>
            <w:tcW w:type="dxa" w:w="3299"/>
            <w:shd w:val="clear" w:color="auto" w:fill="F2F4F4"/>
          </w:tcPr>
          <w:p>
            <w:pPr>
              <w:spacing w:after="40" w:before="40" w:line="240" w:lineRule="auto"/>
            </w:pPr>
            <w:r/>
            <w:r>
              <w:rPr>
                <w:rFonts w:ascii="Calibri" w:hAnsi="Calibri"/>
                <w:b w:val="0"/>
                <w:i w:val="0"/>
                <w:color w:val="1A1A1A"/>
                <w:sz w:val="18"/>
              </w:rPr>
              <w:t>Transaction history depth available</w:t>
            </w:r>
          </w:p>
        </w:tc>
        <w:tc>
          <w:tcPr>
            <w:tcW w:type="dxa" w:w="4914"/>
            <w:shd w:val="clear" w:color="auto" w:fill="F2F4F4"/>
          </w:tcPr>
          <w:p>
            <w:pPr>
              <w:spacing w:after="40" w:before="40" w:line="240" w:lineRule="auto"/>
            </w:pPr>
            <w:r/>
            <w:r>
              <w:rPr>
                <w:rFonts w:ascii="Calibri" w:hAnsi="Calibri"/>
                <w:b w:val="0"/>
                <w:i w:val="0"/>
                <w:color w:val="1A1A1A"/>
                <w:sz w:val="18"/>
              </w:rPr>
              <w:t>Is 24 months retrievable, or is 6 the practical limit?</w:t>
            </w:r>
          </w:p>
        </w:tc>
        <w:tc>
          <w:tcPr>
            <w:tcW w:type="dxa" w:w="5265"/>
            <w:shd w:val="clear" w:color="auto" w:fill="F2F4F4"/>
          </w:tcPr>
          <w:p>
            <w:pPr>
              <w:spacing w:after="40" w:before="40" w:line="240" w:lineRule="auto"/>
            </w:pPr>
            <w:r/>
            <w:r>
              <w:rPr>
                <w:rFonts w:ascii="Calibri" w:hAnsi="Calibri"/>
                <w:b w:val="0"/>
                <w:i w:val="0"/>
                <w:color w:val="1A1A1A"/>
                <w:sz w:val="18"/>
              </w:rPr>
              <w:t>Below 12 months, year-on-year comparison and seasonality adjustment are not possible.</w:t>
            </w:r>
          </w:p>
        </w:tc>
      </w:tr>
      <w:tr>
        <w:tc>
          <w:tcPr>
            <w:tcW w:type="dxa" w:w="562"/>
          </w:tcPr>
          <w:p>
            <w:pPr>
              <w:spacing w:after="40" w:before="40" w:line="240" w:lineRule="auto"/>
            </w:pPr>
            <w:r/>
            <w:r>
              <w:rPr>
                <w:rFonts w:ascii="Calibri" w:hAnsi="Calibri"/>
                <w:b w:val="0"/>
                <w:i w:val="0"/>
                <w:color w:val="1A1A1A"/>
                <w:sz w:val="18"/>
              </w:rPr>
              <w:t>3</w:t>
            </w:r>
          </w:p>
        </w:tc>
        <w:tc>
          <w:tcPr>
            <w:tcW w:type="dxa" w:w="3299"/>
          </w:tcPr>
          <w:p>
            <w:pPr>
              <w:spacing w:after="40" w:before="40" w:line="240" w:lineRule="auto"/>
            </w:pPr>
            <w:r/>
            <w:r>
              <w:rPr>
                <w:rFonts w:ascii="Calibri" w:hAnsi="Calibri"/>
                <w:b w:val="0"/>
                <w:i w:val="0"/>
                <w:color w:val="1A1A1A"/>
                <w:sz w:val="18"/>
              </w:rPr>
              <w:t>Categorisation ownership</w:t>
            </w:r>
          </w:p>
        </w:tc>
        <w:tc>
          <w:tcPr>
            <w:tcW w:type="dxa" w:w="4914"/>
          </w:tcPr>
          <w:p>
            <w:pPr>
              <w:spacing w:after="40" w:before="40" w:line="240" w:lineRule="auto"/>
            </w:pPr>
            <w:r/>
            <w:r>
              <w:rPr>
                <w:rFonts w:ascii="Calibri" w:hAnsi="Calibri"/>
                <w:b w:val="0"/>
                <w:i w:val="0"/>
                <w:color w:val="1A1A1A"/>
                <w:sz w:val="18"/>
              </w:rPr>
              <w:t>Does the bank supply category_code, or does MITRA derive it?</w:t>
            </w:r>
          </w:p>
        </w:tc>
        <w:tc>
          <w:tcPr>
            <w:tcW w:type="dxa" w:w="5265"/>
          </w:tcPr>
          <w:p>
            <w:pPr>
              <w:spacing w:after="40" w:before="40" w:line="240" w:lineRule="auto"/>
            </w:pPr>
            <w:r/>
            <w:r>
              <w:rPr>
                <w:rFonts w:ascii="Calibri" w:hAnsi="Calibri"/>
                <w:b w:val="0"/>
                <w:i w:val="0"/>
                <w:color w:val="1A1A1A"/>
                <w:sz w:val="18"/>
              </w:rPr>
              <w:t>If the bank supplies it, Section 7.3 must be reconciled with the existing internal taxonomy.</w:t>
            </w:r>
          </w:p>
        </w:tc>
      </w:tr>
      <w:tr>
        <w:tc>
          <w:tcPr>
            <w:tcW w:type="dxa" w:w="562"/>
            <w:shd w:val="clear" w:color="auto" w:fill="F2F4F4"/>
          </w:tcPr>
          <w:p>
            <w:pPr>
              <w:spacing w:after="40" w:before="40" w:line="240" w:lineRule="auto"/>
            </w:pPr>
            <w:r/>
            <w:r>
              <w:rPr>
                <w:rFonts w:ascii="Calibri" w:hAnsi="Calibri"/>
                <w:b w:val="0"/>
                <w:i w:val="0"/>
                <w:color w:val="1A1A1A"/>
                <w:sz w:val="18"/>
              </w:rPr>
              <w:t>4</w:t>
            </w:r>
          </w:p>
        </w:tc>
        <w:tc>
          <w:tcPr>
            <w:tcW w:type="dxa" w:w="3299"/>
            <w:shd w:val="clear" w:color="auto" w:fill="F2F4F4"/>
          </w:tcPr>
          <w:p>
            <w:pPr>
              <w:spacing w:after="40" w:before="40" w:line="240" w:lineRule="auto"/>
            </w:pPr>
            <w:r/>
            <w:r>
              <w:rPr>
                <w:rFonts w:ascii="Calibri" w:hAnsi="Calibri"/>
                <w:b w:val="0"/>
                <w:i w:val="0"/>
                <w:color w:val="1A1A1A"/>
                <w:sz w:val="18"/>
              </w:rPr>
              <w:t>Insurance data availability</w:t>
            </w:r>
          </w:p>
        </w:tc>
        <w:tc>
          <w:tcPr>
            <w:tcW w:type="dxa" w:w="4914"/>
            <w:shd w:val="clear" w:color="auto" w:fill="F2F4F4"/>
          </w:tcPr>
          <w:p>
            <w:pPr>
              <w:spacing w:after="40" w:before="40" w:line="240" w:lineRule="auto"/>
            </w:pPr>
            <w:r/>
            <w:r>
              <w:rPr>
                <w:rFonts w:ascii="Calibri" w:hAnsi="Calibri"/>
                <w:b w:val="0"/>
                <w:i w:val="0"/>
                <w:color w:val="1A1A1A"/>
                <w:sz w:val="18"/>
              </w:rPr>
              <w:t>Are policies retrievable, including employer group cover?</w:t>
            </w:r>
          </w:p>
        </w:tc>
        <w:tc>
          <w:tcPr>
            <w:tcW w:type="dxa" w:w="5265"/>
            <w:shd w:val="clear" w:color="auto" w:fill="F2F4F4"/>
          </w:tcPr>
          <w:p>
            <w:pPr>
              <w:spacing w:after="40" w:before="40" w:line="240" w:lineRule="auto"/>
            </w:pPr>
            <w:r/>
            <w:r>
              <w:rPr>
                <w:rFonts w:ascii="Calibri" w:hAnsi="Calibri"/>
                <w:b w:val="0"/>
                <w:i w:val="0"/>
                <w:color w:val="1A1A1A"/>
                <w:sz w:val="18"/>
              </w:rPr>
              <w:t>Employer cover that lapses on job change is the most commonly missed protection gap; without portable_flag the analysis materially understates it.</w:t>
            </w:r>
          </w:p>
        </w:tc>
      </w:tr>
      <w:tr>
        <w:tc>
          <w:tcPr>
            <w:tcW w:type="dxa" w:w="562"/>
          </w:tcPr>
          <w:p>
            <w:pPr>
              <w:spacing w:after="40" w:before="40" w:line="240" w:lineRule="auto"/>
            </w:pPr>
            <w:r/>
            <w:r>
              <w:rPr>
                <w:rFonts w:ascii="Calibri" w:hAnsi="Calibri"/>
                <w:b w:val="0"/>
                <w:i w:val="0"/>
                <w:color w:val="1A1A1A"/>
                <w:sz w:val="18"/>
              </w:rPr>
              <w:t>5</w:t>
            </w:r>
          </w:p>
        </w:tc>
        <w:tc>
          <w:tcPr>
            <w:tcW w:type="dxa" w:w="3299"/>
          </w:tcPr>
          <w:p>
            <w:pPr>
              <w:spacing w:after="40" w:before="40" w:line="240" w:lineRule="auto"/>
            </w:pPr>
            <w:r/>
            <w:r>
              <w:rPr>
                <w:rFonts w:ascii="Calibri" w:hAnsi="Calibri"/>
                <w:b w:val="0"/>
                <w:i w:val="0"/>
                <w:color w:val="1A1A1A"/>
                <w:sz w:val="18"/>
              </w:rPr>
              <w:t>Peer benchmark feasibility</w:t>
            </w:r>
          </w:p>
        </w:tc>
        <w:tc>
          <w:tcPr>
            <w:tcW w:type="dxa" w:w="4914"/>
          </w:tcPr>
          <w:p>
            <w:pPr>
              <w:spacing w:after="40" w:before="40" w:line="240" w:lineRule="auto"/>
            </w:pPr>
            <w:r/>
            <w:r>
              <w:rPr>
                <w:rFonts w:ascii="Calibri" w:hAnsi="Calibri"/>
                <w:b w:val="0"/>
                <w:i w:val="0"/>
                <w:color w:val="1A1A1A"/>
                <w:sz w:val="18"/>
              </w:rPr>
              <w:t>Can anonymised cohort statistics be computed internally?</w:t>
            </w:r>
          </w:p>
        </w:tc>
        <w:tc>
          <w:tcPr>
            <w:tcW w:type="dxa" w:w="5265"/>
          </w:tcPr>
          <w:p>
            <w:pPr>
              <w:spacing w:after="40" w:before="40" w:line="240" w:lineRule="auto"/>
            </w:pPr>
            <w:r/>
            <w:r>
              <w:rPr>
                <w:rFonts w:ascii="Calibri" w:hAnsi="Calibri"/>
                <w:b w:val="0"/>
                <w:i w:val="0"/>
                <w:color w:val="1A1A1A"/>
                <w:sz w:val="18"/>
              </w:rPr>
              <w:t>If not, the peer-comparison feature is withdrawn rather than shown against synthetic baselines.</w:t>
            </w:r>
          </w:p>
        </w:tc>
      </w:tr>
      <w:tr>
        <w:tc>
          <w:tcPr>
            <w:tcW w:type="dxa" w:w="562"/>
            <w:shd w:val="clear" w:color="auto" w:fill="F2F4F4"/>
          </w:tcPr>
          <w:p>
            <w:pPr>
              <w:spacing w:after="40" w:before="40" w:line="240" w:lineRule="auto"/>
            </w:pPr>
            <w:r/>
            <w:r>
              <w:rPr>
                <w:rFonts w:ascii="Calibri" w:hAnsi="Calibri"/>
                <w:b w:val="0"/>
                <w:i w:val="0"/>
                <w:color w:val="1A1A1A"/>
                <w:sz w:val="18"/>
              </w:rPr>
              <w:t>6</w:t>
            </w:r>
          </w:p>
        </w:tc>
        <w:tc>
          <w:tcPr>
            <w:tcW w:type="dxa" w:w="3299"/>
            <w:shd w:val="clear" w:color="auto" w:fill="F2F4F4"/>
          </w:tcPr>
          <w:p>
            <w:pPr>
              <w:spacing w:after="40" w:before="40" w:line="240" w:lineRule="auto"/>
            </w:pPr>
            <w:r/>
            <w:r>
              <w:rPr>
                <w:rFonts w:ascii="Calibri" w:hAnsi="Calibri"/>
                <w:b w:val="0"/>
                <w:i w:val="0"/>
                <w:color w:val="1A1A1A"/>
                <w:sz w:val="18"/>
              </w:rPr>
              <w:t>Advisory positioning</w:t>
            </w:r>
          </w:p>
        </w:tc>
        <w:tc>
          <w:tcPr>
            <w:tcW w:type="dxa" w:w="4914"/>
            <w:shd w:val="clear" w:color="auto" w:fill="F2F4F4"/>
          </w:tcPr>
          <w:p>
            <w:pPr>
              <w:spacing w:after="40" w:before="40" w:line="240" w:lineRule="auto"/>
            </w:pPr>
            <w:r/>
            <w:r>
              <w:rPr>
                <w:rFonts w:ascii="Calibri" w:hAnsi="Calibri"/>
                <w:b w:val="0"/>
                <w:i w:val="0"/>
                <w:color w:val="1A1A1A"/>
                <w:sz w:val="18"/>
              </w:rPr>
              <w:t>Confirm education-and-guidance framing versus registered investment advice.</w:t>
            </w:r>
          </w:p>
        </w:tc>
        <w:tc>
          <w:tcPr>
            <w:tcW w:type="dxa" w:w="5265"/>
            <w:shd w:val="clear" w:color="auto" w:fill="F2F4F4"/>
          </w:tcPr>
          <w:p>
            <w:pPr>
              <w:spacing w:after="40" w:before="40" w:line="240" w:lineRule="auto"/>
            </w:pPr>
            <w:r/>
            <w:r>
              <w:rPr>
                <w:rFonts w:ascii="Calibri" w:hAnsi="Calibri"/>
                <w:b w:val="0"/>
                <w:i w:val="0"/>
                <w:color w:val="1A1A1A"/>
                <w:sz w:val="18"/>
              </w:rPr>
              <w:t>Determines whether MITRA may name specific schemes or must restrict itself to asset-class guidance.</w:t>
            </w:r>
          </w:p>
        </w:tc>
      </w:tr>
      <w:tr>
        <w:tc>
          <w:tcPr>
            <w:tcW w:type="dxa" w:w="562"/>
          </w:tcPr>
          <w:p>
            <w:pPr>
              <w:spacing w:after="40" w:before="40" w:line="240" w:lineRule="auto"/>
            </w:pPr>
            <w:r/>
            <w:r>
              <w:rPr>
                <w:rFonts w:ascii="Calibri" w:hAnsi="Calibri"/>
                <w:b w:val="0"/>
                <w:i w:val="0"/>
                <w:color w:val="1A1A1A"/>
                <w:sz w:val="18"/>
              </w:rPr>
              <w:t>7</w:t>
            </w:r>
          </w:p>
        </w:tc>
        <w:tc>
          <w:tcPr>
            <w:tcW w:type="dxa" w:w="3299"/>
          </w:tcPr>
          <w:p>
            <w:pPr>
              <w:spacing w:after="40" w:before="40" w:line="240" w:lineRule="auto"/>
            </w:pPr>
            <w:r/>
            <w:r>
              <w:rPr>
                <w:rFonts w:ascii="Calibri" w:hAnsi="Calibri"/>
                <w:b w:val="0"/>
                <w:i w:val="0"/>
                <w:color w:val="1A1A1A"/>
                <w:sz w:val="18"/>
              </w:rPr>
              <w:t>Sandbox data source</w:t>
            </w:r>
          </w:p>
        </w:tc>
        <w:tc>
          <w:tcPr>
            <w:tcW w:type="dxa" w:w="4914"/>
          </w:tcPr>
          <w:p>
            <w:pPr>
              <w:spacing w:after="40" w:before="40" w:line="240" w:lineRule="auto"/>
            </w:pPr>
            <w:r/>
            <w:r>
              <w:rPr>
                <w:rFonts w:ascii="Calibri" w:hAnsi="Calibri"/>
                <w:b w:val="0"/>
                <w:i w:val="0"/>
                <w:color w:val="1A1A1A"/>
                <w:sz w:val="18"/>
              </w:rPr>
              <w:t>Account Aggregator sandbox, or synthetic corpus only for the first phase?</w:t>
            </w:r>
          </w:p>
        </w:tc>
        <w:tc>
          <w:tcPr>
            <w:tcW w:type="dxa" w:w="5265"/>
          </w:tcPr>
          <w:p>
            <w:pPr>
              <w:spacing w:after="40" w:before="40" w:line="240" w:lineRule="auto"/>
            </w:pPr>
            <w:r/>
            <w:r>
              <w:rPr>
                <w:rFonts w:ascii="Calibri" w:hAnsi="Calibri"/>
                <w:b w:val="0"/>
                <w:i w:val="0"/>
                <w:color w:val="1A1A1A"/>
                <w:sz w:val="18"/>
              </w:rPr>
              <w:t>Recommendation: synthetic first. Aggregator onboarding carries a 4–8 week lead time and should not gate the build.</w:t>
            </w:r>
          </w:p>
        </w:tc>
      </w:tr>
      <w:tr>
        <w:tc>
          <w:tcPr>
            <w:tcW w:type="dxa" w:w="562"/>
            <w:shd w:val="clear" w:color="auto" w:fill="F2F4F4"/>
          </w:tcPr>
          <w:p>
            <w:pPr>
              <w:spacing w:after="40" w:before="40" w:line="240" w:lineRule="auto"/>
            </w:pPr>
            <w:r/>
            <w:r>
              <w:rPr>
                <w:rFonts w:ascii="Calibri" w:hAnsi="Calibri"/>
                <w:b w:val="0"/>
                <w:i w:val="0"/>
                <w:color w:val="1A1A1A"/>
                <w:sz w:val="18"/>
              </w:rPr>
              <w:t>8</w:t>
            </w:r>
          </w:p>
        </w:tc>
        <w:tc>
          <w:tcPr>
            <w:tcW w:type="dxa" w:w="3299"/>
            <w:shd w:val="clear" w:color="auto" w:fill="F2F4F4"/>
          </w:tcPr>
          <w:p>
            <w:pPr>
              <w:spacing w:after="40" w:before="40" w:line="240" w:lineRule="auto"/>
            </w:pPr>
            <w:r/>
            <w:r>
              <w:rPr>
                <w:rFonts w:ascii="Calibri" w:hAnsi="Calibri"/>
                <w:b w:val="0"/>
                <w:i w:val="0"/>
                <w:color w:val="1A1A1A"/>
                <w:sz w:val="18"/>
              </w:rPr>
              <w:t>Policy parameter ownership</w:t>
            </w:r>
          </w:p>
        </w:tc>
        <w:tc>
          <w:tcPr>
            <w:tcW w:type="dxa" w:w="4914"/>
            <w:shd w:val="clear" w:color="auto" w:fill="F2F4F4"/>
          </w:tcPr>
          <w:p>
            <w:pPr>
              <w:spacing w:after="40" w:before="40" w:line="240" w:lineRule="auto"/>
            </w:pPr>
            <w:r/>
            <w:r>
              <w:rPr>
                <w:rFonts w:ascii="Calibri" w:hAnsi="Calibri"/>
                <w:b w:val="0"/>
                <w:i w:val="0"/>
                <w:color w:val="1A1A1A"/>
                <w:sz w:val="18"/>
              </w:rPr>
              <w:t>Who maintains deduction limits, cover multiples and expected-return assumptions?</w:t>
            </w:r>
          </w:p>
        </w:tc>
        <w:tc>
          <w:tcPr>
            <w:tcW w:type="dxa" w:w="5265"/>
            <w:shd w:val="clear" w:color="auto" w:fill="F2F4F4"/>
          </w:tcPr>
          <w:p>
            <w:pPr>
              <w:spacing w:after="40" w:before="40" w:line="240" w:lineRule="auto"/>
            </w:pPr>
            <w:r/>
            <w:r>
              <w:rPr>
                <w:rFonts w:ascii="Calibri" w:hAnsi="Calibri"/>
                <w:b w:val="0"/>
                <w:i w:val="0"/>
                <w:color w:val="1A1A1A"/>
                <w:sz w:val="18"/>
              </w:rPr>
              <w:t>These change with each Budget. Bank ownership is preferred so revisions require no code release.</w:t>
            </w:r>
          </w:p>
        </w:tc>
      </w:tr>
    </w:tbl>
    <w:p>
      <w:pPr>
        <w:spacing w:after="40"/>
      </w:pPr>
    </w:p>
    <w:p/>
    <w:p>
      <w:pPr>
        <w:jc w:val="center"/>
      </w:pPr>
      <w:r>
        <w:rPr>
          <w:i/>
          <w:color w:val="5A6363"/>
          <w:sz w:val="18"/>
        </w:rPr>
        <w:t>— End of document —</w:t>
      </w:r>
    </w:p>
    <w:sectPr w:rsidR="00FC693F" w:rsidRPr="0006063C" w:rsidSect="00034616">
      <w:pgSz w:w="15840" w:h="12240" w:orient="landscape"/>
      <w:pgMar w:top="936"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