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174" w:rsidRDefault="00D82174" w:rsidP="00D82174">
      <w:r>
        <w:t>Report 3</w:t>
      </w:r>
      <w:bookmarkStart w:id="0" w:name="_GoBack"/>
      <w:bookmarkEnd w:id="0"/>
    </w:p>
    <w:p w:rsidR="00D82174" w:rsidRDefault="00D82174" w:rsidP="00D82174">
      <w:pPr>
        <w:pStyle w:val="NormalWeb"/>
        <w:numPr>
          <w:ilvl w:val="0"/>
          <w:numId w:val="1"/>
        </w:numPr>
      </w:pPr>
      <w:r>
        <w:t>Regular members contribute the majority of total quantity (~61%), outperforming Gold members across most restaurant types.</w:t>
      </w:r>
    </w:p>
    <w:p w:rsidR="00D82174" w:rsidRDefault="00D82174" w:rsidP="00D82174">
      <w:pPr>
        <w:pStyle w:val="NormalWeb"/>
        <w:numPr>
          <w:ilvl w:val="0"/>
          <w:numId w:val="1"/>
        </w:numPr>
      </w:pPr>
      <w:r>
        <w:t>Main courses and snacks are the highest-selling food types, while appetizers contribute the least.</w:t>
      </w:r>
    </w:p>
    <w:p w:rsidR="00D82174" w:rsidRDefault="00D82174" w:rsidP="00D82174">
      <w:pPr>
        <w:pStyle w:val="NormalWeb"/>
        <w:numPr>
          <w:ilvl w:val="0"/>
          <w:numId w:val="1"/>
        </w:numPr>
      </w:pPr>
      <w:r>
        <w:t>North Indian and Mughlai restaurants show higher overall quantities compared to South Indian, with demand varying by member type.</w:t>
      </w:r>
    </w:p>
    <w:p w:rsidR="004E050B" w:rsidRDefault="00D82174"/>
    <w:sectPr w:rsidR="004E0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61A51"/>
    <w:multiLevelType w:val="multilevel"/>
    <w:tmpl w:val="AAD4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E8B"/>
    <w:rsid w:val="00023EEB"/>
    <w:rsid w:val="004E0E8B"/>
    <w:rsid w:val="00D82174"/>
    <w:rsid w:val="00DC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C73C"/>
  <w15:chartTrackingRefBased/>
  <w15:docId w15:val="{14BBB6B0-14D4-4EE9-A63D-E60CD504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2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8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2026-01-21T09:56:00Z</dcterms:created>
  <dcterms:modified xsi:type="dcterms:W3CDTF">2026-01-21T09:59:00Z</dcterms:modified>
</cp:coreProperties>
</file>