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This report summarizes the AI Research team's progress in Q2.</w:t>
      </w:r>
    </w:p>
    <w:p>
      <w:pPr>
        <w:pStyle w:val="Heading1"/>
      </w:pPr>
      <w:r>
        <w:t>Highlights</w:t>
      </w:r>
    </w:p>
    <w:p>
      <w:pPr>
        <w:pStyle w:val="ListBullet"/>
      </w:pPr>
      <w:r>
        <w:t>Shipped the new retrieval pipeline.</w:t>
      </w:r>
    </w:p>
    <w:p>
      <w:pPr>
        <w:pStyle w:val="ListBullet"/>
      </w:pPr>
      <w:r>
        <w:t>Reduced average query latency by 30 percent.</w:t>
      </w:r>
    </w:p>
    <w:p>
      <w:pPr>
        <w:pStyle w:val="ListBullet"/>
      </w:pPr>
      <w:r>
        <w:t>Onboarded two new ML engineers.</w:t>
      </w:r>
    </w:p>
    <w:p>
      <w:pPr>
        <w:pStyle w:val="Heading1"/>
      </w:pPr>
      <w:r>
        <w:t>Next Steps</w:t>
      </w:r>
    </w:p>
    <w:p>
      <w:r>
        <w:t>Evaluate reranking models and expand the document corpus.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