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Writing a persuasive notice for a clean barangay</w:t>
      </w:r>
    </w:p>
    <w:p>
      <w:r>
        <w:rPr>
          <w:sz w:val="20"/>
        </w:rPr>
        <w:t xml:space="preserve">Shared by Ma'am Cora (fictional placeholder teacher).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write a short persuasive notice that asks neighbours to segregate waste, using reasons and a call to action.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What makes people act?: Look at two notices. Which one would make you follow it? Persuasive writing = a clear request + reasons + a call to action.</w:t>
      </w:r>
    </w:p>
    <w:p>
      <w:r>
        <w:rPr>
          <w:sz w:val="24"/>
        </w:rPr>
        <w:t xml:space="preserve">2. Plan your notice: Who will read it? What do you want them to do? Give two reasons they will care about.</w:t>
      </w:r>
    </w:p>
    <w:p>
      <w:r>
        <w:rPr>
          <w:sz w:val="24"/>
        </w:rPr>
        <w:t xml:space="preserve">3. Write and share: Write a notice of 4 to 6 sentences. Swap with a partner: is the request clear? Revise one sentence to make it stronger.</w:t>
      </w:r>
    </w:p>
    <w:sectPr>
      <w:pgSz w:w="11906" w:h="16838"/>
      <w:pgMar w:top="1134" w:right="1134" w:bottom="1134" w:left="1134"/>
    </w:sectPr>
  </w:body>
</w:document>
</file>