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Measuring area with the school court</w:t>
      </w:r>
    </w:p>
    <w:p>
      <w:r>
        <w:rPr>
          <w:sz w:val="20"/>
        </w:rPr>
        <w:t xml:space="preserve">Shared by Sir Ben (fictional placeholder teacher).</w:t>
      </w:r>
    </w:p>
    <w:p>
      <w:r>
        <w:rPr>
          <w:sz w:val="24"/>
        </w:rPr>
        <w:t xml:space="preserve"/>
      </w:r>
    </w:p>
    <w:p>
      <w:r>
        <w:rPr>
          <w:b/>
          <w:sz w:val="26"/>
        </w:rPr>
        <w:t xml:space="preserve">Objective</w:t>
      </w:r>
    </w:p>
    <w:p>
      <w:r>
        <w:rPr>
          <w:sz w:val="24"/>
        </w:rPr>
        <w:t xml:space="preserve">Learners compute the area of rectangles using the school basketball court and classroom floor tiles.</w:t>
      </w:r>
    </w:p>
    <w:p>
      <w:r>
        <w:rPr>
          <w:b/>
          <w:sz w:val="26"/>
        </w:rPr>
        <w:t xml:space="preserve">Procedure</w:t>
      </w:r>
    </w:p>
    <w:p>
      <w:r>
        <w:rPr>
          <w:sz w:val="24"/>
        </w:rPr>
        <w:t xml:space="preserve">1. How big is our court?: Guess first: how many classrooms fit on the court? Today we measure, then compute area = length x width.</w:t>
      </w:r>
    </w:p>
    <w:p>
      <w:r>
        <w:rPr>
          <w:sz w:val="24"/>
        </w:rPr>
        <w:t xml:space="preserve">2. Measure in groups: Group 1: length of the court (paces, then metres) Group 2: width of the court Group 3: one floor tile in the classroom</w:t>
      </w:r>
    </w:p>
    <w:p>
      <w:r>
        <w:rPr>
          <w:sz w:val="24"/>
        </w:rPr>
        <w:t xml:space="preserve">3. Compute and compare: Area of the court = length x width How many tiles would cover the court? Was your guess close?</w:t>
      </w:r>
    </w:p>
    <w:sectPr>
      <w:pgSz w:w="11906" w:h="16838"/>
      <w:pgMar w:top="1134" w:right="1134" w:bottom="1134" w:left="1134"/>
    </w:sectPr>
  </w:body>
</w:document>
</file>