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0.png" ContentType="image/png"/>
  <Override PartName="/word/media/rId35.png" ContentType="image/png"/>
  <Override PartName="/word/media/rId40.png" ContentType="image/png"/>
  <Override PartName="/word/media/rId48.png" ContentType="image/png"/>
  <Override PartName="/word/media/rId51.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L’assurance-maladie obligatoire suisse dans l’impasse. Une analyse du compromis socio-politique derrière la Loi fédérale sur l’assurance-maladie (LAMal)</w:t>
      </w:r>
    </w:p>
    <w:p>
      <w:pPr>
        <w:pStyle w:val="Author"/>
      </w:pPr>
      <w:r>
        <w:t xml:space="preserve">Celâl Güney</w:t>
      </w:r>
    </w:p>
    <w:p>
      <w:pPr>
        <w:pStyle w:val="Author"/>
      </w:pPr>
      <w:r>
        <w:t xml:space="preserve">Gaia Valenti</w:t>
      </w:r>
    </w:p>
    <w:p>
      <w:pPr>
        <w:pStyle w:val="Date"/>
      </w:pPr>
      <w:r>
        <w:t xml:space="preserve">2026-02-27</w:t>
      </w:r>
    </w:p>
    <w:bookmarkStart w:id="58" w:name="annexe"/>
    <w:p>
      <w:pPr>
        <w:pStyle w:val="Heading1"/>
      </w:pPr>
      <w:r>
        <w:t xml:space="preserve">1. Annexe</w:t>
      </w:r>
    </w:p>
    <w:bookmarkStart w:id="23" w:name="X014b01ff992bcb4300f8a106bcc7bbef042c8a8"/>
    <w:p>
      <w:pPr>
        <w:pStyle w:val="Heading2"/>
      </w:pPr>
      <w:r>
        <w:t xml:space="preserve">1.1 Stratégie empirique pour les modèles de la section 4</w:t>
      </w:r>
    </w:p>
    <w:p>
      <w:pPr>
        <w:pStyle w:val="FirstParagraph"/>
      </w:pPr>
      <w:r>
        <w:t xml:space="preserve">La spécification des modèles présentés dans la section 4 a pour objectif de reproduire une analyse néoréaliste des facteurs influençant les attentes sociales. Les variables dépendantes sont binarisées afin de conduire des estimations de modèles logistiques binaires en utilisant l’estimation du maximum de vraisemblance. La variable d’opinion sur l’augmentation de la franchise minimale de l’assurance-maladie de base est construite sur une échelle Likert de 1 (fortement contre) à 5 (fortement pour). Nous avons créé une variable dichotomique pour les deux premières catégories (fortement contre et contre). Pour le choix du vote pour l’initiative d’allègement des primes, nous avons dichotomisé en binarisant le vote en faveur de l’initiative. Les principales variables explicatives que nous avons considérées sont un indice de classe sociale mesurée par la classification européenne des groupes socioéconomiques (ESEG), le revenu mensuel brut du ménage, à partir duquel nous calculons le niveau de revenu par décile, ainsi qu’une batterie d’indicateurs socio-démographiques (âge, langue, cantons, genre) et idéologiques (auto-positionnement gauche-droite, vote, probabilité de vote pour les principaux partis politiques, opinions sur des sujets économiques et identitaires). Pour chacune de nos deux variables dépendantes, nous avons procédé à une sélection de modèle pas à pas descendante avec le critère d’information d’Akaike (AIC). Cette procédure a abouti au modèle suivant pour l’opposition à l’augmentation de la franchise minimale:</w:t>
      </w:r>
    </w:p>
    <w:p>
      <w:pPr>
        <w:pStyle w:val="BodyText"/>
      </w:pPr>
      <w:bookmarkStart w:id="20" w:name="eq-1"/>
      <m:oMathPara>
        <m:oMathParaPr>
          <m:jc m:val="center"/>
        </m:oMathParaPr>
        <m:oMath>
          <m:r>
            <m:t>P</m:t>
          </m:r>
          <m:d>
            <m:dPr>
              <m:begChr m:val="("/>
              <m:sepChr m:val=""/>
              <m:endChr m:val=")"/>
              <m:grow/>
            </m:dPr>
            <m:e>
              <m:sSub>
                <m:e>
                  <m:r>
                    <m:t>y</m:t>
                  </m:r>
                </m:e>
                <m:sub>
                  <m:r>
                    <m:t>i</m:t>
                  </m:r>
                </m:sub>
              </m:sSub>
              <m:r>
                <m:rPr>
                  <m:sty m:val="p"/>
                </m:rPr>
                <m:t>=</m:t>
              </m:r>
              <m:r>
                <m:t>1</m:t>
              </m:r>
            </m:e>
          </m:d>
          <m:r>
            <m:rPr>
              <m:sty m:val="p"/>
            </m:rPr>
            <m:t>=</m:t>
          </m:r>
          <m:r>
            <m:t>l</m:t>
          </m:r>
          <m:r>
            <m:t>o</m:t>
          </m:r>
          <m:r>
            <m:t>g</m:t>
          </m:r>
          <m:r>
            <m:t>i</m:t>
          </m:r>
          <m:sSup>
            <m:e>
              <m:r>
                <m:t>t</m:t>
              </m:r>
            </m:e>
            <m:sup>
              <m:r>
                <m:rPr>
                  <m:sty m:val="p"/>
                </m:rPr>
                <m:t>−</m:t>
              </m:r>
              <m:r>
                <m:t>1</m:t>
              </m:r>
            </m:sup>
          </m:sSup>
          <m:d>
            <m:dPr>
              <m:begChr m:val="("/>
              <m:sepChr m:val=""/>
              <m:endChr m:val=")"/>
              <m:grow/>
            </m:dPr>
            <m:e>
              <m:sSub>
                <m:e>
                  <m:r>
                    <m:t>β</m:t>
                  </m:r>
                </m:e>
                <m:sub>
                  <m:r>
                    <m:t>0</m:t>
                  </m:r>
                </m:sub>
              </m:sSub>
              <m:r>
                <m:rPr>
                  <m:sty m:val="p"/>
                </m:rPr>
                <m:t>+</m:t>
              </m:r>
              <m:sSub>
                <m:e>
                  <m:r>
                    <m:t>β</m:t>
                  </m:r>
                </m:e>
                <m:sub>
                  <m:r>
                    <m:t>d</m:t>
                  </m:r>
                </m:sub>
              </m:sSub>
              <m:sSub>
                <m:e>
                  <m:r>
                    <m:t>D</m:t>
                  </m:r>
                </m:e>
                <m:sub>
                  <m:r>
                    <m:t>i</m:t>
                  </m:r>
                </m:sub>
              </m:sSub>
              <m:r>
                <m:rPr>
                  <m:sty m:val="p"/>
                </m:rPr>
                <m:t>+</m:t>
              </m:r>
              <m:r>
                <m:t>β</m:t>
              </m:r>
              <m:sSub>
                <m:e>
                  <m:r>
                    <m:t>X</m:t>
                  </m:r>
                </m:e>
                <m:sub>
                  <m:r>
                    <m:t>i</m:t>
                  </m:r>
                </m:sub>
              </m:sSub>
              <m:r>
                <m:rPr>
                  <m:sty m:val="p"/>
                </m:rPr>
                <m:t>+</m:t>
              </m:r>
              <m:sSub>
                <m:e>
                  <m:r>
                    <m:t>γ</m:t>
                  </m:r>
                </m:e>
                <m:sub>
                  <m:r>
                    <m:t>p</m:t>
                  </m:r>
                </m:sub>
              </m:sSub>
              <m:sSub>
                <m:e>
                  <m:r>
                    <m:t>P</m:t>
                  </m:r>
                </m:e>
                <m:sub>
                  <m:r>
                    <m:t>i</m:t>
                  </m:r>
                </m:sub>
              </m:sSub>
              <m:r>
                <m:rPr>
                  <m:sty m:val="p"/>
                </m:rPr>
                <m:t>+</m:t>
              </m:r>
              <m:sSub>
                <m:e>
                  <m:r>
                    <m:t>η</m:t>
                  </m:r>
                </m:e>
                <m:sub>
                  <m:r>
                    <m:t>o</m:t>
                  </m:r>
                </m:sub>
              </m:sSub>
              <m:sSub>
                <m:e>
                  <m:r>
                    <m:t>O</m:t>
                  </m:r>
                </m:e>
                <m:sub>
                  <m:r>
                    <m:t>i</m:t>
                  </m:r>
                </m:sub>
              </m:sSub>
              <m:r>
                <m:rPr>
                  <m:sty m:val="p"/>
                </m:rPr>
                <m:t>+</m:t>
              </m:r>
              <m:sSub>
                <m:e>
                  <m:r>
                    <m:t>ϵ</m:t>
                  </m:r>
                </m:e>
                <m:sub>
                  <m:r>
                    <m:t>i</m:t>
                  </m:r>
                </m:sub>
              </m:sSub>
            </m:e>
          </m:d>
          <m:r>
            <m:t>  </m:t>
          </m:r>
          <m:d>
            <m:dPr>
              <m:begChr m:val="("/>
              <m:sepChr m:val=""/>
              <m:endChr m:val=")"/>
              <m:grow/>
            </m:dPr>
            <m:e>
              <m:r>
                <m:t>1</m:t>
              </m:r>
            </m:e>
          </m:d>
        </m:oMath>
      </m:oMathPara>
      <w:bookmarkEnd w:id="20"/>
    </w:p>
    <w:p>
      <w:pPr>
        <w:pStyle w:val="FirstParagraph"/>
      </w:pPr>
      <w:r>
        <w:t xml:space="preserve">Avec</w:t>
      </w:r>
      <w:r>
        <w:t xml:space="preserve"> </w:t>
      </w:r>
      <m:oMath>
        <m:r>
          <m:t>P</m:t>
        </m:r>
        <m:d>
          <m:dPr>
            <m:begChr m:val="("/>
            <m:sepChr m:val=""/>
            <m:endChr m:val=")"/>
            <m:grow/>
          </m:dPr>
          <m:e>
            <m:sSub>
              <m:e>
                <m:r>
                  <m:t>y</m:t>
                </m:r>
              </m:e>
              <m:sub>
                <m:r>
                  <m:t>i</m:t>
                </m:r>
              </m:sub>
            </m:sSub>
            <m:r>
              <m:rPr>
                <m:sty m:val="p"/>
              </m:rPr>
              <m:t>=</m:t>
            </m:r>
            <m:r>
              <m:t>1</m:t>
            </m:r>
          </m:e>
        </m:d>
      </m:oMath>
      <w:r>
        <w:t xml:space="preserve"> </w:t>
      </w:r>
      <w:r>
        <w:t xml:space="preserve">la probabilité de l’individu</w:t>
      </w:r>
      <w:r>
        <w:t xml:space="preserve"> </w:t>
      </w:r>
      <m:oMath>
        <m:r>
          <m:t>i</m:t>
        </m:r>
      </m:oMath>
      <w:r>
        <w:t xml:space="preserve"> </w:t>
      </w:r>
      <w:r>
        <w:t xml:space="preserve">d’être contre l’augmentation de la franchise minimale,</w:t>
      </w:r>
      <w:r>
        <w:t xml:space="preserve"> </w:t>
      </w:r>
      <m:oMath>
        <m:sSub>
          <m:e>
            <m:r>
              <m:t>D</m:t>
            </m:r>
          </m:e>
          <m:sub>
            <m:r>
              <m:t>i</m:t>
            </m:r>
          </m:sub>
        </m:sSub>
      </m:oMath>
      <w:r>
        <w:t xml:space="preserve"> </w:t>
      </w:r>
      <w:r>
        <w:t xml:space="preserve">le niveau de décile auquel appartient l’individu</w:t>
      </w:r>
      <w:r>
        <w:t xml:space="preserve"> </w:t>
      </w:r>
      <m:oMath>
        <m:r>
          <m:t>i</m:t>
        </m:r>
      </m:oMath>
      <w:r>
        <w:t xml:space="preserve">,</w:t>
      </w:r>
      <w:r>
        <w:t xml:space="preserve"> </w:t>
      </w:r>
      <m:oMath>
        <m:sSub>
          <m:e>
            <m:r>
              <m:t>X</m:t>
            </m:r>
          </m:e>
          <m:sub>
            <m:r>
              <m:t>i</m:t>
            </m:r>
          </m:sub>
        </m:sSub>
      </m:oMath>
      <w:r>
        <w:t xml:space="preserve"> </w:t>
      </w:r>
      <w:r>
        <w:t xml:space="preserve">un vecteur de caractéristiques individuelles socio-démographique (âge, genre, langue),</w:t>
      </w:r>
      <w:r>
        <w:t xml:space="preserve"> </w:t>
      </w:r>
      <m:oMath>
        <m:sSub>
          <m:e>
            <m:r>
              <m:t>P</m:t>
            </m:r>
          </m:e>
          <m:sub>
            <m:r>
              <m:t>i</m:t>
            </m:r>
          </m:sub>
        </m:sSub>
      </m:oMath>
      <w:r>
        <w:t xml:space="preserve"> </w:t>
      </w:r>
      <w:r>
        <w:t xml:space="preserve">un vecteur de variable sur la probabilité de voter pour certains partis politiques suisses (Le Centre, le Parti Socialiste, les Verts et les Verts Libéraux) sur une échelle de 0 à 10, et</w:t>
      </w:r>
      <w:r>
        <w:t xml:space="preserve"> </w:t>
      </w:r>
      <m:oMath>
        <m:sSub>
          <m:e>
            <m:r>
              <m:t>O</m:t>
            </m:r>
          </m:e>
          <m:sub>
            <m:r>
              <m:t>i</m:t>
            </m:r>
          </m:sub>
        </m:sSub>
      </m:oMath>
      <w:r>
        <w:t xml:space="preserve"> </w:t>
      </w:r>
      <w:r>
        <w:t xml:space="preserve">l’opinion sur une série d’enjeux comme l’intégration européenne, le salaire minimum ou encore les dépenses sociales.</w:t>
      </w:r>
      <w:r>
        <w:t xml:space="preserve"> </w:t>
      </w:r>
      <m:oMath>
        <m:sSub>
          <m:e>
            <m:r>
              <m:t>ϵ</m:t>
            </m:r>
          </m:e>
          <m:sub>
            <m:r>
              <m:t>i</m:t>
            </m:r>
          </m:sub>
        </m:sSub>
      </m:oMath>
      <w:r>
        <w:t xml:space="preserve"> </w:t>
      </w:r>
      <w:r>
        <w:t xml:space="preserve">est le terme d’erreur. De manière surprenante, la variable pour les groupes socio-économiques ESEG n’a pas été retenue par la procédure de sélection, ce qui implique que la classe sociale telle que mesurée par l’indice ESEG ne semble pas jouer un rôle déterminant par rapport au niveau de revenu et aux autres variables de contrôle Comme le schéma de classe ESEG est une variable importante pour notre analyse, nous considérons quand même les résultats d’une régression simple de nos deux variables dépendantes sur les catégories socio-professionnelles ESEG (résultats disponibles dans l’annexe). Encore plus étonnant, la variable contrôlant pour les cantons n’a pas non plus été retenue, ce qui suggère que l’effet d’appartenance à un canton est négligeable. Le coefficient de corrélation interclasse (ICC) calculé à partir d’un modèle multiniveau avec les cantons en tant que niveau confirme que les variations entre cantons sont faibles (voir annexe). Le modèle pour le vote en faveur de l’initiative pour l’allègement des primes prend une forme similaire à (1), avec quelques différences au niveau des variables retenues car certaines d’entre elles n’étaient pas disponible dans la quatrième vague. Comme pour le premier modèle, le schéma de classe ESEG n’a pas été retenu par la procédure de sélection, ni le canton de résidence.</w:t>
      </w:r>
    </w:p>
    <w:tbl>
      <w:tblPr>
        <w:tblStyle w:val="Table"/>
        <w:tblW w:type="pct" w:w="5000"/>
        <w:tblLayout w:type="fixed"/>
        <w:tblLook w:firstRow="0" w:lastRow="0" w:firstColumn="0" w:lastColumn="0" w:noHBand="0" w:noVBand="0" w:val="0000"/>
      </w:tblPr>
      <w:tblGrid>
        <w:gridCol w:w="7920"/>
      </w:tblGrid>
      <w:tr>
        <w:tc>
          <w:tcPr/>
          <w:bookmarkStart w:id="21" w:name="tbl-votations"/>
          <w:p>
            <w:pPr>
              <w:jc w:val="center"/>
            </w:pPr>
            <w:pPr>
              <w:jc w:val="left"/>
              <w:spacing w:before="200"/>
              <w:pStyle w:val="ImageCaption"/>
            </w:pPr>
            <w:r>
              <w:t xml:space="preserve">Table 1: Votations en lien avec le système de santé en Suisse. Source: Swissvotes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Date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Votation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Résultat</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 Oui</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30.07.1882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Loi sur les épidémies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26.10.1890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Droit de légiférer sur l'assurance en cas d'accident et de maladie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20.05.1900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Loi sur l'assurance maladie, accidents et militaire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04.02.1912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Loi sur l'assurance en cas de maladie et d'accidents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04.05.1913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Lutte contre les maladies de l'homme et des animaux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22.05.1949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Loi sur la lutte contre la tuberculose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08.12.1974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Initiative «pour une meilleure assurance-maladie»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08.12.1974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Contre-projet à l'initiative «pour une meilleure assurance-maladie»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10.03.1985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Suppression de l'obligation de la Confédération d'allouer des subventions dans le domaine de la santé publique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06.12.1987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Loi sur l'assurance-maladie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16.02.1992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«Initiative des caisses-maladie»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26.09.1993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Mesures concernant l'assurance-maladie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04.12.1994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Loi sur l'assurance-maladie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04.12.1994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Initiative «pour une saine assurance-maladie»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26.11.2000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Initiative «pour des coûts hospitaliers moins élevés»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09.02.2003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Loi sur les participations cantonales aux coûts des traitements hospitaliers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18.05.2003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«Initiative-santé»</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11.03.2007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Initiative pour une caisse maladie unique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01.06.2008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Article constitutionnel sur l'assurance-maladie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17.05.2009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Article constitutionnel sur les médecines complémentaires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17.06.2012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Loi sur l'assurance-maladie (Réseaux de soins)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22.09.2013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Loi sur les épidémies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09.02.2014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Initiative «Financer l'avortement est une affaire privée»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18.05.2014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Arrêté fédéral concernant les soins médicaux de base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28.09.2014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Initiative «Pour une caisse publique d'assurance-maladie»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28.11.2021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Initiative sur les soins infirmiers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15.05.2022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Principe du consentement présumé pour le don d’organes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09.06.2024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Initiative d’allègement des primes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09.06.2024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Initiative pour un frein aux coûts dans le système de santé</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Financement uniforme des prestations ambulatoires et stationnaires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53.31</w:t>
                  </w:r>
                </w:p>
              </w:tc>
            </w:tr>
          </w:tbl>
          <w:bookmarkEnd w:id="21"/>
        </w:tc>
      </w:tr>
    </w:tbl>
    <w:p>
      <w:pPr>
        <w:pStyle w:val="BodyText"/>
      </w:pPr>
      <w:r>
        <w:rPr>
          <w:vertAlign w:val="subscript"/>
        </w:rPr>
        <w:t xml:space="preserve">Source:</w:t>
      </w:r>
      <w:r>
        <w:rPr>
          <w:vertAlign w:val="subscript"/>
        </w:rPr>
        <w:t xml:space="preserve"> </w:t>
      </w:r>
      <w:hyperlink r:id="rId22">
        <w:r>
          <w:rPr>
            <w:rStyle w:val="Hyperlink"/>
            <w:vertAlign w:val="subscript"/>
          </w:rPr>
          <w:t xml:space="preserve">Article Notebook</w:t>
        </w:r>
      </w:hyperlink>
    </w:p>
    <w:bookmarkEnd w:id="23"/>
    <w:bookmarkStart w:id="57" w:name="matériel-supplémentaire"/>
    <w:p>
      <w:pPr>
        <w:pStyle w:val="Heading2"/>
      </w:pPr>
      <w:r>
        <w:t xml:space="preserve">1.2 Matériel supplémentaire</w:t>
      </w:r>
    </w:p>
    <w:p>
      <w:pPr>
        <w:pStyle w:val="FirstParagraph"/>
      </w:pPr>
      <w:r>
        <w:rPr>
          <w:vertAlign w:val="subscript"/>
        </w:rPr>
        <w:t xml:space="preserve">Source:</w:t>
      </w:r>
      <w:r>
        <w:rPr>
          <w:vertAlign w:val="subscript"/>
        </w:rPr>
        <w:t xml:space="preserve"> </w:t>
      </w:r>
      <w:hyperlink r:id="rId22">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22">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22">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22">
        <w:r>
          <w:rPr>
            <w:rStyle w:val="Hyperlink"/>
            <w:vertAlign w:val="subscript"/>
          </w:rPr>
          <w:t xml:space="preserve">Article Notebook</w:t>
        </w:r>
      </w:hyperlink>
    </w:p>
    <w:tbl>
      <w:tblPr>
        <w:tblStyle w:val="Table"/>
        <w:tblW w:type="pct" w:w="5000"/>
        <w:tblLayout w:type="fixed"/>
        <w:tblLook w:firstRow="0" w:lastRow="0" w:firstColumn="0" w:lastColumn="0" w:noHBand="0" w:noVBand="0" w:val="0000"/>
      </w:tblPr>
      <w:tblGrid>
        <w:gridCol w:w="7920"/>
      </w:tblGrid>
      <w:tr>
        <w:tc>
          <w:tcPr/>
          <w:bookmarkStart w:id="24" w:name="tbl-skim1"/>
          <w:p>
            <w:pPr>
              <w:jc w:val="center"/>
            </w:pPr>
            <w:pPr>
              <w:jc w:val="left"/>
              <w:spacing w:before="200"/>
              <w:pStyle w:val="ImageCaption"/>
            </w:pPr>
            <w:r>
              <w:t xml:space="preserve">Table 2: Statistiques descriptive variables du premier modèle</w:t>
            </w:r>
          </w:p>
          <w:bookmarkEnd w:id="24"/>
        </w:tc>
      </w:tr>
    </w:tbl>
    <w:p>
      <w:pPr>
        <w:pStyle w:val="BodyText"/>
      </w:pPr>
      <w:r>
        <w:rPr>
          <w:vertAlign w:val="subscript"/>
        </w:rPr>
        <w:t xml:space="preserve">Source:</w:t>
      </w:r>
      <w:r>
        <w:rPr>
          <w:vertAlign w:val="subscript"/>
        </w:rPr>
        <w:t xml:space="preserve"> </w:t>
      </w:r>
      <w:hyperlink r:id="rId22">
        <w:r>
          <w:rPr>
            <w:rStyle w:val="Hyperlink"/>
            <w:vertAlign w:val="subscript"/>
          </w:rPr>
          <w:t xml:space="preserve">Article Notebook</w:t>
        </w:r>
      </w:hyperlink>
    </w:p>
    <w:bookmarkStart w:id="29" w:name="cell-fig-likert1"/>
    <w:tbl>
      <w:tblPr>
        <w:tblStyle w:val="Table"/>
        <w:tblW w:type="pct" w:w="5000"/>
        <w:tblLayout w:type="fixed"/>
        <w:tblLook w:firstRow="0" w:lastRow="0" w:firstColumn="0" w:lastColumn="0" w:noHBand="0" w:noVBand="0" w:val="0000"/>
      </w:tblPr>
      <w:tblGrid>
        <w:gridCol w:w="7920"/>
      </w:tblGrid>
      <w:tr>
        <w:tc>
          <w:tcPr/>
          <w:bookmarkStart w:id="28" w:name="fig-likert1"/>
          <w:p>
            <w:pPr>
              <w:pStyle w:val="Compact"/>
              <w:jc w:val="center"/>
            </w:pPr>
            <w:r>
              <w:drawing>
                <wp:inline>
                  <wp:extent cx="4620126" cy="3696101"/>
                  <wp:effectExtent b="0" l="0" r="0" t="0"/>
                  <wp:docPr descr="" title="" id="26" name="Picture"/>
                  <a:graphic>
                    <a:graphicData uri="http://schemas.openxmlformats.org/drawingml/2006/picture">
                      <pic:pic>
                        <pic:nvPicPr>
                          <pic:cNvPr descr="index_files/figure-docx/fig-likert1-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Statistiques descriptives des variables à échelle Likert du premier modèle</w:t>
            </w:r>
          </w:p>
          <w:bookmarkEnd w:id="28"/>
        </w:tc>
      </w:tr>
    </w:tbl>
    <w:p>
      <w:pPr>
        <w:pStyle w:val="BodyText"/>
      </w:pPr>
      <w:r>
        <w:rPr>
          <w:vertAlign w:val="subscript"/>
        </w:rPr>
        <w:t xml:space="preserve">Source:</w:t>
      </w:r>
      <w:r>
        <w:rPr>
          <w:vertAlign w:val="subscript"/>
        </w:rPr>
        <w:t xml:space="preserve"> </w:t>
      </w:r>
      <w:hyperlink r:id="rId22">
        <w:r>
          <w:rPr>
            <w:rStyle w:val="Hyperlink"/>
            <w:vertAlign w:val="subscript"/>
          </w:rPr>
          <w:t xml:space="preserve">Article Notebook</w:t>
        </w:r>
      </w:hyperlink>
    </w:p>
    <w:bookmarkEnd w:id="29"/>
    <w:bookmarkStart w:id="34" w:name="cell-fig-likert2"/>
    <w:tbl>
      <w:tblPr>
        <w:tblStyle w:val="Table"/>
        <w:tblW w:type="pct" w:w="5000"/>
        <w:tblLayout w:type="fixed"/>
        <w:tblLook w:firstRow="0" w:lastRow="0" w:firstColumn="0" w:lastColumn="0" w:noHBand="0" w:noVBand="0" w:val="0000"/>
      </w:tblPr>
      <w:tblGrid>
        <w:gridCol w:w="7920"/>
      </w:tblGrid>
      <w:tr>
        <w:tc>
          <w:tcPr/>
          <w:bookmarkStart w:id="33" w:name="fig-likert2"/>
          <w:p>
            <w:pPr>
              <w:pStyle w:val="Compact"/>
              <w:jc w:val="center"/>
            </w:pPr>
            <w:r>
              <w:drawing>
                <wp:inline>
                  <wp:extent cx="4620126" cy="3696101"/>
                  <wp:effectExtent b="0" l="0" r="0" t="0"/>
                  <wp:docPr descr="" title="" id="31" name="Picture"/>
                  <a:graphic>
                    <a:graphicData uri="http://schemas.openxmlformats.org/drawingml/2006/picture">
                      <pic:pic>
                        <pic:nvPicPr>
                          <pic:cNvPr descr="index_files/figure-docx/fig-likert2-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Statistiques descriptives des variables à échelle Likert du premier modèle (2)</w:t>
            </w:r>
          </w:p>
          <w:bookmarkEnd w:id="33"/>
        </w:tc>
      </w:tr>
    </w:tbl>
    <w:p>
      <w:pPr>
        <w:pStyle w:val="BodyText"/>
      </w:pPr>
      <w:r>
        <w:rPr>
          <w:vertAlign w:val="subscript"/>
        </w:rPr>
        <w:t xml:space="preserve">Source:</w:t>
      </w:r>
      <w:r>
        <w:rPr>
          <w:vertAlign w:val="subscript"/>
        </w:rPr>
        <w:t xml:space="preserve"> </w:t>
      </w:r>
      <w:hyperlink r:id="rId22">
        <w:r>
          <w:rPr>
            <w:rStyle w:val="Hyperlink"/>
            <w:vertAlign w:val="subscript"/>
          </w:rPr>
          <w:t xml:space="preserve">Article Notebook</w:t>
        </w:r>
      </w:hyperlink>
    </w:p>
    <w:bookmarkEnd w:id="34"/>
    <w:bookmarkStart w:id="39" w:name="cell-fig-likert3"/>
    <w:tbl>
      <w:tblPr>
        <w:tblStyle w:val="Table"/>
        <w:tblW w:type="pct" w:w="5000"/>
        <w:tblLayout w:type="fixed"/>
        <w:tblLook w:firstRow="0" w:lastRow="0" w:firstColumn="0" w:lastColumn="0" w:noHBand="0" w:noVBand="0" w:val="0000"/>
      </w:tblPr>
      <w:tblGrid>
        <w:gridCol w:w="7920"/>
      </w:tblGrid>
      <w:tr>
        <w:tc>
          <w:tcPr/>
          <w:bookmarkStart w:id="38" w:name="fig-likert3"/>
          <w:p>
            <w:pPr>
              <w:pStyle w:val="Compact"/>
              <w:jc w:val="center"/>
            </w:pPr>
            <w:r>
              <w:drawing>
                <wp:inline>
                  <wp:extent cx="4620126" cy="3696101"/>
                  <wp:effectExtent b="0" l="0" r="0" t="0"/>
                  <wp:docPr descr="" title="" id="36" name="Picture"/>
                  <a:graphic>
                    <a:graphicData uri="http://schemas.openxmlformats.org/drawingml/2006/picture">
                      <pic:pic>
                        <pic:nvPicPr>
                          <pic:cNvPr descr="index_files/figure-docx/fig-likert3-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Statistiques descriptives des variables à échelle Likert du premier modèle (3)</w:t>
            </w:r>
          </w:p>
          <w:bookmarkEnd w:id="38"/>
        </w:tc>
      </w:tr>
    </w:tbl>
    <w:p>
      <w:pPr>
        <w:pStyle w:val="BodyText"/>
      </w:pPr>
      <w:r>
        <w:rPr>
          <w:vertAlign w:val="subscript"/>
        </w:rPr>
        <w:t xml:space="preserve">Source:</w:t>
      </w:r>
      <w:r>
        <w:rPr>
          <w:vertAlign w:val="subscript"/>
        </w:rPr>
        <w:t xml:space="preserve"> </w:t>
      </w:r>
      <w:hyperlink r:id="rId22">
        <w:r>
          <w:rPr>
            <w:rStyle w:val="Hyperlink"/>
            <w:vertAlign w:val="subscript"/>
          </w:rPr>
          <w:t xml:space="preserve">Article Notebook</w:t>
        </w:r>
      </w:hyperlink>
    </w:p>
    <w:bookmarkEnd w:id="39"/>
    <w:p>
      <w:pPr>
        <w:pStyle w:val="BodyText"/>
      </w:pPr>
      <w:r>
        <w:rPr>
          <w:vertAlign w:val="subscript"/>
        </w:rPr>
        <w:t xml:space="preserve">Source:</w:t>
      </w:r>
      <w:r>
        <w:rPr>
          <w:vertAlign w:val="subscript"/>
        </w:rPr>
        <w:t xml:space="preserve"> </w:t>
      </w:r>
      <w:hyperlink r:id="rId22">
        <w:r>
          <w:rPr>
            <w:rStyle w:val="Hyperlink"/>
            <w:vertAlign w:val="subscript"/>
          </w:rPr>
          <w:t xml:space="preserve">Article Notebook</w:t>
        </w:r>
      </w:hyperlink>
    </w:p>
    <w:bookmarkStart w:id="44" w:name="cell-fig-likert4"/>
    <w:tbl>
      <w:tblPr>
        <w:tblStyle w:val="Table"/>
        <w:tblW w:type="pct" w:w="5000"/>
        <w:tblLayout w:type="fixed"/>
        <w:tblLook w:firstRow="0" w:lastRow="0" w:firstColumn="0" w:lastColumn="0" w:noHBand="0" w:noVBand="0" w:val="0000"/>
      </w:tblPr>
      <w:tblGrid>
        <w:gridCol w:w="7920"/>
      </w:tblGrid>
      <w:tr>
        <w:tc>
          <w:tcPr/>
          <w:bookmarkStart w:id="43" w:name="fig-likert4"/>
          <w:p>
            <w:pPr>
              <w:pStyle w:val="Compact"/>
              <w:jc w:val="center"/>
            </w:pPr>
            <w:r>
              <w:drawing>
                <wp:inline>
                  <wp:extent cx="4620126" cy="3696101"/>
                  <wp:effectExtent b="0" l="0" r="0" t="0"/>
                  <wp:docPr descr="" title="" id="41" name="Picture"/>
                  <a:graphic>
                    <a:graphicData uri="http://schemas.openxmlformats.org/drawingml/2006/picture">
                      <pic:pic>
                        <pic:nvPicPr>
                          <pic:cNvPr descr="index_files/figure-docx/fig-likert4-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Statistiques descriptives des variables à échelle Likert du deuxième modèle (3)</w:t>
            </w:r>
          </w:p>
          <w:bookmarkEnd w:id="43"/>
        </w:tc>
      </w:tr>
    </w:tbl>
    <w:p>
      <w:pPr>
        <w:pStyle w:val="BodyText"/>
      </w:pPr>
      <w:r>
        <w:rPr>
          <w:vertAlign w:val="subscript"/>
        </w:rPr>
        <w:t xml:space="preserve">Source:</w:t>
      </w:r>
      <w:r>
        <w:rPr>
          <w:vertAlign w:val="subscript"/>
        </w:rPr>
        <w:t xml:space="preserve"> </w:t>
      </w:r>
      <w:hyperlink r:id="rId22">
        <w:r>
          <w:rPr>
            <w:rStyle w:val="Hyperlink"/>
            <w:vertAlign w:val="subscript"/>
          </w:rPr>
          <w:t xml:space="preserve">Article Notebook</w:t>
        </w:r>
      </w:hyperlink>
    </w:p>
    <w:bookmarkEnd w:id="44"/>
    <w:tbl>
      <w:tblPr>
        <w:tblStyle w:val="Table"/>
        <w:tblW w:type="pct" w:w="5000"/>
        <w:tblLayout w:type="fixed"/>
        <w:tblLook w:firstRow="0" w:lastRow="0" w:firstColumn="0" w:lastColumn="0" w:noHBand="0" w:noVBand="0" w:val="0000"/>
      </w:tblPr>
      <w:tblGrid>
        <w:gridCol w:w="7920"/>
      </w:tblGrid>
      <w:tr>
        <w:tc>
          <w:tcPr/>
          <w:bookmarkStart w:id="45" w:name="tbl-reglogit"/>
          <w:p>
            <w:pPr>
              <w:jc w:val="center"/>
            </w:pPr>
            <w:pPr>
              <w:jc w:val="left"/>
              <w:spacing w:before="200"/>
              <w:pStyle w:val="ImageCaption"/>
            </w:pPr>
            <w:r>
              <w:t xml:space="preserve">Table 3: Régressions logit (log(odd))</w:t>
            </w:r>
          </w:p>
          <w:tbl>
            <w:tblPr>
              <w:tblStyle w:val="Table"/>
              <w:tblW w:type="pct" w:w="4236"/>
              <w:tblLayout w:type="fixed"/>
              <w:tblLook w:firstRow="1" w:lastRow="1" w:firstColumn="0" w:lastColumn="0" w:noHBand="0" w:noVBand="0" w:val="0020"/>
            </w:tblPr>
            <w:tblGrid>
              <w:gridCol w:w="2970"/>
              <w:gridCol w:w="3740"/>
            </w:tblGrid>
            <w:tr>
              <w:trPr>
                <w:tblHeader w:val="on"/>
              </w:trPr>
              <w:tc>
                <w:tcPr/>
                <w:p>
                  <w:pPr>
                    <w:pStyle w:val="Compact"/>
                  </w:pPr>
                </w:p>
              </w:tc>
              <w:tc>
                <w:tcPr/>
                <w:p>
                  <w:pPr>
                    <w:pStyle w:val="Compact"/>
                    <w:jc w:val="center"/>
                  </w:pPr>
                  <w:r>
                    <w:t xml:space="preserve">Augmentation franchise minimale</w:t>
                  </w:r>
                </w:p>
              </w:tc>
            </w:tr>
            <w:tr>
              <w:tc>
                <w:tcPr/>
                <w:p>
                  <w:pPr>
                    <w:pStyle w:val="Compact"/>
                    <w:jc w:val="center"/>
                  </w:pPr>
                  <w:r>
                    <w:t xml:space="preserve">(Intercept)</w:t>
                  </w:r>
                </w:p>
              </w:tc>
              <w:tc>
                <w:tcPr/>
                <w:p>
                  <w:pPr>
                    <w:pStyle w:val="Compact"/>
                    <w:jc w:val="center"/>
                  </w:pPr>
                  <w:r>
                    <w:t xml:space="preserve">0.027</w:t>
                  </w:r>
                </w:p>
              </w:tc>
            </w:tr>
            <w:tr>
              <w:tc>
                <w:tcPr/>
                <w:p>
                  <w:pPr>
                    <w:pStyle w:val="Compact"/>
                  </w:pPr>
                </w:p>
              </w:tc>
              <w:tc>
                <w:tcPr/>
                <w:p>
                  <w:pPr>
                    <w:pStyle w:val="Compact"/>
                    <w:jc w:val="center"/>
                  </w:pPr>
                  <w:r>
                    <w:t xml:space="preserve">(0.310)</w:t>
                  </w:r>
                </w:p>
              </w:tc>
            </w:tr>
            <w:tr>
              <w:tc>
                <w:tcPr/>
                <w:p>
                  <w:pPr>
                    <w:pStyle w:val="Compact"/>
                    <w:jc w:val="center"/>
                  </w:pPr>
                  <w:r>
                    <w:t xml:space="preserve">income_adj_decile</w:t>
                  </w:r>
                </w:p>
              </w:tc>
              <w:tc>
                <w:tcPr/>
                <w:p>
                  <w:pPr>
                    <w:pStyle w:val="Compact"/>
                    <w:jc w:val="center"/>
                  </w:pPr>
                  <w:r>
                    <w:t xml:space="preserve">-0.033***</w:t>
                  </w:r>
                </w:p>
              </w:tc>
            </w:tr>
            <w:tr>
              <w:tc>
                <w:tcPr/>
                <w:p>
                  <w:pPr>
                    <w:pStyle w:val="Compact"/>
                  </w:pPr>
                </w:p>
              </w:tc>
              <w:tc>
                <w:tcPr/>
                <w:p>
                  <w:pPr>
                    <w:pStyle w:val="Compact"/>
                    <w:jc w:val="center"/>
                  </w:pPr>
                  <w:r>
                    <w:t xml:space="preserve">(0.010)</w:t>
                  </w:r>
                </w:p>
              </w:tc>
            </w:tr>
            <w:tr>
              <w:tc>
                <w:tcPr/>
                <w:p>
                  <w:pPr>
                    <w:pStyle w:val="Compact"/>
                    <w:jc w:val="center"/>
                  </w:pPr>
                  <w:r>
                    <w:t xml:space="preserve">op_limit_immigration</w:t>
                  </w:r>
                </w:p>
              </w:tc>
              <w:tc>
                <w:tcPr/>
                <w:p>
                  <w:pPr>
                    <w:pStyle w:val="Compact"/>
                    <w:jc w:val="center"/>
                  </w:pPr>
                  <w:r>
                    <w:t xml:space="preserve">-0.082**</w:t>
                  </w:r>
                </w:p>
              </w:tc>
            </w:tr>
            <w:tr>
              <w:tc>
                <w:tcPr/>
                <w:p>
                  <w:pPr>
                    <w:pStyle w:val="Compact"/>
                  </w:pPr>
                </w:p>
              </w:tc>
              <w:tc>
                <w:tcPr/>
                <w:p>
                  <w:pPr>
                    <w:pStyle w:val="Compact"/>
                    <w:jc w:val="center"/>
                  </w:pPr>
                  <w:r>
                    <w:t xml:space="preserve">(0.030)</w:t>
                  </w:r>
                </w:p>
              </w:tc>
            </w:tr>
            <w:tr>
              <w:tc>
                <w:tcPr/>
                <w:p>
                  <w:pPr>
                    <w:pStyle w:val="Compact"/>
                    <w:jc w:val="center"/>
                  </w:pPr>
                  <w:r>
                    <w:t xml:space="preserve">op_protec_env</w:t>
                  </w:r>
                </w:p>
              </w:tc>
              <w:tc>
                <w:tcPr/>
                <w:p>
                  <w:pPr>
                    <w:pStyle w:val="Compact"/>
                    <w:jc w:val="center"/>
                  </w:pPr>
                  <w:r>
                    <w:t xml:space="preserve">-0.122***</w:t>
                  </w:r>
                </w:p>
              </w:tc>
            </w:tr>
            <w:tr>
              <w:tc>
                <w:tcPr/>
                <w:p>
                  <w:pPr>
                    <w:pStyle w:val="Compact"/>
                  </w:pPr>
                </w:p>
              </w:tc>
              <w:tc>
                <w:tcPr/>
                <w:p>
                  <w:pPr>
                    <w:pStyle w:val="Compact"/>
                    <w:jc w:val="center"/>
                  </w:pPr>
                  <w:r>
                    <w:t xml:space="preserve">(0.035)</w:t>
                  </w:r>
                </w:p>
              </w:tc>
            </w:tr>
            <w:tr>
              <w:tc>
                <w:tcPr/>
                <w:p>
                  <w:pPr>
                    <w:pStyle w:val="Compact"/>
                    <w:jc w:val="center"/>
                  </w:pPr>
                  <w:r>
                    <w:t xml:space="preserve">op_social_expenses</w:t>
                  </w:r>
                </w:p>
              </w:tc>
              <w:tc>
                <w:tcPr/>
                <w:p>
                  <w:pPr>
                    <w:pStyle w:val="Compact"/>
                    <w:jc w:val="center"/>
                  </w:pPr>
                  <w:r>
                    <w:t xml:space="preserve">0.155***</w:t>
                  </w:r>
                </w:p>
              </w:tc>
            </w:tr>
            <w:tr>
              <w:tc>
                <w:tcPr/>
                <w:p>
                  <w:pPr>
                    <w:pStyle w:val="Compact"/>
                  </w:pPr>
                </w:p>
              </w:tc>
              <w:tc>
                <w:tcPr/>
                <w:p>
                  <w:pPr>
                    <w:pStyle w:val="Compact"/>
                    <w:jc w:val="center"/>
                  </w:pPr>
                  <w:r>
                    <w:t xml:space="preserve">(0.034)</w:t>
                  </w:r>
                </w:p>
              </w:tc>
            </w:tr>
            <w:tr>
              <w:tc>
                <w:tcPr/>
                <w:p>
                  <w:pPr>
                    <w:pStyle w:val="Compact"/>
                    <w:jc w:val="center"/>
                  </w:pPr>
                  <w:r>
                    <w:t xml:space="preserve">op_eu_integration</w:t>
                  </w:r>
                </w:p>
              </w:tc>
              <w:tc>
                <w:tcPr/>
                <w:p>
                  <w:pPr>
                    <w:pStyle w:val="Compact"/>
                    <w:jc w:val="center"/>
                  </w:pPr>
                  <w:r>
                    <w:t xml:space="preserve">0.074**</w:t>
                  </w:r>
                </w:p>
              </w:tc>
            </w:tr>
            <w:tr>
              <w:tc>
                <w:tcPr/>
                <w:p>
                  <w:pPr>
                    <w:pStyle w:val="Compact"/>
                  </w:pPr>
                </w:p>
              </w:tc>
              <w:tc>
                <w:tcPr/>
                <w:p>
                  <w:pPr>
                    <w:pStyle w:val="Compact"/>
                    <w:jc w:val="center"/>
                  </w:pPr>
                  <w:r>
                    <w:t xml:space="preserve">(0.027)</w:t>
                  </w:r>
                </w:p>
              </w:tc>
            </w:tr>
            <w:tr>
              <w:tc>
                <w:tcPr/>
                <w:p>
                  <w:pPr>
                    <w:pStyle w:val="Compact"/>
                    <w:jc w:val="center"/>
                  </w:pPr>
                  <w:r>
                    <w:t xml:space="preserve">op_chances_foreigners</w:t>
                  </w:r>
                </w:p>
              </w:tc>
              <w:tc>
                <w:tcPr/>
                <w:p>
                  <w:pPr>
                    <w:pStyle w:val="Compact"/>
                    <w:jc w:val="center"/>
                  </w:pPr>
                  <w:r>
                    <w:t xml:space="preserve">0.036</w:t>
                  </w:r>
                </w:p>
              </w:tc>
            </w:tr>
            <w:tr>
              <w:tc>
                <w:tcPr/>
                <w:p>
                  <w:pPr>
                    <w:pStyle w:val="Compact"/>
                  </w:pPr>
                </w:p>
              </w:tc>
              <w:tc>
                <w:tcPr/>
                <w:p>
                  <w:pPr>
                    <w:pStyle w:val="Compact"/>
                    <w:jc w:val="center"/>
                  </w:pPr>
                  <w:r>
                    <w:t xml:space="preserve">(0.026)</w:t>
                  </w:r>
                </w:p>
              </w:tc>
            </w:tr>
            <w:tr>
              <w:tc>
                <w:tcPr/>
                <w:p>
                  <w:pPr>
                    <w:pStyle w:val="Compact"/>
                    <w:jc w:val="center"/>
                  </w:pPr>
                  <w:r>
                    <w:t xml:space="preserve">op_gender_equality</w:t>
                  </w:r>
                </w:p>
              </w:tc>
              <w:tc>
                <w:tcPr/>
                <w:p>
                  <w:pPr>
                    <w:pStyle w:val="Compact"/>
                    <w:jc w:val="center"/>
                  </w:pPr>
                  <w:r>
                    <w:t xml:space="preserve">0.066+</w:t>
                  </w:r>
                </w:p>
              </w:tc>
            </w:tr>
            <w:tr>
              <w:tc>
                <w:tcPr/>
                <w:p>
                  <w:pPr>
                    <w:pStyle w:val="Compact"/>
                  </w:pPr>
                </w:p>
              </w:tc>
              <w:tc>
                <w:tcPr/>
                <w:p>
                  <w:pPr>
                    <w:pStyle w:val="Compact"/>
                    <w:jc w:val="center"/>
                  </w:pPr>
                  <w:r>
                    <w:t xml:space="preserve">(0.035)</w:t>
                  </w:r>
                </w:p>
              </w:tc>
            </w:tr>
            <w:tr>
              <w:tc>
                <w:tcPr/>
                <w:p>
                  <w:pPr>
                    <w:pStyle w:val="Compact"/>
                    <w:jc w:val="center"/>
                  </w:pPr>
                  <w:r>
                    <w:t xml:space="preserve">op_taxes_high_income</w:t>
                  </w:r>
                </w:p>
              </w:tc>
              <w:tc>
                <w:tcPr/>
                <w:p>
                  <w:pPr>
                    <w:pStyle w:val="Compact"/>
                    <w:jc w:val="center"/>
                  </w:pPr>
                  <w:r>
                    <w:t xml:space="preserve">-0.071*</w:t>
                  </w:r>
                </w:p>
              </w:tc>
            </w:tr>
            <w:tr>
              <w:tc>
                <w:tcPr/>
                <w:p>
                  <w:pPr>
                    <w:pStyle w:val="Compact"/>
                  </w:pPr>
                </w:p>
              </w:tc>
              <w:tc>
                <w:tcPr/>
                <w:p>
                  <w:pPr>
                    <w:pStyle w:val="Compact"/>
                    <w:jc w:val="center"/>
                  </w:pPr>
                  <w:r>
                    <w:t xml:space="preserve">(0.032)</w:t>
                  </w:r>
                </w:p>
              </w:tc>
            </w:tr>
            <w:tr>
              <w:tc>
                <w:tcPr/>
                <w:p>
                  <w:pPr>
                    <w:pStyle w:val="Compact"/>
                    <w:jc w:val="center"/>
                  </w:pPr>
                  <w:r>
                    <w:t xml:space="preserve">op_min_wage</w:t>
                  </w:r>
                </w:p>
              </w:tc>
              <w:tc>
                <w:tcPr/>
                <w:p>
                  <w:pPr>
                    <w:pStyle w:val="Compact"/>
                    <w:jc w:val="center"/>
                  </w:pPr>
                  <w:r>
                    <w:t xml:space="preserve">0.147***</w:t>
                  </w:r>
                </w:p>
              </w:tc>
            </w:tr>
            <w:tr>
              <w:tc>
                <w:tcPr/>
                <w:p>
                  <w:pPr>
                    <w:pStyle w:val="Compact"/>
                  </w:pPr>
                </w:p>
              </w:tc>
              <w:tc>
                <w:tcPr/>
                <w:p>
                  <w:pPr>
                    <w:pStyle w:val="Compact"/>
                    <w:jc w:val="center"/>
                  </w:pPr>
                  <w:r>
                    <w:t xml:space="preserve">(0.034)</w:t>
                  </w:r>
                </w:p>
              </w:tc>
            </w:tr>
            <w:tr>
              <w:tc>
                <w:tcPr/>
                <w:p>
                  <w:pPr>
                    <w:pStyle w:val="Compact"/>
                    <w:jc w:val="center"/>
                  </w:pPr>
                  <w:r>
                    <w:t xml:space="preserve">op_incr_retirementAge</w:t>
                  </w:r>
                </w:p>
              </w:tc>
              <w:tc>
                <w:tcPr/>
                <w:p>
                  <w:pPr>
                    <w:pStyle w:val="Compact"/>
                    <w:jc w:val="center"/>
                  </w:pPr>
                  <w:r>
                    <w:t xml:space="preserve">-0.335***</w:t>
                  </w:r>
                </w:p>
              </w:tc>
            </w:tr>
            <w:tr>
              <w:tc>
                <w:tcPr/>
                <w:p>
                  <w:pPr>
                    <w:pStyle w:val="Compact"/>
                  </w:pPr>
                </w:p>
              </w:tc>
              <w:tc>
                <w:tcPr/>
                <w:p>
                  <w:pPr>
                    <w:pStyle w:val="Compact"/>
                    <w:jc w:val="center"/>
                  </w:pPr>
                  <w:r>
                    <w:t xml:space="preserve">(0.031)</w:t>
                  </w:r>
                </w:p>
              </w:tc>
            </w:tr>
            <w:tr>
              <w:tc>
                <w:tcPr/>
                <w:p>
                  <w:pPr>
                    <w:pStyle w:val="Compact"/>
                    <w:jc w:val="center"/>
                  </w:pPr>
                  <w:r>
                    <w:t xml:space="preserve">probs_vote_centre</w:t>
                  </w:r>
                </w:p>
              </w:tc>
              <w:tc>
                <w:tcPr/>
                <w:p>
                  <w:pPr>
                    <w:pStyle w:val="Compact"/>
                    <w:jc w:val="center"/>
                  </w:pPr>
                  <w:r>
                    <w:t xml:space="preserve">-0.028**</w:t>
                  </w:r>
                </w:p>
              </w:tc>
            </w:tr>
            <w:tr>
              <w:tc>
                <w:tcPr/>
                <w:p>
                  <w:pPr>
                    <w:pStyle w:val="Compact"/>
                  </w:pPr>
                </w:p>
              </w:tc>
              <w:tc>
                <w:tcPr/>
                <w:p>
                  <w:pPr>
                    <w:pStyle w:val="Compact"/>
                    <w:jc w:val="center"/>
                  </w:pPr>
                  <w:r>
                    <w:t xml:space="preserve">(0.010)</w:t>
                  </w:r>
                </w:p>
              </w:tc>
            </w:tr>
            <w:tr>
              <w:tc>
                <w:tcPr/>
                <w:p>
                  <w:pPr>
                    <w:pStyle w:val="Compact"/>
                    <w:jc w:val="center"/>
                  </w:pPr>
                  <w:r>
                    <w:t xml:space="preserve">probs_vote_ps</w:t>
                  </w:r>
                </w:p>
              </w:tc>
              <w:tc>
                <w:tcPr/>
                <w:p>
                  <w:pPr>
                    <w:pStyle w:val="Compact"/>
                    <w:jc w:val="center"/>
                  </w:pPr>
                  <w:r>
                    <w:t xml:space="preserve">0.048***</w:t>
                  </w:r>
                </w:p>
              </w:tc>
            </w:tr>
            <w:tr>
              <w:tc>
                <w:tcPr/>
                <w:p>
                  <w:pPr>
                    <w:pStyle w:val="Compact"/>
                  </w:pPr>
                </w:p>
              </w:tc>
              <w:tc>
                <w:tcPr/>
                <w:p>
                  <w:pPr>
                    <w:pStyle w:val="Compact"/>
                    <w:jc w:val="center"/>
                  </w:pPr>
                  <w:r>
                    <w:t xml:space="preserve">(0.012)</w:t>
                  </w:r>
                </w:p>
              </w:tc>
            </w:tr>
            <w:tr>
              <w:tc>
                <w:tcPr/>
                <w:p>
                  <w:pPr>
                    <w:pStyle w:val="Compact"/>
                    <w:jc w:val="center"/>
                  </w:pPr>
                  <w:r>
                    <w:t xml:space="preserve">probs_vote_verts</w:t>
                  </w:r>
                </w:p>
              </w:tc>
              <w:tc>
                <w:tcPr/>
                <w:p>
                  <w:pPr>
                    <w:pStyle w:val="Compact"/>
                    <w:jc w:val="center"/>
                  </w:pPr>
                  <w:r>
                    <w:t xml:space="preserve">-0.024+</w:t>
                  </w:r>
                </w:p>
              </w:tc>
            </w:tr>
            <w:tr>
              <w:tc>
                <w:tcPr/>
                <w:p>
                  <w:pPr>
                    <w:pStyle w:val="Compact"/>
                  </w:pPr>
                </w:p>
              </w:tc>
              <w:tc>
                <w:tcPr/>
                <w:p>
                  <w:pPr>
                    <w:pStyle w:val="Compact"/>
                    <w:jc w:val="center"/>
                  </w:pPr>
                  <w:r>
                    <w:t xml:space="preserve">(0.014)</w:t>
                  </w:r>
                </w:p>
              </w:tc>
            </w:tr>
            <w:tr>
              <w:tc>
                <w:tcPr/>
                <w:p>
                  <w:pPr>
                    <w:pStyle w:val="Compact"/>
                    <w:jc w:val="center"/>
                  </w:pPr>
                  <w:r>
                    <w:t xml:space="preserve">probs_vote_vertsliberaux</w:t>
                  </w:r>
                </w:p>
              </w:tc>
              <w:tc>
                <w:tcPr/>
                <w:p>
                  <w:pPr>
                    <w:pStyle w:val="Compact"/>
                    <w:jc w:val="center"/>
                  </w:pPr>
                  <w:r>
                    <w:t xml:space="preserve">-0.036**</w:t>
                  </w:r>
                </w:p>
              </w:tc>
            </w:tr>
            <w:tr>
              <w:tc>
                <w:tcPr/>
                <w:p>
                  <w:pPr>
                    <w:pStyle w:val="Compact"/>
                  </w:pPr>
                </w:p>
              </w:tc>
              <w:tc>
                <w:tcPr/>
                <w:p>
                  <w:pPr>
                    <w:pStyle w:val="Compact"/>
                    <w:jc w:val="center"/>
                  </w:pPr>
                  <w:r>
                    <w:t xml:space="preserve">(0.011)</w:t>
                  </w:r>
                </w:p>
              </w:tc>
            </w:tr>
            <w:tr>
              <w:tc>
                <w:tcPr/>
                <w:p>
                  <w:pPr>
                    <w:pStyle w:val="Compact"/>
                    <w:jc w:val="center"/>
                  </w:pPr>
                  <w:r>
                    <w:t xml:space="preserve">langueFrench</w:t>
                  </w:r>
                </w:p>
              </w:tc>
              <w:tc>
                <w:tcPr/>
                <w:p>
                  <w:pPr>
                    <w:pStyle w:val="Compact"/>
                    <w:jc w:val="center"/>
                  </w:pPr>
                  <w:r>
                    <w:t xml:space="preserve">0.467***</w:t>
                  </w:r>
                </w:p>
              </w:tc>
            </w:tr>
            <w:tr>
              <w:tc>
                <w:tcPr/>
                <w:p>
                  <w:pPr>
                    <w:pStyle w:val="Compact"/>
                  </w:pPr>
                </w:p>
              </w:tc>
              <w:tc>
                <w:tcPr/>
                <w:p>
                  <w:pPr>
                    <w:pStyle w:val="Compact"/>
                    <w:jc w:val="center"/>
                  </w:pPr>
                  <w:r>
                    <w:t xml:space="preserve">(0.069)</w:t>
                  </w:r>
                </w:p>
              </w:tc>
            </w:tr>
            <w:tr>
              <w:tc>
                <w:tcPr/>
                <w:p>
                  <w:pPr>
                    <w:pStyle w:val="Compact"/>
                    <w:jc w:val="center"/>
                  </w:pPr>
                  <w:r>
                    <w:t xml:space="preserve">langueItalian</w:t>
                  </w:r>
                </w:p>
              </w:tc>
              <w:tc>
                <w:tcPr/>
                <w:p>
                  <w:pPr>
                    <w:pStyle w:val="Compact"/>
                    <w:jc w:val="center"/>
                  </w:pPr>
                  <w:r>
                    <w:t xml:space="preserve">0.172</w:t>
                  </w:r>
                </w:p>
              </w:tc>
            </w:tr>
            <w:tr>
              <w:tc>
                <w:tcPr/>
                <w:p>
                  <w:pPr>
                    <w:pStyle w:val="Compact"/>
                  </w:pPr>
                </w:p>
              </w:tc>
              <w:tc>
                <w:tcPr/>
                <w:p>
                  <w:pPr>
                    <w:pStyle w:val="Compact"/>
                    <w:jc w:val="center"/>
                  </w:pPr>
                  <w:r>
                    <w:t xml:space="preserve">(0.154)</w:t>
                  </w:r>
                </w:p>
              </w:tc>
            </w:tr>
            <w:tr>
              <w:tc>
                <w:tcPr/>
                <w:p>
                  <w:pPr>
                    <w:pStyle w:val="Compact"/>
                    <w:jc w:val="center"/>
                  </w:pPr>
                  <w:r>
                    <w:t xml:space="preserve">langueRomansh</w:t>
                  </w:r>
                </w:p>
              </w:tc>
              <w:tc>
                <w:tcPr/>
                <w:p>
                  <w:pPr>
                    <w:pStyle w:val="Compact"/>
                    <w:jc w:val="center"/>
                  </w:pPr>
                  <w:r>
                    <w:t xml:space="preserve">0.004</w:t>
                  </w:r>
                </w:p>
              </w:tc>
            </w:tr>
            <w:tr>
              <w:tc>
                <w:tcPr/>
                <w:p>
                  <w:pPr>
                    <w:pStyle w:val="Compact"/>
                  </w:pPr>
                </w:p>
              </w:tc>
              <w:tc>
                <w:tcPr/>
                <w:p>
                  <w:pPr>
                    <w:pStyle w:val="Compact"/>
                    <w:jc w:val="center"/>
                  </w:pPr>
                  <w:r>
                    <w:t xml:space="preserve">(0.545)</w:t>
                  </w:r>
                </w:p>
              </w:tc>
            </w:tr>
            <w:tr>
              <w:tc>
                <w:tcPr/>
                <w:p>
                  <w:pPr>
                    <w:pStyle w:val="Compact"/>
                    <w:jc w:val="center"/>
                  </w:pPr>
                  <w:r>
                    <w:t xml:space="preserve">W1_age</w:t>
                  </w:r>
                </w:p>
              </w:tc>
              <w:tc>
                <w:tcPr/>
                <w:p>
                  <w:pPr>
                    <w:pStyle w:val="Compact"/>
                    <w:jc w:val="center"/>
                  </w:pPr>
                  <w:r>
                    <w:t xml:space="preserve">0.010***</w:t>
                  </w:r>
                </w:p>
              </w:tc>
            </w:tr>
            <w:tr>
              <w:tc>
                <w:tcPr/>
                <w:p>
                  <w:pPr>
                    <w:pStyle w:val="Compact"/>
                  </w:pPr>
                </w:p>
              </w:tc>
              <w:tc>
                <w:tcPr/>
                <w:p>
                  <w:pPr>
                    <w:pStyle w:val="Compact"/>
                    <w:jc w:val="center"/>
                  </w:pPr>
                  <w:r>
                    <w:t xml:space="preserve">(0.002)</w:t>
                  </w:r>
                </w:p>
              </w:tc>
            </w:tr>
            <w:tr>
              <w:tc>
                <w:tcPr/>
                <w:p>
                  <w:pPr>
                    <w:pStyle w:val="Compact"/>
                    <w:jc w:val="center"/>
                  </w:pPr>
                  <w:r>
                    <w:t xml:space="preserve">genderFemale</w:t>
                  </w:r>
                </w:p>
              </w:tc>
              <w:tc>
                <w:tcPr/>
                <w:p>
                  <w:pPr>
                    <w:pStyle w:val="Compact"/>
                    <w:jc w:val="center"/>
                  </w:pPr>
                  <w:r>
                    <w:t xml:space="preserve">0.290***</w:t>
                  </w:r>
                </w:p>
              </w:tc>
            </w:tr>
            <w:tr>
              <w:tc>
                <w:tcPr/>
                <w:p>
                  <w:pPr>
                    <w:pStyle w:val="Compact"/>
                  </w:pPr>
                </w:p>
              </w:tc>
              <w:tc>
                <w:tcPr/>
                <w:p>
                  <w:pPr>
                    <w:pStyle w:val="Compact"/>
                    <w:jc w:val="center"/>
                  </w:pPr>
                  <w:r>
                    <w:t xml:space="preserve">(0.057)</w:t>
                  </w:r>
                </w:p>
              </w:tc>
            </w:tr>
            <w:tr>
              <w:tc>
                <w:tcPr/>
                <w:p>
                  <w:pPr>
                    <w:pStyle w:val="Compact"/>
                    <w:jc w:val="center"/>
                  </w:pPr>
                  <w:r>
                    <w:t xml:space="preserve">Num.Obs.</w:t>
                  </w:r>
                </w:p>
              </w:tc>
              <w:tc>
                <w:tcPr/>
                <w:p>
                  <w:pPr>
                    <w:pStyle w:val="Compact"/>
                    <w:jc w:val="center"/>
                  </w:pPr>
                  <w:r>
                    <w:t xml:space="preserve">6280</w:t>
                  </w:r>
                </w:p>
              </w:tc>
            </w:tr>
            <w:tr>
              <w:tc>
                <w:tcPr/>
                <w:p>
                  <w:pPr>
                    <w:pStyle w:val="Compact"/>
                    <w:jc w:val="center"/>
                  </w:pPr>
                  <w:r>
                    <w:t xml:space="preserve">AIC</w:t>
                  </w:r>
                </w:p>
              </w:tc>
              <w:tc>
                <w:tcPr/>
                <w:p>
                  <w:pPr>
                    <w:pStyle w:val="Compact"/>
                    <w:jc w:val="center"/>
                  </w:pPr>
                  <w:r>
                    <w:t xml:space="preserve">7950.8</w:t>
                  </w:r>
                </w:p>
              </w:tc>
            </w:tr>
            <w:tr>
              <w:tc>
                <w:tcPr/>
                <w:p>
                  <w:pPr>
                    <w:pStyle w:val="Compact"/>
                    <w:jc w:val="center"/>
                  </w:pPr>
                  <w:r>
                    <w:t xml:space="preserve">BIC</w:t>
                  </w:r>
                </w:p>
              </w:tc>
              <w:tc>
                <w:tcPr/>
                <w:p>
                  <w:pPr>
                    <w:pStyle w:val="Compact"/>
                    <w:jc w:val="center"/>
                  </w:pPr>
                  <w:r>
                    <w:t xml:space="preserve">8085.7</w:t>
                  </w:r>
                </w:p>
              </w:tc>
            </w:tr>
            <w:tr>
              <w:tc>
                <w:tcPr/>
                <w:p>
                  <w:pPr>
                    <w:pStyle w:val="Compact"/>
                    <w:jc w:val="center"/>
                  </w:pPr>
                  <w:r>
                    <w:t xml:space="preserve">Log.Lik.</w:t>
                  </w:r>
                </w:p>
              </w:tc>
              <w:tc>
                <w:tcPr/>
                <w:p>
                  <w:pPr>
                    <w:pStyle w:val="Compact"/>
                    <w:jc w:val="center"/>
                  </w:pPr>
                  <w:r>
                    <w:t xml:space="preserve">-3955.407</w:t>
                  </w:r>
                </w:p>
              </w:tc>
            </w:tr>
            <w:tr>
              <w:tc>
                <w:tcPr/>
                <w:p>
                  <w:pPr>
                    <w:pStyle w:val="Compact"/>
                    <w:jc w:val="center"/>
                  </w:pPr>
                  <w:r>
                    <w:t xml:space="preserve">F</w:t>
                  </w:r>
                </w:p>
              </w:tc>
              <w:tc>
                <w:tcPr/>
                <w:p>
                  <w:pPr>
                    <w:pStyle w:val="Compact"/>
                    <w:jc w:val="center"/>
                  </w:pPr>
                  <w:r>
                    <w:t xml:space="preserve">30.731</w:t>
                  </w:r>
                </w:p>
              </w:tc>
            </w:tr>
            <w:tr>
              <w:tc>
                <w:tcPr/>
                <w:p>
                  <w:pPr>
                    <w:pStyle w:val="Compact"/>
                    <w:jc w:val="center"/>
                  </w:pPr>
                  <w:r>
                    <w:t xml:space="preserve">RMSE</w:t>
                  </w:r>
                </w:p>
              </w:tc>
              <w:tc>
                <w:tcPr/>
                <w:p>
                  <w:pPr>
                    <w:pStyle w:val="Compact"/>
                    <w:jc w:val="center"/>
                  </w:pPr>
                  <w:r>
                    <w:t xml:space="preserve">0.47</w:t>
                  </w:r>
                </w:p>
              </w:tc>
            </w:tr>
            <w:tr>
              <w:tc>
                <w:tcPr>
                  <w:gridSpan w:val="2"/>
                </w:tcPr>
                <w:p>
                  <w:pPr>
                    <w:pStyle w:val="Compact"/>
                    <w:numPr>
                      <w:ilvl w:val="0"/>
                      <w:numId w:val="1001"/>
                    </w:numPr>
                    <w:jc w:val="center"/>
                  </w:pPr>
                  <w:r>
                    <w:t xml:space="preserve">p &lt; 0.1, * p &lt; 0.05, ** p &lt; 0.01, *** p &lt; 0.001</w:t>
                  </w:r>
                </w:p>
              </w:tc>
            </w:tr>
          </w:tbl>
          <w:bookmarkEnd w:id="45"/>
          <w:p/>
        </w:tc>
      </w:tr>
    </w:tbl>
    <w:p>
      <w:pPr>
        <w:pStyle w:val="FirstParagraph"/>
      </w:pPr>
      <w:r>
        <w:rPr>
          <w:vertAlign w:val="subscript"/>
        </w:rPr>
        <w:t xml:space="preserve">Source:</w:t>
      </w:r>
      <w:r>
        <w:rPr>
          <w:vertAlign w:val="subscript"/>
        </w:rPr>
        <w:t xml:space="preserve"> </w:t>
      </w:r>
      <w:hyperlink r:id="rId22">
        <w:r>
          <w:rPr>
            <w:rStyle w:val="Hyperlink"/>
            <w:vertAlign w:val="subscript"/>
          </w:rPr>
          <w:t xml:space="preserve">Article Notebook</w:t>
        </w:r>
      </w:hyperlink>
    </w:p>
    <w:p>
      <w:pPr>
        <w:pStyle w:val="BodyText"/>
      </w:pPr>
      <w:r>
        <w:t xml:space="preserve"> </w:t>
      </w:r>
    </w:p>
    <w:tbl>
      <w:tblPr>
        <w:tblStyle w:val="Table"/>
        <w:tblW w:type="pct" w:w="5000"/>
        <w:tblLayout w:type="fixed"/>
        <w:tblLook w:firstRow="1" w:lastRow="1" w:firstColumn="0" w:lastColumn="0" w:noHBand="0" w:noVBand="0" w:val="0020"/>
      </w:tblPr>
      <w:tblGrid>
        <w:gridCol w:w="4140"/>
        <w:gridCol w:w="3780"/>
      </w:tblGrid>
      <w:tr>
        <w:trPr>
          <w:tblHeader w:val="on"/>
        </w:trPr>
        <w:tc>
          <w:tcPr/>
          <w:p>
            <w:pPr>
              <w:pStyle w:val="Compact"/>
            </w:pPr>
          </w:p>
        </w:tc>
        <w:tc>
          <w:tcPr/>
          <w:p>
            <w:pPr>
              <w:pStyle w:val="Compact"/>
            </w:pPr>
            <w:r>
              <w:t xml:space="preserve">Initiative pour l’allègement des primes</w:t>
            </w:r>
          </w:p>
        </w:tc>
      </w:tr>
      <w:tr>
        <w:tc>
          <w:tcPr/>
          <w:p>
            <w:pPr>
              <w:pStyle w:val="Compact"/>
            </w:pPr>
            <w:r>
              <w:t xml:space="preserve">(Intercept)</w:t>
            </w:r>
          </w:p>
        </w:tc>
        <w:tc>
          <w:tcPr/>
          <w:p>
            <w:pPr>
              <w:pStyle w:val="Compact"/>
            </w:pPr>
            <w:r>
              <w:t xml:space="preserve">-1.112**</w:t>
            </w:r>
          </w:p>
        </w:tc>
      </w:tr>
      <w:tr>
        <w:tc>
          <w:tcPr/>
          <w:p>
            <w:pPr>
              <w:pStyle w:val="Compact"/>
            </w:pPr>
          </w:p>
        </w:tc>
        <w:tc>
          <w:tcPr/>
          <w:p>
            <w:pPr>
              <w:pStyle w:val="Compact"/>
            </w:pPr>
            <w:r>
              <w:t xml:space="preserve">(0.425)</w:t>
            </w:r>
          </w:p>
        </w:tc>
      </w:tr>
      <w:tr>
        <w:tc>
          <w:tcPr/>
          <w:p>
            <w:pPr>
              <w:pStyle w:val="Compact"/>
            </w:pPr>
            <w:r>
              <w:t xml:space="preserve">income_adj_decile</w:t>
            </w:r>
          </w:p>
        </w:tc>
        <w:tc>
          <w:tcPr/>
          <w:p>
            <w:pPr>
              <w:pStyle w:val="Compact"/>
            </w:pPr>
            <w:r>
              <w:t xml:space="preserve">-0.124***</w:t>
            </w:r>
          </w:p>
        </w:tc>
      </w:tr>
      <w:tr>
        <w:tc>
          <w:tcPr/>
          <w:p>
            <w:pPr>
              <w:pStyle w:val="Compact"/>
            </w:pPr>
          </w:p>
        </w:tc>
        <w:tc>
          <w:tcPr/>
          <w:p>
            <w:pPr>
              <w:pStyle w:val="Compact"/>
            </w:pPr>
            <w:r>
              <w:t xml:space="preserve">(0.016)</w:t>
            </w:r>
          </w:p>
        </w:tc>
      </w:tr>
      <w:tr>
        <w:tc>
          <w:tcPr/>
          <w:p>
            <w:pPr>
              <w:pStyle w:val="Compact"/>
            </w:pPr>
            <w:r>
              <w:t xml:space="preserve">I(eseg10 ==</w:t>
            </w:r>
            <w:r>
              <w:t xml:space="preserve"> </w:t>
            </w:r>
            <w:r>
              <w:t xml:space="preserve">“Retired”</w:t>
            </w:r>
            <w:r>
              <w:t xml:space="preserve">)TRUE</w:t>
            </w:r>
          </w:p>
        </w:tc>
        <w:tc>
          <w:tcPr/>
          <w:p>
            <w:pPr>
              <w:pStyle w:val="Compact"/>
            </w:pPr>
            <w:r>
              <w:t xml:space="preserve">0.553***</w:t>
            </w:r>
          </w:p>
        </w:tc>
      </w:tr>
      <w:tr>
        <w:tc>
          <w:tcPr/>
          <w:p>
            <w:pPr>
              <w:pStyle w:val="Compact"/>
            </w:pPr>
          </w:p>
        </w:tc>
        <w:tc>
          <w:tcPr/>
          <w:p>
            <w:pPr>
              <w:pStyle w:val="Compact"/>
            </w:pPr>
            <w:r>
              <w:t xml:space="preserve">(0.137)</w:t>
            </w:r>
          </w:p>
        </w:tc>
      </w:tr>
      <w:tr>
        <w:tc>
          <w:tcPr/>
          <w:p>
            <w:pPr>
              <w:pStyle w:val="Compact"/>
            </w:pPr>
            <w:r>
              <w:t xml:space="preserve">lr</w:t>
            </w:r>
          </w:p>
        </w:tc>
        <w:tc>
          <w:tcPr/>
          <w:p>
            <w:pPr>
              <w:pStyle w:val="Compact"/>
            </w:pPr>
            <w:r>
              <w:t xml:space="preserve">-0.076**</w:t>
            </w:r>
          </w:p>
        </w:tc>
      </w:tr>
      <w:tr>
        <w:tc>
          <w:tcPr/>
          <w:p>
            <w:pPr>
              <w:pStyle w:val="Compact"/>
            </w:pPr>
          </w:p>
        </w:tc>
        <w:tc>
          <w:tcPr/>
          <w:p>
            <w:pPr>
              <w:pStyle w:val="Compact"/>
            </w:pPr>
            <w:r>
              <w:t xml:space="preserve">(0.027)</w:t>
            </w:r>
          </w:p>
        </w:tc>
      </w:tr>
      <w:tr>
        <w:tc>
          <w:tcPr/>
          <w:p>
            <w:pPr>
              <w:pStyle w:val="Compact"/>
            </w:pPr>
            <w:r>
              <w:t xml:space="preserve">op_state_intervention</w:t>
            </w:r>
          </w:p>
        </w:tc>
        <w:tc>
          <w:tcPr/>
          <w:p>
            <w:pPr>
              <w:pStyle w:val="Compact"/>
            </w:pPr>
            <w:r>
              <w:t xml:space="preserve">-0.266***</w:t>
            </w:r>
          </w:p>
        </w:tc>
      </w:tr>
      <w:tr>
        <w:tc>
          <w:tcPr/>
          <w:p>
            <w:pPr>
              <w:pStyle w:val="Compact"/>
            </w:pPr>
          </w:p>
        </w:tc>
        <w:tc>
          <w:tcPr/>
          <w:p>
            <w:pPr>
              <w:pStyle w:val="Compact"/>
            </w:pPr>
            <w:r>
              <w:t xml:space="preserve">(0.051)</w:t>
            </w:r>
          </w:p>
        </w:tc>
      </w:tr>
      <w:tr>
        <w:tc>
          <w:tcPr/>
          <w:p>
            <w:pPr>
              <w:pStyle w:val="Compact"/>
            </w:pPr>
            <w:r>
              <w:t xml:space="preserve">op_2many_worries_abt_env_vs_prices</w:t>
            </w:r>
          </w:p>
        </w:tc>
        <w:tc>
          <w:tcPr/>
          <w:p>
            <w:pPr>
              <w:pStyle w:val="Compact"/>
            </w:pPr>
            <w:r>
              <w:t xml:space="preserve">0.094*</w:t>
            </w:r>
          </w:p>
        </w:tc>
      </w:tr>
      <w:tr>
        <w:tc>
          <w:tcPr/>
          <w:p>
            <w:pPr>
              <w:pStyle w:val="Compact"/>
            </w:pPr>
          </w:p>
        </w:tc>
        <w:tc>
          <w:tcPr/>
          <w:p>
            <w:pPr>
              <w:pStyle w:val="Compact"/>
            </w:pPr>
            <w:r>
              <w:t xml:space="preserve">(0.043)</w:t>
            </w:r>
          </w:p>
        </w:tc>
      </w:tr>
      <w:tr>
        <w:tc>
          <w:tcPr/>
          <w:p>
            <w:pPr>
              <w:pStyle w:val="Compact"/>
            </w:pPr>
            <w:r>
              <w:t xml:space="preserve">op_min_wage</w:t>
            </w:r>
          </w:p>
        </w:tc>
        <w:tc>
          <w:tcPr/>
          <w:p>
            <w:pPr>
              <w:pStyle w:val="Compact"/>
            </w:pPr>
            <w:r>
              <w:t xml:space="preserve">0.336***</w:t>
            </w:r>
          </w:p>
        </w:tc>
      </w:tr>
      <w:tr>
        <w:tc>
          <w:tcPr/>
          <w:p>
            <w:pPr>
              <w:pStyle w:val="Compact"/>
            </w:pPr>
          </w:p>
        </w:tc>
        <w:tc>
          <w:tcPr/>
          <w:p>
            <w:pPr>
              <w:pStyle w:val="Compact"/>
            </w:pPr>
            <w:r>
              <w:t xml:space="preserve">(0.053)</w:t>
            </w:r>
          </w:p>
        </w:tc>
      </w:tr>
      <w:tr>
        <w:tc>
          <w:tcPr/>
          <w:p>
            <w:pPr>
              <w:pStyle w:val="Compact"/>
            </w:pPr>
            <w:r>
              <w:t xml:space="preserve">op_incr_retirement_age</w:t>
            </w:r>
          </w:p>
        </w:tc>
        <w:tc>
          <w:tcPr/>
          <w:p>
            <w:pPr>
              <w:pStyle w:val="Compact"/>
            </w:pPr>
            <w:r>
              <w:t xml:space="preserve">-0.128*</w:t>
            </w:r>
          </w:p>
        </w:tc>
      </w:tr>
      <w:tr>
        <w:tc>
          <w:tcPr/>
          <w:p>
            <w:pPr>
              <w:pStyle w:val="Compact"/>
            </w:pPr>
          </w:p>
        </w:tc>
        <w:tc>
          <w:tcPr/>
          <w:p>
            <w:pPr>
              <w:pStyle w:val="Compact"/>
            </w:pPr>
            <w:r>
              <w:t xml:space="preserve">(0.050)</w:t>
            </w:r>
          </w:p>
        </w:tc>
      </w:tr>
      <w:tr>
        <w:tc>
          <w:tcPr/>
          <w:p>
            <w:pPr>
              <w:pStyle w:val="Compact"/>
            </w:pPr>
            <w:r>
              <w:t xml:space="preserve">op_foreigners_votingrights</w:t>
            </w:r>
          </w:p>
        </w:tc>
        <w:tc>
          <w:tcPr/>
          <w:p>
            <w:pPr>
              <w:pStyle w:val="Compact"/>
            </w:pPr>
            <w:r>
              <w:t xml:space="preserve">0.163**</w:t>
            </w:r>
          </w:p>
        </w:tc>
      </w:tr>
      <w:tr>
        <w:tc>
          <w:tcPr/>
          <w:p>
            <w:pPr>
              <w:pStyle w:val="Compact"/>
            </w:pPr>
          </w:p>
        </w:tc>
        <w:tc>
          <w:tcPr/>
          <w:p>
            <w:pPr>
              <w:pStyle w:val="Compact"/>
            </w:pPr>
            <w:r>
              <w:t xml:space="preserve">(0.052)</w:t>
            </w:r>
          </w:p>
        </w:tc>
      </w:tr>
      <w:tr>
        <w:tc>
          <w:tcPr/>
          <w:p>
            <w:pPr>
              <w:pStyle w:val="Compact"/>
            </w:pPr>
            <w:r>
              <w:t xml:space="preserve">vote_choiceThe Centre (former CVP/ BDP)</w:t>
            </w:r>
          </w:p>
        </w:tc>
        <w:tc>
          <w:tcPr/>
          <w:p>
            <w:pPr>
              <w:pStyle w:val="Compact"/>
            </w:pPr>
            <w:r>
              <w:t xml:space="preserve">-0.057</w:t>
            </w:r>
          </w:p>
        </w:tc>
      </w:tr>
      <w:tr>
        <w:tc>
          <w:tcPr/>
          <w:p>
            <w:pPr>
              <w:pStyle w:val="Compact"/>
            </w:pPr>
          </w:p>
        </w:tc>
        <w:tc>
          <w:tcPr/>
          <w:p>
            <w:pPr>
              <w:pStyle w:val="Compact"/>
            </w:pPr>
            <w:r>
              <w:t xml:space="preserve">(0.163)</w:t>
            </w:r>
          </w:p>
        </w:tc>
      </w:tr>
      <w:tr>
        <w:tc>
          <w:tcPr/>
          <w:p>
            <w:pPr>
              <w:pStyle w:val="Compact"/>
            </w:pPr>
            <w:r>
              <w:t xml:space="preserve">vote_choiceSP/PS - Social Democratic Party</w:t>
            </w:r>
          </w:p>
        </w:tc>
        <w:tc>
          <w:tcPr/>
          <w:p>
            <w:pPr>
              <w:pStyle w:val="Compact"/>
            </w:pPr>
            <w:r>
              <w:t xml:space="preserve">0.806***</w:t>
            </w:r>
          </w:p>
        </w:tc>
      </w:tr>
      <w:tr>
        <w:tc>
          <w:tcPr/>
          <w:p>
            <w:pPr>
              <w:pStyle w:val="Compact"/>
            </w:pPr>
          </w:p>
        </w:tc>
        <w:tc>
          <w:tcPr/>
          <w:p>
            <w:pPr>
              <w:pStyle w:val="Compact"/>
            </w:pPr>
            <w:r>
              <w:t xml:space="preserve">(0.180)</w:t>
            </w:r>
          </w:p>
        </w:tc>
      </w:tr>
      <w:tr>
        <w:tc>
          <w:tcPr/>
          <w:p>
            <w:pPr>
              <w:pStyle w:val="Compact"/>
            </w:pPr>
            <w:r>
              <w:t xml:space="preserve">vote_choiceSVP/UDC - Swiss People’s Party</w:t>
            </w:r>
          </w:p>
        </w:tc>
        <w:tc>
          <w:tcPr/>
          <w:p>
            <w:pPr>
              <w:pStyle w:val="Compact"/>
            </w:pPr>
            <w:r>
              <w:t xml:space="preserve">0.134</w:t>
            </w:r>
          </w:p>
        </w:tc>
      </w:tr>
      <w:tr>
        <w:tc>
          <w:tcPr/>
          <w:p>
            <w:pPr>
              <w:pStyle w:val="Compact"/>
            </w:pPr>
          </w:p>
        </w:tc>
        <w:tc>
          <w:tcPr/>
          <w:p>
            <w:pPr>
              <w:pStyle w:val="Compact"/>
            </w:pPr>
            <w:r>
              <w:t xml:space="preserve">(0.160)</w:t>
            </w:r>
          </w:p>
        </w:tc>
      </w:tr>
      <w:tr>
        <w:tc>
          <w:tcPr/>
          <w:p>
            <w:pPr>
              <w:pStyle w:val="Compact"/>
            </w:pPr>
            <w:r>
              <w:t xml:space="preserve">vote_choiceGPS/PES - Green Party</w:t>
            </w:r>
          </w:p>
        </w:tc>
        <w:tc>
          <w:tcPr/>
          <w:p>
            <w:pPr>
              <w:pStyle w:val="Compact"/>
            </w:pPr>
            <w:r>
              <w:t xml:space="preserve">0.669**</w:t>
            </w:r>
          </w:p>
        </w:tc>
      </w:tr>
      <w:tr>
        <w:tc>
          <w:tcPr/>
          <w:p>
            <w:pPr>
              <w:pStyle w:val="Compact"/>
            </w:pPr>
          </w:p>
        </w:tc>
        <w:tc>
          <w:tcPr/>
          <w:p>
            <w:pPr>
              <w:pStyle w:val="Compact"/>
            </w:pPr>
            <w:r>
              <w:t xml:space="preserve">(0.216)</w:t>
            </w:r>
          </w:p>
        </w:tc>
      </w:tr>
      <w:tr>
        <w:tc>
          <w:tcPr/>
          <w:p>
            <w:pPr>
              <w:pStyle w:val="Compact"/>
            </w:pPr>
            <w:r>
              <w:t xml:space="preserve">vote_choiceGLP/PVL - Green Liberal Party</w:t>
            </w:r>
          </w:p>
        </w:tc>
        <w:tc>
          <w:tcPr/>
          <w:p>
            <w:pPr>
              <w:pStyle w:val="Compact"/>
            </w:pPr>
            <w:r>
              <w:t xml:space="preserve">0.052</w:t>
            </w:r>
          </w:p>
        </w:tc>
      </w:tr>
      <w:tr>
        <w:tc>
          <w:tcPr/>
          <w:p>
            <w:pPr>
              <w:pStyle w:val="Compact"/>
            </w:pPr>
          </w:p>
        </w:tc>
        <w:tc>
          <w:tcPr/>
          <w:p>
            <w:pPr>
              <w:pStyle w:val="Compact"/>
            </w:pPr>
            <w:r>
              <w:t xml:space="preserve">(0.196)</w:t>
            </w:r>
          </w:p>
        </w:tc>
      </w:tr>
      <w:tr>
        <w:tc>
          <w:tcPr/>
          <w:p>
            <w:pPr>
              <w:pStyle w:val="Compact"/>
            </w:pPr>
            <w:r>
              <w:t xml:space="preserve">vote_choiceOther party, several/all parties</w:t>
            </w:r>
          </w:p>
        </w:tc>
        <w:tc>
          <w:tcPr/>
          <w:p>
            <w:pPr>
              <w:pStyle w:val="Compact"/>
            </w:pPr>
            <w:r>
              <w:t xml:space="preserve">0.516*</w:t>
            </w:r>
          </w:p>
        </w:tc>
      </w:tr>
      <w:tr>
        <w:tc>
          <w:tcPr/>
          <w:p>
            <w:pPr>
              <w:pStyle w:val="Compact"/>
            </w:pPr>
          </w:p>
        </w:tc>
        <w:tc>
          <w:tcPr/>
          <w:p>
            <w:pPr>
              <w:pStyle w:val="Compact"/>
            </w:pPr>
            <w:r>
              <w:t xml:space="preserve">(0.222)</w:t>
            </w:r>
          </w:p>
        </w:tc>
      </w:tr>
      <w:tr>
        <w:tc>
          <w:tcPr/>
          <w:p>
            <w:pPr>
              <w:pStyle w:val="Compact"/>
            </w:pPr>
            <w:r>
              <w:t xml:space="preserve">genderFemale</w:t>
            </w:r>
          </w:p>
        </w:tc>
        <w:tc>
          <w:tcPr/>
          <w:p>
            <w:pPr>
              <w:pStyle w:val="Compact"/>
            </w:pPr>
            <w:r>
              <w:t xml:space="preserve">-0.376***</w:t>
            </w:r>
          </w:p>
        </w:tc>
      </w:tr>
      <w:tr>
        <w:tc>
          <w:tcPr/>
          <w:p>
            <w:pPr>
              <w:pStyle w:val="Compact"/>
            </w:pPr>
          </w:p>
        </w:tc>
        <w:tc>
          <w:tcPr/>
          <w:p>
            <w:pPr>
              <w:pStyle w:val="Compact"/>
            </w:pPr>
            <w:r>
              <w:t xml:space="preserve">(0.088)</w:t>
            </w:r>
          </w:p>
        </w:tc>
      </w:tr>
      <w:tr>
        <w:tc>
          <w:tcPr/>
          <w:p>
            <w:pPr>
              <w:pStyle w:val="Compact"/>
            </w:pPr>
            <w:r>
              <w:t xml:space="preserve">W4_age</w:t>
            </w:r>
          </w:p>
        </w:tc>
        <w:tc>
          <w:tcPr/>
          <w:p>
            <w:pPr>
              <w:pStyle w:val="Compact"/>
            </w:pPr>
            <w:r>
              <w:t xml:space="preserve">0.013***</w:t>
            </w:r>
          </w:p>
        </w:tc>
      </w:tr>
      <w:tr>
        <w:tc>
          <w:tcPr/>
          <w:p>
            <w:pPr>
              <w:pStyle w:val="Compact"/>
            </w:pPr>
          </w:p>
        </w:tc>
        <w:tc>
          <w:tcPr/>
          <w:p>
            <w:pPr>
              <w:pStyle w:val="Compact"/>
            </w:pPr>
            <w:r>
              <w:t xml:space="preserve">(0.004)</w:t>
            </w:r>
          </w:p>
        </w:tc>
      </w:tr>
      <w:tr>
        <w:tc>
          <w:tcPr/>
          <w:p>
            <w:pPr>
              <w:pStyle w:val="Compact"/>
            </w:pPr>
            <w:r>
              <w:t xml:space="preserve">languageFrench</w:t>
            </w:r>
          </w:p>
        </w:tc>
        <w:tc>
          <w:tcPr/>
          <w:p>
            <w:pPr>
              <w:pStyle w:val="Compact"/>
            </w:pPr>
            <w:r>
              <w:t xml:space="preserve">0.504***</w:t>
            </w:r>
          </w:p>
        </w:tc>
      </w:tr>
      <w:tr>
        <w:tc>
          <w:tcPr/>
          <w:p>
            <w:pPr>
              <w:pStyle w:val="Compact"/>
            </w:pPr>
          </w:p>
        </w:tc>
        <w:tc>
          <w:tcPr/>
          <w:p>
            <w:pPr>
              <w:pStyle w:val="Compact"/>
            </w:pPr>
            <w:r>
              <w:t xml:space="preserve">(0.111)</w:t>
            </w:r>
          </w:p>
        </w:tc>
      </w:tr>
      <w:tr>
        <w:tc>
          <w:tcPr/>
          <w:p>
            <w:pPr>
              <w:pStyle w:val="Compact"/>
            </w:pPr>
            <w:r>
              <w:t xml:space="preserve">languageItalian</w:t>
            </w:r>
          </w:p>
        </w:tc>
        <w:tc>
          <w:tcPr/>
          <w:p>
            <w:pPr>
              <w:pStyle w:val="Compact"/>
            </w:pPr>
            <w:r>
              <w:t xml:space="preserve">0.929***</w:t>
            </w:r>
          </w:p>
        </w:tc>
      </w:tr>
      <w:tr>
        <w:tc>
          <w:tcPr/>
          <w:p>
            <w:pPr>
              <w:pStyle w:val="Compact"/>
            </w:pPr>
          </w:p>
        </w:tc>
        <w:tc>
          <w:tcPr/>
          <w:p>
            <w:pPr>
              <w:pStyle w:val="Compact"/>
            </w:pPr>
            <w:r>
              <w:t xml:space="preserve">(0.225)</w:t>
            </w:r>
          </w:p>
        </w:tc>
      </w:tr>
      <w:tr>
        <w:tc>
          <w:tcPr/>
          <w:p>
            <w:pPr>
              <w:pStyle w:val="Compact"/>
            </w:pPr>
            <w:r>
              <w:t xml:space="preserve">Num.Obs.</w:t>
            </w:r>
          </w:p>
        </w:tc>
        <w:tc>
          <w:tcPr/>
          <w:p>
            <w:pPr>
              <w:pStyle w:val="Compact"/>
            </w:pPr>
            <w:r>
              <w:t xml:space="preserve">2999</w:t>
            </w:r>
          </w:p>
        </w:tc>
      </w:tr>
      <w:tr>
        <w:tc>
          <w:tcPr/>
          <w:p>
            <w:pPr>
              <w:pStyle w:val="Compact"/>
            </w:pPr>
            <w:r>
              <w:t xml:space="preserve">AIC</w:t>
            </w:r>
          </w:p>
        </w:tc>
        <w:tc>
          <w:tcPr/>
          <w:p>
            <w:pPr>
              <w:pStyle w:val="Compact"/>
            </w:pPr>
            <w:r>
              <w:t xml:space="preserve">3370.0</w:t>
            </w:r>
          </w:p>
        </w:tc>
      </w:tr>
      <w:tr>
        <w:tc>
          <w:tcPr/>
          <w:p>
            <w:pPr>
              <w:pStyle w:val="Compact"/>
            </w:pPr>
            <w:r>
              <w:t xml:space="preserve">BIC</w:t>
            </w:r>
          </w:p>
        </w:tc>
        <w:tc>
          <w:tcPr/>
          <w:p>
            <w:pPr>
              <w:pStyle w:val="Compact"/>
            </w:pPr>
            <w:r>
              <w:t xml:space="preserve">3484.1</w:t>
            </w:r>
          </w:p>
        </w:tc>
      </w:tr>
      <w:tr>
        <w:tc>
          <w:tcPr/>
          <w:p>
            <w:pPr>
              <w:pStyle w:val="Compact"/>
            </w:pPr>
            <w:r>
              <w:t xml:space="preserve">Log.Lik.</w:t>
            </w:r>
          </w:p>
        </w:tc>
        <w:tc>
          <w:tcPr/>
          <w:p>
            <w:pPr>
              <w:pStyle w:val="Compact"/>
            </w:pPr>
            <w:r>
              <w:t xml:space="preserve">-1666.006</w:t>
            </w:r>
          </w:p>
        </w:tc>
      </w:tr>
      <w:tr>
        <w:tc>
          <w:tcPr/>
          <w:p>
            <w:pPr>
              <w:pStyle w:val="Compact"/>
            </w:pPr>
            <w:r>
              <w:t xml:space="preserve">F</w:t>
            </w:r>
          </w:p>
        </w:tc>
        <w:tc>
          <w:tcPr/>
          <w:p>
            <w:pPr>
              <w:pStyle w:val="Compact"/>
            </w:pPr>
            <w:r>
              <w:t xml:space="preserve">30.126</w:t>
            </w:r>
          </w:p>
        </w:tc>
      </w:tr>
      <w:tr>
        <w:tc>
          <w:tcPr/>
          <w:p>
            <w:pPr>
              <w:pStyle w:val="Compact"/>
            </w:pPr>
            <w:r>
              <w:t xml:space="preserve">RMSE</w:t>
            </w:r>
          </w:p>
        </w:tc>
        <w:tc>
          <w:tcPr/>
          <w:p>
            <w:pPr>
              <w:pStyle w:val="Compact"/>
            </w:pPr>
            <w:r>
              <w:t xml:space="preserve">0.43</w:t>
            </w:r>
          </w:p>
        </w:tc>
      </w:tr>
      <w:tr>
        <w:tc>
          <w:tcPr>
            <w:gridSpan w:val="2"/>
          </w:tcPr>
          <w:p>
            <w:pPr>
              <w:pStyle w:val="Compact"/>
              <w:numPr>
                <w:ilvl w:val="0"/>
                <w:numId w:val="1002"/>
              </w:numPr>
            </w:pPr>
            <w:r>
              <w:t xml:space="preserve">p &lt; 0.1, * p &lt; 0.05, ** p &lt; 0.01, *** p &lt; 0.001</w:t>
            </w:r>
          </w:p>
        </w:tc>
      </w:tr>
    </w:tbl>
    <w:p>
      <w:pPr>
        <w:pStyle w:val="FirstParagraph"/>
      </w:pPr>
      <w:r>
        <w:rPr>
          <w:vertAlign w:val="subscript"/>
        </w:rPr>
        <w:t xml:space="preserve">Source:</w:t>
      </w:r>
      <w:r>
        <w:rPr>
          <w:vertAlign w:val="subscript"/>
        </w:rPr>
        <w:t xml:space="preserve"> </w:t>
      </w:r>
      <w:hyperlink r:id="rId22">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22">
        <w:r>
          <w:rPr>
            <w:rStyle w:val="Hyperlink"/>
            <w:vertAlign w:val="subscript"/>
          </w:rPr>
          <w:t xml:space="preserve">Article Notebook</w:t>
        </w:r>
      </w:hyperlink>
    </w:p>
    <w:tbl>
      <w:tblPr>
        <w:tblStyle w:val="Table"/>
        <w:tblW w:type="pct" w:w="5000"/>
        <w:tblLayout w:type="fixed"/>
        <w:tblLook w:firstRow="0" w:lastRow="0" w:firstColumn="0" w:lastColumn="0" w:noHBand="0" w:noVBand="0" w:val="0000"/>
      </w:tblPr>
      <w:tblGrid>
        <w:gridCol w:w="7920"/>
      </w:tblGrid>
      <w:tr>
        <w:tc>
          <w:tcPr/>
          <w:bookmarkStart w:id="46" w:name="tbl-canton"/>
          <w:p>
            <w:pPr>
              <w:jc w:val="center"/>
            </w:pPr>
            <w:pPr>
              <w:jc w:val="left"/>
              <w:spacing w:before="200"/>
              <w:pStyle w:val="ImageCaption"/>
            </w:pPr>
            <w:r>
              <w:t xml:space="preserve">Table 4: Modèle multiniveau: cantons suisses en niveau</w:t>
            </w:r>
          </w:p>
          <w:tbl>
            <w:tblPr>
              <w:tblStyle w:val="Table"/>
              <w:tblW w:type="pct" w:w="4950"/>
              <w:tblLayout w:type="fixed"/>
              <w:tblLook w:firstRow="1" w:lastRow="0" w:firstColumn="0" w:lastColumn="0" w:noHBand="0" w:noVBand="0" w:val="0020"/>
            </w:tblPr>
            <w:tblGrid>
              <w:gridCol w:w="1881"/>
              <w:gridCol w:w="2666"/>
              <w:gridCol w:w="3293"/>
            </w:tblGrid>
            <w:tr>
              <w:trPr>
                <w:tblHeader w:val="on"/>
              </w:trPr>
              <w:tc>
                <w:tcPr/>
                <w:p>
                  <w:pPr>
                    <w:pStyle w:val="Compact"/>
                  </w:pPr>
                </w:p>
              </w:tc>
              <w:tc>
                <w:tcPr/>
                <w:p>
                  <w:pPr>
                    <w:pStyle w:val="Compact"/>
                    <w:jc w:val="center"/>
                  </w:pPr>
                  <w:r>
                    <w:t xml:space="preserve">Augmentation franchise minimale</w:t>
                  </w:r>
                </w:p>
              </w:tc>
              <w:tc>
                <w:tcPr/>
                <w:p>
                  <w:pPr>
                    <w:pStyle w:val="Compact"/>
                    <w:jc w:val="center"/>
                  </w:pPr>
                  <w:r>
                    <w:t xml:space="preserve">Initiative pour l’allègement des primes</w:t>
                  </w:r>
                </w:p>
              </w:tc>
            </w:tr>
            <w:tr>
              <w:tc>
                <w:tcPr/>
                <w:p>
                  <w:pPr>
                    <w:pStyle w:val="Compact"/>
                    <w:jc w:val="center"/>
                  </w:pPr>
                  <w:r>
                    <w:t xml:space="preserve">(Intercept)</w:t>
                  </w:r>
                </w:p>
              </w:tc>
              <w:tc>
                <w:tcPr/>
                <w:p>
                  <w:pPr>
                    <w:pStyle w:val="Compact"/>
                    <w:jc w:val="center"/>
                  </w:pPr>
                  <w:r>
                    <w:t xml:space="preserve">-0.301</w:t>
                  </w:r>
                </w:p>
              </w:tc>
              <w:tc>
                <w:tcPr/>
                <w:p>
                  <w:pPr>
                    <w:pStyle w:val="Compact"/>
                    <w:jc w:val="center"/>
                  </w:pPr>
                  <w:r>
                    <w:t xml:space="preserve">0.327</w:t>
                  </w:r>
                </w:p>
              </w:tc>
            </w:tr>
            <w:tr>
              <w:tc>
                <w:tcPr/>
                <w:p>
                  <w:pPr>
                    <w:pStyle w:val="Compact"/>
                  </w:pPr>
                </w:p>
              </w:tc>
              <w:tc>
                <w:tcPr/>
                <w:p>
                  <w:pPr>
                    <w:pStyle w:val="Compact"/>
                    <w:jc w:val="center"/>
                  </w:pPr>
                  <w:r>
                    <w:t xml:space="preserve">(0.090)</w:t>
                  </w:r>
                </w:p>
              </w:tc>
              <w:tc>
                <w:tcPr/>
                <w:p>
                  <w:pPr>
                    <w:pStyle w:val="Compact"/>
                    <w:jc w:val="center"/>
                  </w:pPr>
                  <w:r>
                    <w:t xml:space="preserve">(0.067)</w:t>
                  </w:r>
                </w:p>
              </w:tc>
            </w:tr>
            <w:tr>
              <w:tc>
                <w:tcPr/>
                <w:p>
                  <w:pPr>
                    <w:pStyle w:val="Compact"/>
                    <w:jc w:val="center"/>
                  </w:pPr>
                  <w:r>
                    <w:t xml:space="preserve">SD (Intercept canton)</w:t>
                  </w:r>
                </w:p>
              </w:tc>
              <w:tc>
                <w:tcPr/>
                <w:p>
                  <w:pPr>
                    <w:pStyle w:val="Compact"/>
                    <w:jc w:val="center"/>
                  </w:pPr>
                  <w:r>
                    <w:t xml:space="preserve">0.377</w:t>
                  </w:r>
                </w:p>
              </w:tc>
              <w:tc>
                <w:tcPr/>
                <w:p>
                  <w:pPr>
                    <w:pStyle w:val="Compact"/>
                    <w:jc w:val="center"/>
                  </w:pPr>
                  <w:r>
                    <w:t xml:space="preserve">0.294</w:t>
                  </w:r>
                </w:p>
              </w:tc>
            </w:tr>
            <w:tr>
              <w:tc>
                <w:tcPr/>
                <w:p>
                  <w:pPr>
                    <w:pStyle w:val="Compact"/>
                    <w:jc w:val="center"/>
                  </w:pPr>
                  <w:r>
                    <w:t xml:space="preserve">Num.Obs.</w:t>
                  </w:r>
                </w:p>
              </w:tc>
              <w:tc>
                <w:tcPr/>
                <w:p>
                  <w:pPr>
                    <w:pStyle w:val="Compact"/>
                    <w:jc w:val="center"/>
                  </w:pPr>
                  <w:r>
                    <w:t xml:space="preserve">3608</w:t>
                  </w:r>
                </w:p>
              </w:tc>
              <w:tc>
                <w:tcPr/>
                <w:p>
                  <w:pPr>
                    <w:pStyle w:val="Compact"/>
                    <w:jc w:val="center"/>
                  </w:pPr>
                  <w:r>
                    <w:t xml:space="preserve">8110</w:t>
                  </w:r>
                </w:p>
              </w:tc>
            </w:tr>
            <w:tr>
              <w:tc>
                <w:tcPr/>
                <w:p>
                  <w:pPr>
                    <w:pStyle w:val="Compact"/>
                    <w:jc w:val="center"/>
                  </w:pPr>
                  <w:r>
                    <w:t xml:space="preserve">R2 Marg.</w:t>
                  </w:r>
                </w:p>
              </w:tc>
              <w:tc>
                <w:tcPr/>
                <w:p>
                  <w:pPr>
                    <w:pStyle w:val="Compact"/>
                    <w:jc w:val="center"/>
                  </w:pPr>
                  <w:r>
                    <w:t xml:space="preserve">0.000</w:t>
                  </w:r>
                </w:p>
              </w:tc>
              <w:tc>
                <w:tcPr/>
                <w:p>
                  <w:pPr>
                    <w:pStyle w:val="Compact"/>
                    <w:jc w:val="center"/>
                  </w:pPr>
                  <w:r>
                    <w:t xml:space="preserve">0.000</w:t>
                  </w:r>
                </w:p>
              </w:tc>
            </w:tr>
            <w:tr>
              <w:tc>
                <w:tcPr/>
                <w:p>
                  <w:pPr>
                    <w:pStyle w:val="Compact"/>
                    <w:jc w:val="center"/>
                  </w:pPr>
                  <w:r>
                    <w:t xml:space="preserve">R2 Cond.</w:t>
                  </w:r>
                </w:p>
              </w:tc>
              <w:tc>
                <w:tcPr/>
                <w:p>
                  <w:pPr>
                    <w:pStyle w:val="Compact"/>
                    <w:jc w:val="center"/>
                  </w:pPr>
                  <w:r>
                    <w:t xml:space="preserve">0.041</w:t>
                  </w:r>
                </w:p>
              </w:tc>
              <w:tc>
                <w:tcPr/>
                <w:p>
                  <w:pPr>
                    <w:pStyle w:val="Compact"/>
                    <w:jc w:val="center"/>
                  </w:pPr>
                  <w:r>
                    <w:t xml:space="preserve">0.026</w:t>
                  </w:r>
                </w:p>
              </w:tc>
            </w:tr>
            <w:tr>
              <w:tc>
                <w:tcPr/>
                <w:p>
                  <w:pPr>
                    <w:pStyle w:val="Compact"/>
                    <w:jc w:val="center"/>
                  </w:pPr>
                  <w:r>
                    <w:t xml:space="preserve">AIC</w:t>
                  </w:r>
                </w:p>
              </w:tc>
              <w:tc>
                <w:tcPr/>
                <w:p>
                  <w:pPr>
                    <w:pStyle w:val="Compact"/>
                    <w:jc w:val="center"/>
                  </w:pPr>
                  <w:r>
                    <w:t xml:space="preserve">4848.6</w:t>
                  </w:r>
                </w:p>
              </w:tc>
              <w:tc>
                <w:tcPr/>
                <w:p>
                  <w:pPr>
                    <w:pStyle w:val="Compact"/>
                    <w:jc w:val="center"/>
                  </w:pPr>
                  <w:r>
                    <w:t xml:space="preserve">10964.8</w:t>
                  </w:r>
                </w:p>
              </w:tc>
            </w:tr>
            <w:tr>
              <w:tc>
                <w:tcPr/>
                <w:p>
                  <w:pPr>
                    <w:pStyle w:val="Compact"/>
                    <w:jc w:val="center"/>
                  </w:pPr>
                  <w:r>
                    <w:t xml:space="preserve">BIC</w:t>
                  </w:r>
                </w:p>
              </w:tc>
              <w:tc>
                <w:tcPr/>
                <w:p>
                  <w:pPr>
                    <w:pStyle w:val="Compact"/>
                    <w:jc w:val="center"/>
                  </w:pPr>
                  <w:r>
                    <w:t xml:space="preserve">4861.0</w:t>
                  </w:r>
                </w:p>
              </w:tc>
              <w:tc>
                <w:tcPr/>
                <w:p>
                  <w:pPr>
                    <w:pStyle w:val="Compact"/>
                    <w:jc w:val="center"/>
                  </w:pPr>
                  <w:r>
                    <w:t xml:space="preserve">10978.8</w:t>
                  </w:r>
                </w:p>
              </w:tc>
            </w:tr>
            <w:tr>
              <w:tc>
                <w:tcPr/>
                <w:p>
                  <w:pPr>
                    <w:pStyle w:val="Compact"/>
                    <w:jc w:val="center"/>
                  </w:pPr>
                  <w:r>
                    <w:t xml:space="preserve">ICC</w:t>
                  </w:r>
                </w:p>
              </w:tc>
              <w:tc>
                <w:tcPr/>
                <w:p>
                  <w:pPr>
                    <w:pStyle w:val="Compact"/>
                    <w:jc w:val="center"/>
                  </w:pPr>
                  <w:r>
                    <w:t xml:space="preserve">0.0</w:t>
                  </w:r>
                </w:p>
              </w:tc>
              <w:tc>
                <w:tcPr/>
                <w:p>
                  <w:pPr>
                    <w:pStyle w:val="Compact"/>
                    <w:jc w:val="center"/>
                  </w:pPr>
                  <w:r>
                    <w:t xml:space="preserve">0.0</w:t>
                  </w:r>
                </w:p>
              </w:tc>
            </w:tr>
            <w:tr>
              <w:tc>
                <w:tcPr/>
                <w:p>
                  <w:pPr>
                    <w:pStyle w:val="Compact"/>
                    <w:jc w:val="center"/>
                  </w:pPr>
                  <w:r>
                    <w:t xml:space="preserve">RMSE</w:t>
                  </w:r>
                </w:p>
              </w:tc>
              <w:tc>
                <w:tcPr/>
                <w:p>
                  <w:pPr>
                    <w:pStyle w:val="Compact"/>
                    <w:jc w:val="center"/>
                  </w:pPr>
                  <w:r>
                    <w:t xml:space="preserve">0.49</w:t>
                  </w:r>
                </w:p>
              </w:tc>
              <w:tc>
                <w:tcPr/>
                <w:p>
                  <w:pPr>
                    <w:pStyle w:val="Compact"/>
                    <w:jc w:val="center"/>
                  </w:pPr>
                  <w:r>
                    <w:t xml:space="preserve">0.49</w:t>
                  </w:r>
                </w:p>
              </w:tc>
            </w:tr>
          </w:tbl>
          <w:bookmarkEnd w:id="46"/>
          <w:p/>
        </w:tc>
      </w:tr>
    </w:tbl>
    <w:p>
      <w:pPr>
        <w:pStyle w:val="BodyText"/>
      </w:pPr>
      <w:r>
        <w:rPr>
          <w:vertAlign w:val="subscript"/>
        </w:rPr>
        <w:t xml:space="preserve">Source:</w:t>
      </w:r>
      <w:r>
        <w:rPr>
          <w:vertAlign w:val="subscript"/>
        </w:rPr>
        <w:t xml:space="preserve"> </w:t>
      </w:r>
      <w:hyperlink r:id="rId22">
        <w:r>
          <w:rPr>
            <w:rStyle w:val="Hyperlink"/>
            <w:vertAlign w:val="subscript"/>
          </w:rPr>
          <w:t xml:space="preserve">Article Notebook</w:t>
        </w:r>
      </w:hyperlink>
    </w:p>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7" w:name="tbl-reg2"/>
          <w:p>
            <w:pPr>
              <w:jc w:val="center"/>
            </w:pPr>
            <w:pPr>
              <w:jc w:val="left"/>
              <w:spacing w:before="200"/>
              <w:pStyle w:val="ImageCaption"/>
            </w:pPr>
            <w:r>
              <w:t xml:space="preserve">Table 5: Régressions logistiques simples: opposition à l’augmentation de la franchise et vote pour l’allègement des primes sur les catégories socio-professionnelles ESEG (Log(Odd))</w:t>
            </w:r>
          </w:p>
          <w:tbl>
            <w:tblPr>
              <w:tblStyle w:val="Table"/>
              <w:tblW w:type="pct" w:w="4963"/>
              <w:tblLayout w:type="fixed"/>
              <w:tblLook w:firstRow="1" w:lastRow="1" w:firstColumn="0" w:lastColumn="0" w:noHBand="0" w:noVBand="0" w:val="0020"/>
            </w:tblPr>
            <w:tblGrid>
              <w:gridCol w:w="3435"/>
              <w:gridCol w:w="1980"/>
              <w:gridCol w:w="2445"/>
            </w:tblGrid>
            <w:tr>
              <w:trPr>
                <w:tblHeader w:val="on"/>
              </w:trPr>
              <w:tc>
                <w:tcPr/>
                <w:p>
                  <w:pPr>
                    <w:pStyle w:val="Compact"/>
                  </w:pPr>
                </w:p>
              </w:tc>
              <w:tc>
                <w:tcPr/>
                <w:p>
                  <w:pPr>
                    <w:pStyle w:val="Compact"/>
                    <w:jc w:val="center"/>
                  </w:pPr>
                  <w:r>
                    <w:t xml:space="preserve">Augmentation franchise minimale</w:t>
                  </w:r>
                </w:p>
              </w:tc>
              <w:tc>
                <w:tcPr/>
                <w:p>
                  <w:pPr>
                    <w:pStyle w:val="Compact"/>
                    <w:jc w:val="center"/>
                  </w:pPr>
                  <w:r>
                    <w:t xml:space="preserve">Initiative pour l’allègement des primes</w:t>
                  </w:r>
                </w:p>
              </w:tc>
            </w:tr>
            <w:tr>
              <w:tc>
                <w:tcPr/>
                <w:p>
                  <w:pPr>
                    <w:pStyle w:val="Compact"/>
                    <w:jc w:val="center"/>
                  </w:pPr>
                  <w:r>
                    <w:t xml:space="preserve">(Intercept)</w:t>
                  </w:r>
                </w:p>
              </w:tc>
              <w:tc>
                <w:tcPr/>
                <w:p>
                  <w:pPr>
                    <w:pStyle w:val="Compact"/>
                    <w:jc w:val="center"/>
                  </w:pPr>
                  <w:r>
                    <w:t xml:space="preserve">-0.052</w:t>
                  </w:r>
                </w:p>
              </w:tc>
              <w:tc>
                <w:tcPr/>
                <w:p>
                  <w:pPr>
                    <w:pStyle w:val="Compact"/>
                    <w:jc w:val="center"/>
                  </w:pPr>
                  <w:r>
                    <w:t xml:space="preserve">-0.984***</w:t>
                  </w:r>
                </w:p>
              </w:tc>
            </w:tr>
            <w:tr>
              <w:tc>
                <w:tcPr/>
                <w:p>
                  <w:pPr>
                    <w:pStyle w:val="Compact"/>
                  </w:pPr>
                </w:p>
              </w:tc>
              <w:tc>
                <w:tcPr/>
                <w:p>
                  <w:pPr>
                    <w:pStyle w:val="Compact"/>
                    <w:jc w:val="center"/>
                  </w:pPr>
                  <w:r>
                    <w:t xml:space="preserve">(0.114)</w:t>
                  </w:r>
                </w:p>
              </w:tc>
              <w:tc>
                <w:tcPr/>
                <w:p>
                  <w:pPr>
                    <w:pStyle w:val="Compact"/>
                    <w:jc w:val="center"/>
                  </w:pPr>
                  <w:r>
                    <w:t xml:space="preserve">(0.179)</w:t>
                  </w:r>
                </w:p>
              </w:tc>
            </w:tr>
            <w:tr>
              <w:tc>
                <w:tcPr/>
                <w:p>
                  <w:pPr>
                    <w:pStyle w:val="Compact"/>
                    <w:jc w:val="center"/>
                  </w:pPr>
                  <w:r>
                    <w:t xml:space="preserve">eseg10Clerks and skilled service employees</w:t>
                  </w:r>
                </w:p>
              </w:tc>
              <w:tc>
                <w:tcPr/>
                <w:p>
                  <w:pPr>
                    <w:pStyle w:val="Compact"/>
                    <w:jc w:val="center"/>
                  </w:pPr>
                  <w:r>
                    <w:t xml:space="preserve">0.462**</w:t>
                  </w:r>
                </w:p>
              </w:tc>
              <w:tc>
                <w:tcPr/>
                <w:p>
                  <w:pPr>
                    <w:pStyle w:val="Compact"/>
                    <w:jc w:val="center"/>
                  </w:pPr>
                  <w:r>
                    <w:t xml:space="preserve">0.452*</w:t>
                  </w:r>
                </w:p>
              </w:tc>
            </w:tr>
            <w:tr>
              <w:tc>
                <w:tcPr/>
                <w:p>
                  <w:pPr>
                    <w:pStyle w:val="Compact"/>
                  </w:pPr>
                </w:p>
              </w:tc>
              <w:tc>
                <w:tcPr/>
                <w:p>
                  <w:pPr>
                    <w:pStyle w:val="Compact"/>
                    <w:jc w:val="center"/>
                  </w:pPr>
                  <w:r>
                    <w:t xml:space="preserve">(0.143)</w:t>
                  </w:r>
                </w:p>
              </w:tc>
              <w:tc>
                <w:tcPr/>
                <w:p>
                  <w:pPr>
                    <w:pStyle w:val="Compact"/>
                    <w:jc w:val="center"/>
                  </w:pPr>
                  <w:r>
                    <w:t xml:space="preserve">(0.229)</w:t>
                  </w:r>
                </w:p>
              </w:tc>
            </w:tr>
            <w:tr>
              <w:tc>
                <w:tcPr/>
                <w:p>
                  <w:pPr>
                    <w:pStyle w:val="Compact"/>
                    <w:jc w:val="center"/>
                  </w:pPr>
                  <w:r>
                    <w:t xml:space="preserve">eseg10Lower status employees</w:t>
                  </w:r>
                </w:p>
              </w:tc>
              <w:tc>
                <w:tcPr/>
                <w:p>
                  <w:pPr>
                    <w:pStyle w:val="Compact"/>
                    <w:jc w:val="center"/>
                  </w:pPr>
                  <w:r>
                    <w:t xml:space="preserve">0.452**</w:t>
                  </w:r>
                </w:p>
              </w:tc>
              <w:tc>
                <w:tcPr/>
                <w:p>
                  <w:pPr>
                    <w:pStyle w:val="Compact"/>
                    <w:jc w:val="center"/>
                  </w:pPr>
                  <w:r>
                    <w:t xml:space="preserve">0.609*</w:t>
                  </w:r>
                </w:p>
              </w:tc>
            </w:tr>
            <w:tr>
              <w:tc>
                <w:tcPr/>
                <w:p>
                  <w:pPr>
                    <w:pStyle w:val="Compact"/>
                  </w:pPr>
                </w:p>
              </w:tc>
              <w:tc>
                <w:tcPr/>
                <w:p>
                  <w:pPr>
                    <w:pStyle w:val="Compact"/>
                    <w:jc w:val="center"/>
                  </w:pPr>
                  <w:r>
                    <w:t xml:space="preserve">(0.166)</w:t>
                  </w:r>
                </w:p>
              </w:tc>
              <w:tc>
                <w:tcPr/>
                <w:p>
                  <w:pPr>
                    <w:pStyle w:val="Compact"/>
                    <w:jc w:val="center"/>
                  </w:pPr>
                  <w:r>
                    <w:t xml:space="preserve">(0.265)</w:t>
                  </w:r>
                </w:p>
              </w:tc>
            </w:tr>
            <w:tr>
              <w:tc>
                <w:tcPr/>
                <w:p>
                  <w:pPr>
                    <w:pStyle w:val="Compact"/>
                    <w:jc w:val="center"/>
                  </w:pPr>
                  <w:r>
                    <w:t xml:space="preserve">eseg10Managers</w:t>
                  </w:r>
                </w:p>
              </w:tc>
              <w:tc>
                <w:tcPr/>
                <w:p>
                  <w:pPr>
                    <w:pStyle w:val="Compact"/>
                    <w:jc w:val="center"/>
                  </w:pPr>
                  <w:r>
                    <w:t xml:space="preserve">0.092</w:t>
                  </w:r>
                </w:p>
              </w:tc>
              <w:tc>
                <w:tcPr/>
                <w:p>
                  <w:pPr>
                    <w:pStyle w:val="Compact"/>
                    <w:jc w:val="center"/>
                  </w:pPr>
                  <w:r>
                    <w:t xml:space="preserve">0.094</w:t>
                  </w:r>
                </w:p>
              </w:tc>
            </w:tr>
            <w:tr>
              <w:tc>
                <w:tcPr/>
                <w:p>
                  <w:pPr>
                    <w:pStyle w:val="Compact"/>
                  </w:pPr>
                </w:p>
              </w:tc>
              <w:tc>
                <w:tcPr/>
                <w:p>
                  <w:pPr>
                    <w:pStyle w:val="Compact"/>
                    <w:jc w:val="center"/>
                  </w:pPr>
                  <w:r>
                    <w:t xml:space="preserve">(0.134)</w:t>
                  </w:r>
                </w:p>
              </w:tc>
              <w:tc>
                <w:tcPr/>
                <w:p>
                  <w:pPr>
                    <w:pStyle w:val="Compact"/>
                    <w:jc w:val="center"/>
                  </w:pPr>
                  <w:r>
                    <w:t xml:space="preserve">(0.215)</w:t>
                  </w:r>
                </w:p>
              </w:tc>
            </w:tr>
            <w:tr>
              <w:tc>
                <w:tcPr/>
                <w:p>
                  <w:pPr>
                    <w:pStyle w:val="Compact"/>
                    <w:jc w:val="center"/>
                  </w:pPr>
                  <w:r>
                    <w:t xml:space="preserve">eseg10Professionals</w:t>
                  </w:r>
                </w:p>
              </w:tc>
              <w:tc>
                <w:tcPr/>
                <w:p>
                  <w:pPr>
                    <w:pStyle w:val="Compact"/>
                    <w:jc w:val="center"/>
                  </w:pPr>
                  <w:r>
                    <w:t xml:space="preserve">0.293*</w:t>
                  </w:r>
                </w:p>
              </w:tc>
              <w:tc>
                <w:tcPr/>
                <w:p>
                  <w:pPr>
                    <w:pStyle w:val="Compact"/>
                    <w:jc w:val="center"/>
                  </w:pPr>
                  <w:r>
                    <w:t xml:space="preserve">0.454*</w:t>
                  </w:r>
                </w:p>
              </w:tc>
            </w:tr>
            <w:tr>
              <w:tc>
                <w:tcPr/>
                <w:p>
                  <w:pPr>
                    <w:pStyle w:val="Compact"/>
                  </w:pPr>
                </w:p>
              </w:tc>
              <w:tc>
                <w:tcPr/>
                <w:p>
                  <w:pPr>
                    <w:pStyle w:val="Compact"/>
                    <w:jc w:val="center"/>
                  </w:pPr>
                  <w:r>
                    <w:t xml:space="preserve">(0.125)</w:t>
                  </w:r>
                </w:p>
              </w:tc>
              <w:tc>
                <w:tcPr/>
                <w:p>
                  <w:pPr>
                    <w:pStyle w:val="Compact"/>
                    <w:jc w:val="center"/>
                  </w:pPr>
                  <w:r>
                    <w:t xml:space="preserve">(0.195)</w:t>
                  </w:r>
                </w:p>
              </w:tc>
            </w:tr>
            <w:tr>
              <w:tc>
                <w:tcPr/>
                <w:p>
                  <w:pPr>
                    <w:pStyle w:val="Compact"/>
                    <w:jc w:val="center"/>
                  </w:pPr>
                  <w:r>
                    <w:t xml:space="preserve">eseg10Retired</w:t>
                  </w:r>
                </w:p>
              </w:tc>
              <w:tc>
                <w:tcPr/>
                <w:p>
                  <w:pPr>
                    <w:pStyle w:val="Compact"/>
                    <w:jc w:val="center"/>
                  </w:pPr>
                  <w:r>
                    <w:t xml:space="preserve">0.505***</w:t>
                  </w:r>
                </w:p>
              </w:tc>
              <w:tc>
                <w:tcPr/>
                <w:p>
                  <w:pPr>
                    <w:pStyle w:val="Compact"/>
                    <w:jc w:val="center"/>
                  </w:pPr>
                  <w:r>
                    <w:t xml:space="preserve">1.131***</w:t>
                  </w:r>
                </w:p>
              </w:tc>
            </w:tr>
            <w:tr>
              <w:tc>
                <w:tcPr/>
                <w:p>
                  <w:pPr>
                    <w:pStyle w:val="Compact"/>
                  </w:pPr>
                </w:p>
              </w:tc>
              <w:tc>
                <w:tcPr/>
                <w:p>
                  <w:pPr>
                    <w:pStyle w:val="Compact"/>
                    <w:jc w:val="center"/>
                  </w:pPr>
                  <w:r>
                    <w:t xml:space="preserve">(0.124)</w:t>
                  </w:r>
                </w:p>
              </w:tc>
              <w:tc>
                <w:tcPr/>
                <w:p>
                  <w:pPr>
                    <w:pStyle w:val="Compact"/>
                    <w:jc w:val="center"/>
                  </w:pPr>
                  <w:r>
                    <w:t xml:space="preserve">(0.188)</w:t>
                  </w:r>
                </w:p>
              </w:tc>
            </w:tr>
            <w:tr>
              <w:tc>
                <w:tcPr/>
                <w:p>
                  <w:pPr>
                    <w:pStyle w:val="Compact"/>
                    <w:jc w:val="center"/>
                  </w:pPr>
                  <w:r>
                    <w:t xml:space="preserve">eseg10Skilled industrial employees</w:t>
                  </w:r>
                </w:p>
              </w:tc>
              <w:tc>
                <w:tcPr/>
                <w:p>
                  <w:pPr>
                    <w:pStyle w:val="Compact"/>
                    <w:jc w:val="center"/>
                  </w:pPr>
                  <w:r>
                    <w:t xml:space="preserve">0.589***</w:t>
                  </w:r>
                </w:p>
              </w:tc>
              <w:tc>
                <w:tcPr/>
                <w:p>
                  <w:pPr>
                    <w:pStyle w:val="Compact"/>
                    <w:jc w:val="center"/>
                  </w:pPr>
                  <w:r>
                    <w:t xml:space="preserve">0.485+</w:t>
                  </w:r>
                </w:p>
              </w:tc>
            </w:tr>
            <w:tr>
              <w:tc>
                <w:tcPr/>
                <w:p>
                  <w:pPr>
                    <w:pStyle w:val="Compact"/>
                  </w:pPr>
                </w:p>
              </w:tc>
              <w:tc>
                <w:tcPr/>
                <w:p>
                  <w:pPr>
                    <w:pStyle w:val="Compact"/>
                    <w:jc w:val="center"/>
                  </w:pPr>
                  <w:r>
                    <w:t xml:space="preserve">(0.168)</w:t>
                  </w:r>
                </w:p>
              </w:tc>
              <w:tc>
                <w:tcPr/>
                <w:p>
                  <w:pPr>
                    <w:pStyle w:val="Compact"/>
                    <w:jc w:val="center"/>
                  </w:pPr>
                  <w:r>
                    <w:t xml:space="preserve">(0.281)</w:t>
                  </w:r>
                </w:p>
              </w:tc>
            </w:tr>
            <w:tr>
              <w:tc>
                <w:tcPr/>
                <w:p>
                  <w:pPr>
                    <w:pStyle w:val="Compact"/>
                    <w:jc w:val="center"/>
                  </w:pPr>
                  <w:r>
                    <w:t xml:space="preserve">eseg10small entrepreneurs</w:t>
                  </w:r>
                </w:p>
              </w:tc>
              <w:tc>
                <w:tcPr/>
                <w:p>
                  <w:pPr>
                    <w:pStyle w:val="Compact"/>
                    <w:jc w:val="center"/>
                  </w:pPr>
                  <w:r>
                    <w:t xml:space="preserve">0.369+</w:t>
                  </w:r>
                </w:p>
              </w:tc>
              <w:tc>
                <w:tcPr/>
                <w:p>
                  <w:pPr>
                    <w:pStyle w:val="Compact"/>
                    <w:jc w:val="center"/>
                  </w:pPr>
                  <w:r>
                    <w:t xml:space="preserve">0.504</w:t>
                  </w:r>
                </w:p>
              </w:tc>
            </w:tr>
            <w:tr>
              <w:tc>
                <w:tcPr/>
                <w:p>
                  <w:pPr>
                    <w:pStyle w:val="Compact"/>
                  </w:pPr>
                </w:p>
              </w:tc>
              <w:tc>
                <w:tcPr/>
                <w:p>
                  <w:pPr>
                    <w:pStyle w:val="Compact"/>
                    <w:jc w:val="center"/>
                  </w:pPr>
                  <w:r>
                    <w:t xml:space="preserve">(0.197)</w:t>
                  </w:r>
                </w:p>
              </w:tc>
              <w:tc>
                <w:tcPr/>
                <w:p>
                  <w:pPr>
                    <w:pStyle w:val="Compact"/>
                    <w:jc w:val="center"/>
                  </w:pPr>
                  <w:r>
                    <w:t xml:space="preserve">(0.307)</w:t>
                  </w:r>
                </w:p>
              </w:tc>
            </w:tr>
            <w:tr>
              <w:tc>
                <w:tcPr/>
                <w:p>
                  <w:pPr>
                    <w:pStyle w:val="Compact"/>
                    <w:jc w:val="center"/>
                  </w:pPr>
                  <w:r>
                    <w:t xml:space="preserve">eseg10Student</w:t>
                  </w:r>
                </w:p>
              </w:tc>
              <w:tc>
                <w:tcPr/>
                <w:p>
                  <w:pPr>
                    <w:pStyle w:val="Compact"/>
                    <w:jc w:val="center"/>
                  </w:pPr>
                  <w:r>
                    <w:t xml:space="preserve">0.160</w:t>
                  </w:r>
                </w:p>
              </w:tc>
              <w:tc>
                <w:tcPr/>
                <w:p>
                  <w:pPr>
                    <w:pStyle w:val="Compact"/>
                    <w:jc w:val="center"/>
                  </w:pPr>
                  <w:r>
                    <w:t xml:space="preserve">0.449+</w:t>
                  </w:r>
                </w:p>
              </w:tc>
            </w:tr>
            <w:tr>
              <w:tc>
                <w:tcPr/>
                <w:p>
                  <w:pPr>
                    <w:pStyle w:val="Compact"/>
                  </w:pPr>
                </w:p>
              </w:tc>
              <w:tc>
                <w:tcPr/>
                <w:p>
                  <w:pPr>
                    <w:pStyle w:val="Compact"/>
                    <w:jc w:val="center"/>
                  </w:pPr>
                  <w:r>
                    <w:t xml:space="preserve">(0.142)</w:t>
                  </w:r>
                </w:p>
              </w:tc>
              <w:tc>
                <w:tcPr/>
                <w:p>
                  <w:pPr>
                    <w:pStyle w:val="Compact"/>
                    <w:jc w:val="center"/>
                  </w:pPr>
                  <w:r>
                    <w:t xml:space="preserve">(0.266)</w:t>
                  </w:r>
                </w:p>
              </w:tc>
            </w:tr>
            <w:tr>
              <w:tc>
                <w:tcPr/>
                <w:p>
                  <w:pPr>
                    <w:pStyle w:val="Compact"/>
                    <w:jc w:val="center"/>
                  </w:pPr>
                  <w:r>
                    <w:t xml:space="preserve">eseg10Technicians and associated professionals employees</w:t>
                  </w:r>
                </w:p>
              </w:tc>
              <w:tc>
                <w:tcPr/>
                <w:p>
                  <w:pPr>
                    <w:pStyle w:val="Compact"/>
                    <w:jc w:val="center"/>
                  </w:pPr>
                  <w:r>
                    <w:t xml:space="preserve">0.391**</w:t>
                  </w:r>
                </w:p>
              </w:tc>
              <w:tc>
                <w:tcPr/>
                <w:p>
                  <w:pPr>
                    <w:pStyle w:val="Compact"/>
                    <w:jc w:val="center"/>
                  </w:pPr>
                  <w:r>
                    <w:t xml:space="preserve">0.436*</w:t>
                  </w:r>
                </w:p>
              </w:tc>
            </w:tr>
            <w:tr>
              <w:tc>
                <w:tcPr/>
                <w:p>
                  <w:pPr>
                    <w:pStyle w:val="Compact"/>
                  </w:pPr>
                </w:p>
              </w:tc>
              <w:tc>
                <w:tcPr/>
                <w:p>
                  <w:pPr>
                    <w:pStyle w:val="Compact"/>
                    <w:jc w:val="center"/>
                  </w:pPr>
                  <w:r>
                    <w:t xml:space="preserve">(0.135)</w:t>
                  </w:r>
                </w:p>
              </w:tc>
              <w:tc>
                <w:tcPr/>
                <w:p>
                  <w:pPr>
                    <w:pStyle w:val="Compact"/>
                    <w:jc w:val="center"/>
                  </w:pPr>
                  <w:r>
                    <w:t xml:space="preserve">(0.216)</w:t>
                  </w:r>
                </w:p>
              </w:tc>
            </w:tr>
            <w:tr>
              <w:tc>
                <w:tcPr/>
                <w:p>
                  <w:pPr>
                    <w:pStyle w:val="Compact"/>
                    <w:jc w:val="center"/>
                  </w:pPr>
                  <w:r>
                    <w:t xml:space="preserve">eseg10Unemployed or disabled</w:t>
                  </w:r>
                </w:p>
              </w:tc>
              <w:tc>
                <w:tcPr/>
                <w:p>
                  <w:pPr>
                    <w:pStyle w:val="Compact"/>
                    <w:jc w:val="center"/>
                  </w:pPr>
                  <w:r>
                    <w:t xml:space="preserve">0.573***</w:t>
                  </w:r>
                </w:p>
              </w:tc>
              <w:tc>
                <w:tcPr/>
                <w:p>
                  <w:pPr>
                    <w:pStyle w:val="Compact"/>
                    <w:jc w:val="center"/>
                  </w:pPr>
                  <w:r>
                    <w:t xml:space="preserve">0.548*</w:t>
                  </w:r>
                </w:p>
              </w:tc>
            </w:tr>
            <w:tr>
              <w:tc>
                <w:tcPr/>
                <w:p>
                  <w:pPr>
                    <w:pStyle w:val="Compact"/>
                  </w:pPr>
                </w:p>
              </w:tc>
              <w:tc>
                <w:tcPr/>
                <w:p>
                  <w:pPr>
                    <w:pStyle w:val="Compact"/>
                    <w:jc w:val="center"/>
                  </w:pPr>
                  <w:r>
                    <w:t xml:space="preserve">(0.149)</w:t>
                  </w:r>
                </w:p>
              </w:tc>
              <w:tc>
                <w:tcPr/>
                <w:p>
                  <w:pPr>
                    <w:pStyle w:val="Compact"/>
                    <w:jc w:val="center"/>
                  </w:pPr>
                  <w:r>
                    <w:t xml:space="preserve">(0.249)</w:t>
                  </w:r>
                </w:p>
              </w:tc>
            </w:tr>
            <w:tr>
              <w:tc>
                <w:tcPr/>
                <w:p>
                  <w:pPr>
                    <w:pStyle w:val="Compact"/>
                    <w:jc w:val="center"/>
                  </w:pPr>
                  <w:r>
                    <w:t xml:space="preserve">Num.Obs.</w:t>
                  </w:r>
                </w:p>
              </w:tc>
              <w:tc>
                <w:tcPr/>
                <w:p>
                  <w:pPr>
                    <w:pStyle w:val="Compact"/>
                    <w:jc w:val="center"/>
                  </w:pPr>
                  <w:r>
                    <w:t xml:space="preserve">7535</w:t>
                  </w:r>
                </w:p>
              </w:tc>
              <w:tc>
                <w:tcPr/>
                <w:p>
                  <w:pPr>
                    <w:pStyle w:val="Compact"/>
                    <w:jc w:val="center"/>
                  </w:pPr>
                  <w:r>
                    <w:t xml:space="preserve">3392</w:t>
                  </w:r>
                </w:p>
              </w:tc>
            </w:tr>
            <w:tr>
              <w:tc>
                <w:tcPr/>
                <w:p>
                  <w:pPr>
                    <w:pStyle w:val="Compact"/>
                    <w:jc w:val="center"/>
                  </w:pPr>
                  <w:r>
                    <w:t xml:space="preserve">AIC</w:t>
                  </w:r>
                </w:p>
              </w:tc>
              <w:tc>
                <w:tcPr/>
                <w:p>
                  <w:pPr>
                    <w:pStyle w:val="Compact"/>
                    <w:jc w:val="center"/>
                  </w:pPr>
                  <w:r>
                    <w:t xml:space="preserve">10241.2</w:t>
                  </w:r>
                </w:p>
              </w:tc>
              <w:tc>
                <w:tcPr/>
                <w:p>
                  <w:pPr>
                    <w:pStyle w:val="Compact"/>
                    <w:jc w:val="center"/>
                  </w:pPr>
                  <w:r>
                    <w:t xml:space="preserve">4511.7</w:t>
                  </w:r>
                </w:p>
              </w:tc>
            </w:tr>
            <w:tr>
              <w:tc>
                <w:tcPr/>
                <w:p>
                  <w:pPr>
                    <w:pStyle w:val="Compact"/>
                    <w:jc w:val="center"/>
                  </w:pPr>
                  <w:r>
                    <w:t xml:space="preserve">BIC</w:t>
                  </w:r>
                </w:p>
              </w:tc>
              <w:tc>
                <w:tcPr/>
                <w:p>
                  <w:pPr>
                    <w:pStyle w:val="Compact"/>
                    <w:jc w:val="center"/>
                  </w:pPr>
                  <w:r>
                    <w:t xml:space="preserve">10317.4</w:t>
                  </w:r>
                </w:p>
              </w:tc>
              <w:tc>
                <w:tcPr/>
                <w:p>
                  <w:pPr>
                    <w:pStyle w:val="Compact"/>
                    <w:jc w:val="center"/>
                  </w:pPr>
                  <w:r>
                    <w:t xml:space="preserve">4579.2</w:t>
                  </w:r>
                </w:p>
              </w:tc>
            </w:tr>
            <w:tr>
              <w:tc>
                <w:tcPr/>
                <w:p>
                  <w:pPr>
                    <w:pStyle w:val="Compact"/>
                    <w:jc w:val="center"/>
                  </w:pPr>
                  <w:r>
                    <w:t xml:space="preserve">Log.Lik.</w:t>
                  </w:r>
                </w:p>
              </w:tc>
              <w:tc>
                <w:tcPr/>
                <w:p>
                  <w:pPr>
                    <w:pStyle w:val="Compact"/>
                    <w:jc w:val="center"/>
                  </w:pPr>
                  <w:r>
                    <w:t xml:space="preserve">-5109.620</w:t>
                  </w:r>
                </w:p>
              </w:tc>
              <w:tc>
                <w:tcPr/>
                <w:p>
                  <w:pPr>
                    <w:pStyle w:val="Compact"/>
                    <w:jc w:val="center"/>
                  </w:pPr>
                  <w:r>
                    <w:t xml:space="preserve">-2244.872</w:t>
                  </w:r>
                </w:p>
              </w:tc>
            </w:tr>
            <w:tr>
              <w:tc>
                <w:tcPr/>
                <w:p>
                  <w:pPr>
                    <w:pStyle w:val="Compact"/>
                    <w:jc w:val="center"/>
                  </w:pPr>
                  <w:r>
                    <w:t xml:space="preserve">RMSE</w:t>
                  </w:r>
                </w:p>
              </w:tc>
              <w:tc>
                <w:tcPr/>
                <w:p>
                  <w:pPr>
                    <w:pStyle w:val="Compact"/>
                    <w:jc w:val="center"/>
                  </w:pPr>
                  <w:r>
                    <w:t xml:space="preserve">0.49</w:t>
                  </w:r>
                </w:p>
              </w:tc>
              <w:tc>
                <w:tcPr/>
                <w:p>
                  <w:pPr>
                    <w:pStyle w:val="Compact"/>
                    <w:jc w:val="center"/>
                  </w:pPr>
                  <w:r>
                    <w:t xml:space="preserve">0.48</w:t>
                  </w:r>
                </w:p>
              </w:tc>
            </w:tr>
            <w:tr>
              <w:tc>
                <w:tcPr>
                  <w:gridSpan w:val="3"/>
                </w:tcPr>
                <w:p>
                  <w:pPr>
                    <w:pStyle w:val="Compact"/>
                    <w:numPr>
                      <w:ilvl w:val="0"/>
                      <w:numId w:val="1003"/>
                    </w:numPr>
                    <w:jc w:val="center"/>
                  </w:pPr>
                  <w:r>
                    <w:t xml:space="preserve">p &lt; 0.1, * p &lt; 0.05, ** p &lt; 0.01, *** p &lt; 0.001</w:t>
                  </w:r>
                </w:p>
              </w:tc>
            </w:tr>
          </w:tbl>
          <w:bookmarkEnd w:id="47"/>
          <w:p/>
        </w:tc>
      </w:tr>
    </w:tbl>
    <w:p>
      <w:pPr>
        <w:pStyle w:val="FirstParagraph"/>
      </w:pPr>
      <w:r>
        <w:rPr>
          <w:vertAlign w:val="subscript"/>
        </w:rPr>
        <w:t xml:space="preserve">Source:</w:t>
      </w:r>
      <w:r>
        <w:rPr>
          <w:vertAlign w:val="subscript"/>
        </w:rPr>
        <w:t xml:space="preserve"> </w:t>
      </w:r>
      <w:hyperlink r:id="rId22">
        <w:r>
          <w:rPr>
            <w:rStyle w:val="Hyperlink"/>
            <w:vertAlign w:val="subscript"/>
          </w:rPr>
          <w:t xml:space="preserve">Article Notebook</w:t>
        </w:r>
      </w:hyperlink>
    </w:p>
    <w:p>
      <w:pPr>
        <w:pStyle w:val="BodyText"/>
      </w:pPr>
      <w:r>
        <w:drawing>
          <wp:inline>
            <wp:extent cx="4620126" cy="3696101"/>
            <wp:effectExtent b="0" l="0" r="0" t="0"/>
            <wp:docPr descr="" title="" id="49" name="Picture"/>
            <a:graphic>
              <a:graphicData uri="http://schemas.openxmlformats.org/drawingml/2006/picture">
                <pic:pic>
                  <pic:nvPicPr>
                    <pic:cNvPr descr="index_files/figure-docx/unnamed-chunk-4-1.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52" name="Picture"/>
            <a:graphic>
              <a:graphicData uri="http://schemas.openxmlformats.org/drawingml/2006/picture">
                <pic:pic>
                  <pic:nvPicPr>
                    <pic:cNvPr descr="index_files/figure-docx/unnamed-chunk-4-2.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22">
        <w:r>
          <w:rPr>
            <w:rStyle w:val="Hyperlink"/>
            <w:vertAlign w:val="subscript"/>
          </w:rPr>
          <w:t xml:space="preserve">Article Notebook</w:t>
        </w:r>
      </w:hyperlink>
    </w:p>
    <w:p>
      <w:pPr>
        <w:pStyle w:val="BodyText"/>
      </w:pPr>
      <w:r>
        <w:drawing>
          <wp:inline>
            <wp:extent cx="4620126" cy="3696101"/>
            <wp:effectExtent b="0" l="0" r="0" t="0"/>
            <wp:docPr descr="" title="" id="55" name="Picture"/>
            <a:graphic>
              <a:graphicData uri="http://schemas.openxmlformats.org/drawingml/2006/picture">
                <pic:pic>
                  <pic:nvPicPr>
                    <pic:cNvPr descr="index_files/figure-docx/unnamed-chunk-5-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22">
        <w:r>
          <w:rPr>
            <w:rStyle w:val="Hyperlink"/>
            <w:vertAlign w:val="subscript"/>
          </w:rPr>
          <w:t xml:space="preserve">Article Notebook</w:t>
        </w:r>
      </w:hyperlink>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40" Target="media/rId40.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hyperlink" Id="rId22" Target="https://Jeylal.github.io/annexe-assurance-maladie/index.qmd.html" TargetMode="External" /></Relationships>
</file>

<file path=word/_rels/footnotes.xml.rels><?xml version="1.0" encoding="UTF-8"?><Relationships xmlns="http://schemas.openxmlformats.org/package/2006/relationships"><Relationship Type="http://schemas.openxmlformats.org/officeDocument/2006/relationships/hyperlink" Id="rId22" Target="https://Jeylal.github.io/annexe-assurance-maladie/index.qm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L’assurance-maladie obligatoire suisse dans l’impasse. Une analyse du compromis socio-politique derrière la Loi fédérale sur l’assurance-maladie (LAMal)</dc:title>
  <dc:creator>Celâl Güney; Gaia Valenti</dc:creator>
  <cp:keywords/>
  <dcterms:created xsi:type="dcterms:W3CDTF">2026-02-27T10:18:09Z</dcterms:created>
  <dcterms:modified xsi:type="dcterms:W3CDTF">2026-02-27T10:18:09Z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date">
    <vt:lpwstr>2026-02-27</vt:lpwstr>
  </property>
  <property fmtid="{D5CDD505-2E9C-101B-9397-08002B2CF9AE}" pid="10" name="exclude">
    <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auto</vt:lpwstr>
  </property>
  <property fmtid="{D5CDD505-2E9C-101B-9397-08002B2CF9AE}" pid="17" name="manuscript">
    <vt:lpwstr/>
  </property>
  <property fmtid="{D5CDD505-2E9C-101B-9397-08002B2CF9AE}" pid="18" name="notebook-preview-options">
    <vt:lpwstr/>
  </property>
  <property fmtid="{D5CDD505-2E9C-101B-9397-08002B2CF9AE}" pid="19" name="quarto-internal">
    <vt:lpwstr/>
  </property>
  <property fmtid="{D5CDD505-2E9C-101B-9397-08002B2CF9AE}" pid="20" name="remove-hidden">
    <vt:lpwstr>all</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