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E14E"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Chers membres du comité éditorial, </w:t>
      </w:r>
    </w:p>
    <w:p w14:paraId="79223005" w14:textId="72A405C3"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Nous vous remercions pour votre décision sur notre proposition d’article « L’assurance-maladie obligatoire suisse dans l’impasse. Une analyse du compromis socio-politique à l’origine de la loi fédérale sur l’assurance-maladie (LAMal) » et pour les commentaires constructifs que vous nous avez fait parvenir. Nous détaillons dans cette lettre les révisions que nous avons adoptées en réponse aux évaluations et aux recommandations des éditeur</w:t>
      </w:r>
      <w:r w:rsidR="00557780">
        <w:rPr>
          <w:rFonts w:ascii="Times New Roman" w:hAnsi="Times New Roman" w:cs="Times New Roman"/>
          <w:sz w:val="24"/>
          <w:szCs w:val="24"/>
          <w:lang w:val="fr-CH"/>
        </w:rPr>
        <w:t>s</w:t>
      </w:r>
      <w:r w:rsidRPr="00F9317F">
        <w:rPr>
          <w:rFonts w:ascii="Times New Roman" w:hAnsi="Times New Roman" w:cs="Times New Roman"/>
          <w:sz w:val="24"/>
          <w:szCs w:val="24"/>
          <w:lang w:val="fr-CH"/>
        </w:rPr>
        <w:t xml:space="preserve">, ceux-ci nous ont permis d’effectuer des améliorations substantielles à notre soumission. </w:t>
      </w:r>
    </w:p>
    <w:p w14:paraId="2F9922FC" w14:textId="45908F66"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Les deux évaluations et les commentaires des éditeurs nous engagent à effectuer deux modifications </w:t>
      </w:r>
      <w:r w:rsidR="004C69FD">
        <w:rPr>
          <w:rFonts w:ascii="Times New Roman" w:hAnsi="Times New Roman" w:cs="Times New Roman"/>
          <w:sz w:val="24"/>
          <w:szCs w:val="24"/>
          <w:lang w:val="fr-CH"/>
        </w:rPr>
        <w:t>importantes</w:t>
      </w:r>
      <w:r w:rsidRPr="00F9317F">
        <w:rPr>
          <w:rFonts w:ascii="Times New Roman" w:hAnsi="Times New Roman" w:cs="Times New Roman"/>
          <w:sz w:val="24"/>
          <w:szCs w:val="24"/>
          <w:lang w:val="fr-CH"/>
        </w:rPr>
        <w:t xml:space="preserve">. </w:t>
      </w:r>
      <w:r w:rsidR="002D47F5">
        <w:rPr>
          <w:rFonts w:ascii="Times New Roman" w:hAnsi="Times New Roman" w:cs="Times New Roman"/>
          <w:sz w:val="24"/>
          <w:szCs w:val="24"/>
          <w:lang w:val="fr-CH"/>
        </w:rPr>
        <w:t>D’abord</w:t>
      </w:r>
      <w:r w:rsidRPr="00F9317F">
        <w:rPr>
          <w:rFonts w:ascii="Times New Roman" w:hAnsi="Times New Roman" w:cs="Times New Roman"/>
          <w:sz w:val="24"/>
          <w:szCs w:val="24"/>
          <w:lang w:val="fr-CH"/>
        </w:rPr>
        <w:t xml:space="preserve">, ils nous encouragent à renforcer la démonstration empirique dans le cadre théorique néoréaliste. Celle-ci semble circulaire (évaluation 2), et elle ne corrobore pas tout à fait la thèse annoncée dans le cadre néoréaliste selon laquelle le blocage de l’assurance-maladie s’explique par le fait que les membres du bloc social dominant ne sont majoritairement pas favorables. Ensuite, les deux évaluations et les commentaires des éditeurs mettent en avant des défauts de structure qui desservent l’argumentaire et nous engagent à retravailler l’article </w:t>
      </w:r>
      <w:r w:rsidR="004C69FD">
        <w:rPr>
          <w:rFonts w:ascii="Times New Roman" w:hAnsi="Times New Roman" w:cs="Times New Roman"/>
          <w:sz w:val="24"/>
          <w:szCs w:val="24"/>
          <w:lang w:val="fr-CH"/>
        </w:rPr>
        <w:t>afin de mieux justifier l’utilisation de l’économie politique néoréaliste comme cadre théorique</w:t>
      </w:r>
      <w:r w:rsidRPr="00F9317F">
        <w:rPr>
          <w:rFonts w:ascii="Times New Roman" w:hAnsi="Times New Roman" w:cs="Times New Roman"/>
          <w:sz w:val="24"/>
          <w:szCs w:val="24"/>
          <w:lang w:val="fr-CH"/>
        </w:rPr>
        <w:t xml:space="preserve">. </w:t>
      </w:r>
    </w:p>
    <w:p w14:paraId="20DFD811" w14:textId="43EEC7AF"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Afin d’améliorer ces deux aspects, nous avons retravaillé en profondeur l’apport empirique de ce travail. Nous avons, comme demandé par les éditeurs, privilégié une analyse des groupes sociaux par le biais </w:t>
      </w:r>
      <w:r w:rsidR="002D47F5">
        <w:rPr>
          <w:rFonts w:ascii="Times New Roman" w:hAnsi="Times New Roman" w:cs="Times New Roman"/>
          <w:sz w:val="24"/>
          <w:szCs w:val="24"/>
          <w:lang w:val="fr-CH"/>
        </w:rPr>
        <w:t>d’une analyse</w:t>
      </w:r>
      <w:r w:rsidRPr="00F9317F">
        <w:rPr>
          <w:rFonts w:ascii="Times New Roman" w:hAnsi="Times New Roman" w:cs="Times New Roman"/>
          <w:sz w:val="24"/>
          <w:szCs w:val="24"/>
          <w:lang w:val="fr-CH"/>
        </w:rPr>
        <w:t xml:space="preserve"> en classe latente, plutôt que des régressions qui montrent les préférences individuelles, rendue possible par la sortie d’un nouveau jeu de données (Vox) portant sur les votations 2024 et qui montrent le soutien de</w:t>
      </w:r>
      <w:r w:rsidR="00836645">
        <w:rPr>
          <w:rFonts w:ascii="Times New Roman" w:hAnsi="Times New Roman" w:cs="Times New Roman"/>
          <w:sz w:val="24"/>
          <w:szCs w:val="24"/>
          <w:lang w:val="fr-CH"/>
        </w:rPr>
        <w:t xml:space="preserve">s citoyens </w:t>
      </w:r>
      <w:r w:rsidRPr="00F9317F">
        <w:rPr>
          <w:rFonts w:ascii="Times New Roman" w:hAnsi="Times New Roman" w:cs="Times New Roman"/>
          <w:sz w:val="24"/>
          <w:szCs w:val="24"/>
          <w:lang w:val="fr-CH"/>
        </w:rPr>
        <w:t>suisse</w:t>
      </w:r>
      <w:r w:rsidR="00836645">
        <w:rPr>
          <w:rFonts w:ascii="Times New Roman" w:hAnsi="Times New Roman" w:cs="Times New Roman"/>
          <w:sz w:val="24"/>
          <w:szCs w:val="24"/>
          <w:lang w:val="fr-CH"/>
        </w:rPr>
        <w:t>s</w:t>
      </w:r>
      <w:r w:rsidRPr="00F9317F">
        <w:rPr>
          <w:rFonts w:ascii="Times New Roman" w:hAnsi="Times New Roman" w:cs="Times New Roman"/>
          <w:sz w:val="24"/>
          <w:szCs w:val="24"/>
          <w:lang w:val="fr-CH"/>
        </w:rPr>
        <w:t xml:space="preserve"> à 8 propositions de réformes de l’assurance-maladie.  Notre démonstration se déroule en deux étapes (section 4) : d’abord, nous groupons l</w:t>
      </w:r>
      <w:r w:rsidR="004C69FD">
        <w:rPr>
          <w:rFonts w:ascii="Times New Roman" w:hAnsi="Times New Roman" w:cs="Times New Roman"/>
          <w:sz w:val="24"/>
          <w:szCs w:val="24"/>
          <w:lang w:val="fr-CH"/>
        </w:rPr>
        <w:t xml:space="preserve">a population suisse en âge de voter </w:t>
      </w:r>
      <w:r w:rsidRPr="00F9317F">
        <w:rPr>
          <w:rFonts w:ascii="Times New Roman" w:hAnsi="Times New Roman" w:cs="Times New Roman"/>
          <w:sz w:val="24"/>
          <w:szCs w:val="24"/>
          <w:lang w:val="fr-CH"/>
        </w:rPr>
        <w:t xml:space="preserve">en 7 groupes socio-politiques en fonction de leurs attentes vis-à-vis du modèle d’assurance maladie. Ensuite, nous comparons ces résultats au bloc social dominant suisse et concluons que le blocage émerge de deux visions différentes du modèle d’assurance-maladie au sein du bloc social dominant. Ainsi, cette vision explique le paradoxe que, sur suggestion des éditeurs, nous avons mis en avant à l’aide de statistiques </w:t>
      </w:r>
      <w:r w:rsidR="00836645">
        <w:rPr>
          <w:rFonts w:ascii="Times New Roman" w:hAnsi="Times New Roman" w:cs="Times New Roman"/>
          <w:sz w:val="24"/>
          <w:szCs w:val="24"/>
          <w:lang w:val="fr-CH"/>
        </w:rPr>
        <w:t>sur</w:t>
      </w:r>
      <w:r w:rsidR="0096098D">
        <w:rPr>
          <w:rFonts w:ascii="Times New Roman" w:hAnsi="Times New Roman" w:cs="Times New Roman"/>
          <w:sz w:val="24"/>
          <w:szCs w:val="24"/>
          <w:lang w:val="fr-CH"/>
        </w:rPr>
        <w:t xml:space="preserve"> </w:t>
      </w:r>
      <w:r w:rsidR="00836645">
        <w:rPr>
          <w:rFonts w:ascii="Times New Roman" w:hAnsi="Times New Roman" w:cs="Times New Roman"/>
          <w:sz w:val="24"/>
          <w:szCs w:val="24"/>
          <w:lang w:val="fr-CH"/>
        </w:rPr>
        <w:t>les 8 variables retenues afin de définir les groupes socio-politiques</w:t>
      </w:r>
      <w:r w:rsidR="00B800D9">
        <w:rPr>
          <w:rFonts w:ascii="Times New Roman" w:hAnsi="Times New Roman" w:cs="Times New Roman"/>
          <w:sz w:val="24"/>
          <w:szCs w:val="24"/>
          <w:lang w:val="fr-CH"/>
        </w:rPr>
        <w:t xml:space="preserve">. D’un côté, nous montrons l’impopularité des réformes néolibérales qui sont rejetées par la population. De l’autre, nous montrons qu’il existe une courte majorité pour deux réformes sociales : l’indexation des primes sur le revenu et la création d’une caisse unique. Alors que le soutien à l’indexation des primes </w:t>
      </w:r>
      <w:r w:rsidR="00F6644C">
        <w:rPr>
          <w:rFonts w:ascii="Times New Roman" w:hAnsi="Times New Roman" w:cs="Times New Roman"/>
          <w:sz w:val="24"/>
          <w:szCs w:val="24"/>
          <w:lang w:val="fr-CH"/>
        </w:rPr>
        <w:t>n’est pas partagé par l’ensemble des groupes socio-politiques identifiés et est par exemple rejeté par la composante néolibérale du bloc dominant libéral-conservateur, la création d’une caisse unique tire un soutien majoritaire à la fois dans l’ensemble de la population ainsi qu’au sein d’une majorité de groupes socio-politiques. Cela rejoint donc la conclusion de la première version de notre article, à savoir le fait que, malgré l’impasse actuelle, une possible trajectoire de réforme concentrée sur la caisse unique est plausible dans le futur.</w:t>
      </w:r>
    </w:p>
    <w:p w14:paraId="4670D8B2"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ensuite retravaillé la structure afin de mettre en exergue et d’intégrer les commentaires spécifiques à chaque section. Nous les détaillons section par section. </w:t>
      </w:r>
    </w:p>
    <w:p w14:paraId="7235FA4E"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Dans l’introduction, nous avons clarifié l’approche des blocs sociaux que nous utilisons, ainsi que leur opérationnalisation empirique (évaluation 2). Nous avons également explicité la différence avec les approches « traditionnelles » des blocs sociaux dans la littérature suisse et intégré les références suggérées par l’évaluation 2. </w:t>
      </w:r>
    </w:p>
    <w:p w14:paraId="26F6736F" w14:textId="283755B3"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lastRenderedPageBreak/>
        <w:t xml:space="preserve">Nous avons retravaillé la section 2, qui opère un rappel historique, afin de la rendre plus synthétique pour mettre en exergue l’importance des coalitions politiques dans sa formation. Nous montrons que, tout au long du </w:t>
      </w:r>
      <w:r>
        <w:rPr>
          <w:rFonts w:ascii="Times New Roman" w:hAnsi="Times New Roman" w:cs="Times New Roman"/>
          <w:sz w:val="24"/>
          <w:szCs w:val="24"/>
          <w:lang w:val="fr-CH"/>
        </w:rPr>
        <w:t>20</w:t>
      </w:r>
      <w:r w:rsidRPr="00F9317F">
        <w:rPr>
          <w:rFonts w:ascii="Times New Roman" w:hAnsi="Times New Roman" w:cs="Times New Roman"/>
          <w:sz w:val="24"/>
          <w:szCs w:val="24"/>
          <w:lang w:val="fr-CH"/>
        </w:rPr>
        <w:t xml:space="preserve">ème siècle, les réformes sont systématiquement bloquées, et que la LAMal est le fruit d’un compromis politique entre les différentes coalitions. Ce compromis explique en partie ses paradoxes. Conformément aux commentaires de la première évaluation, nous avons </w:t>
      </w:r>
      <w:r w:rsidR="0096098D">
        <w:rPr>
          <w:rFonts w:ascii="Times New Roman" w:hAnsi="Times New Roman" w:cs="Times New Roman"/>
          <w:sz w:val="24"/>
          <w:szCs w:val="24"/>
          <w:lang w:val="fr-CH"/>
        </w:rPr>
        <w:t xml:space="preserve">centré la section sur la loi de 1912 et la réforme de 1994 et </w:t>
      </w:r>
      <w:r w:rsidRPr="00F9317F">
        <w:rPr>
          <w:rFonts w:ascii="Times New Roman" w:hAnsi="Times New Roman" w:cs="Times New Roman"/>
          <w:sz w:val="24"/>
          <w:szCs w:val="24"/>
          <w:lang w:val="fr-CH"/>
        </w:rPr>
        <w:t xml:space="preserve">explicité d’avantage les éléments de contexte des années 1990 qui ont participé à son adoption. </w:t>
      </w:r>
    </w:p>
    <w:p w14:paraId="57B73081"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Dans la section 3, qui détaille les principales caractéristiques du modèle de </w:t>
      </w:r>
      <w:proofErr w:type="spellStart"/>
      <w:r w:rsidRPr="0096098D">
        <w:rPr>
          <w:rFonts w:ascii="Times New Roman" w:hAnsi="Times New Roman" w:cs="Times New Roman"/>
          <w:sz w:val="24"/>
          <w:szCs w:val="24"/>
          <w:lang w:val="fr-CH"/>
        </w:rPr>
        <w:t>managed</w:t>
      </w:r>
      <w:proofErr w:type="spellEnd"/>
      <w:r w:rsidRPr="0096098D">
        <w:rPr>
          <w:rFonts w:ascii="Times New Roman" w:hAnsi="Times New Roman" w:cs="Times New Roman"/>
          <w:sz w:val="24"/>
          <w:szCs w:val="24"/>
          <w:lang w:val="fr-CH"/>
        </w:rPr>
        <w:t xml:space="preserve"> </w:t>
      </w:r>
      <w:proofErr w:type="spellStart"/>
      <w:r w:rsidRPr="0096098D">
        <w:rPr>
          <w:rFonts w:ascii="Times New Roman" w:hAnsi="Times New Roman" w:cs="Times New Roman"/>
          <w:sz w:val="24"/>
          <w:szCs w:val="24"/>
          <w:lang w:val="fr-CH"/>
        </w:rPr>
        <w:t>competition</w:t>
      </w:r>
      <w:proofErr w:type="spellEnd"/>
      <w:r w:rsidRPr="0096098D">
        <w:rPr>
          <w:rFonts w:ascii="Times New Roman" w:hAnsi="Times New Roman" w:cs="Times New Roman"/>
          <w:sz w:val="24"/>
          <w:szCs w:val="24"/>
          <w:lang w:val="fr-CH"/>
        </w:rPr>
        <w:t xml:space="preserve"> de</w:t>
      </w:r>
      <w:r w:rsidRPr="00F9317F">
        <w:rPr>
          <w:rFonts w:ascii="Times New Roman" w:hAnsi="Times New Roman" w:cs="Times New Roman"/>
          <w:sz w:val="24"/>
          <w:szCs w:val="24"/>
          <w:lang w:val="fr-CH"/>
        </w:rPr>
        <w:t xml:space="preserve"> la LAMal, nous avons appliqué les recommandations de l’évaluation 1 en soulignant plus systématiquement que deux objectifs centraux (la maîtrise des coûts et la solidarité) ne sont pas atteints. Nous avons ici également gardé les éléments sur l’insatisfaction de la population quant à ces dimensions, et ce afin d’intégrer le commentaire des éditeurs qui consiste à mettre en avant le paradoxe selon lequel une majorité de la population est opposée au modèle. Nous avons également mis la partie sur EFAS, jugée superflue par la première évaluation, en bas de page. </w:t>
      </w:r>
    </w:p>
    <w:p w14:paraId="29CCB422" w14:textId="52D48252"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modifié substantiellement la partie 4, qui présente notre </w:t>
      </w:r>
      <w:r w:rsidR="00D21CBA">
        <w:rPr>
          <w:rFonts w:ascii="Times New Roman" w:hAnsi="Times New Roman" w:cs="Times New Roman"/>
          <w:sz w:val="24"/>
          <w:szCs w:val="24"/>
          <w:lang w:val="fr-CH"/>
        </w:rPr>
        <w:t>contribution</w:t>
      </w:r>
      <w:r w:rsidRPr="00F9317F">
        <w:rPr>
          <w:rFonts w:ascii="Times New Roman" w:hAnsi="Times New Roman" w:cs="Times New Roman"/>
          <w:sz w:val="24"/>
          <w:szCs w:val="24"/>
          <w:lang w:val="fr-CH"/>
        </w:rPr>
        <w:t xml:space="preserve"> empirique. D’abord, nous présentons les blocs sociaux suisses dans un tableau synthétique, visant à éclaircir le contexte suisse comme suggéré par l’évaluation 1. Nous avons ensuite intégré une analyse en classe latente sur les données vox qui catégorise la population en 7 groupes socio-politiques en fonction de leur</w:t>
      </w:r>
      <w:r w:rsidR="002D47F5">
        <w:rPr>
          <w:rFonts w:ascii="Times New Roman" w:hAnsi="Times New Roman" w:cs="Times New Roman"/>
          <w:sz w:val="24"/>
          <w:szCs w:val="24"/>
          <w:lang w:val="fr-CH"/>
        </w:rPr>
        <w:t>s</w:t>
      </w:r>
      <w:r w:rsidRPr="00F9317F">
        <w:rPr>
          <w:rFonts w:ascii="Times New Roman" w:hAnsi="Times New Roman" w:cs="Times New Roman"/>
          <w:sz w:val="24"/>
          <w:szCs w:val="24"/>
          <w:lang w:val="fr-CH"/>
        </w:rPr>
        <w:t xml:space="preserve"> attentes vis-à-vis du système d’assurance maladie. Cette analyse nous permet d’intégrer les différentes pistes de réformes évoquées par les éditeurs (hausse des subventions et modification de la péréquation tarifaire). Par cette approche nous avons cherché à clarifier les apports de la perspective néoréaliste, qui permet d’articuler groupes socio-économiques, attentes politiques et stratégie politique du </w:t>
      </w:r>
      <w:r w:rsidR="00D21CBA">
        <w:rPr>
          <w:rFonts w:ascii="Times New Roman" w:hAnsi="Times New Roman" w:cs="Times New Roman"/>
          <w:sz w:val="24"/>
          <w:szCs w:val="24"/>
          <w:lang w:val="fr-CH"/>
        </w:rPr>
        <w:t>bloc social dominant</w:t>
      </w:r>
      <w:r w:rsidRPr="00F9317F">
        <w:rPr>
          <w:rFonts w:ascii="Times New Roman" w:hAnsi="Times New Roman" w:cs="Times New Roman"/>
          <w:sz w:val="24"/>
          <w:szCs w:val="24"/>
          <w:lang w:val="fr-CH"/>
        </w:rPr>
        <w:t xml:space="preserve">. </w:t>
      </w:r>
    </w:p>
    <w:p w14:paraId="579E58EE" w14:textId="3D81C4CC"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enfin modifié la conclusion afin de faire ressortir l’apport de notre analyse et l’articulation de l’argument. </w:t>
      </w:r>
    </w:p>
    <w:p w14:paraId="70C68F1B" w14:textId="1072CDBF"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Nous espérons que les modifications que nous avons effectuées</w:t>
      </w:r>
      <w:r w:rsidR="00D21CBA">
        <w:rPr>
          <w:rFonts w:ascii="Times New Roman" w:hAnsi="Times New Roman" w:cs="Times New Roman"/>
          <w:sz w:val="24"/>
          <w:szCs w:val="24"/>
          <w:lang w:val="fr-CH"/>
        </w:rPr>
        <w:t xml:space="preserve"> répondront correctement à</w:t>
      </w:r>
      <w:r w:rsidRPr="00F9317F">
        <w:rPr>
          <w:rFonts w:ascii="Times New Roman" w:hAnsi="Times New Roman" w:cs="Times New Roman"/>
          <w:sz w:val="24"/>
          <w:szCs w:val="24"/>
          <w:lang w:val="fr-CH"/>
        </w:rPr>
        <w:t xml:space="preserve"> vos attentes de révision. Nous avons cherché à prendre en compte toutes les suggestions des </w:t>
      </w:r>
      <w:r w:rsidR="00EF62B8">
        <w:rPr>
          <w:rFonts w:ascii="Times New Roman" w:hAnsi="Times New Roman" w:cs="Times New Roman"/>
          <w:sz w:val="24"/>
          <w:szCs w:val="24"/>
          <w:lang w:val="fr-CH"/>
        </w:rPr>
        <w:t>relecteurs</w:t>
      </w:r>
      <w:r w:rsidRPr="00F9317F">
        <w:rPr>
          <w:rFonts w:ascii="Times New Roman" w:hAnsi="Times New Roman" w:cs="Times New Roman"/>
          <w:sz w:val="24"/>
          <w:szCs w:val="24"/>
          <w:lang w:val="fr-CH"/>
        </w:rPr>
        <w:t xml:space="preserve"> sauf le point sur la structure mentionné dans la lettre de l’éditeur. Nous sommes bien entendu disponibles pour tout éventuel changement supplémentaire. </w:t>
      </w:r>
    </w:p>
    <w:p w14:paraId="48EDD0F6" w14:textId="5B4A2000"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Meilleures salutations, </w:t>
      </w:r>
    </w:p>
    <w:p w14:paraId="667653DE" w14:textId="77777777" w:rsid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Celâl Güney et Gaia Valenti</w:t>
      </w:r>
    </w:p>
    <w:p w14:paraId="2053A296" w14:textId="77777777" w:rsidR="003109BD" w:rsidRDefault="003109BD" w:rsidP="00F9317F">
      <w:pPr>
        <w:jc w:val="both"/>
        <w:rPr>
          <w:rFonts w:ascii="Times New Roman" w:hAnsi="Times New Roman" w:cs="Times New Roman"/>
          <w:sz w:val="24"/>
          <w:szCs w:val="24"/>
          <w:lang w:val="fr-CH"/>
        </w:rPr>
      </w:pPr>
    </w:p>
    <w:p w14:paraId="7387BCFF" w14:textId="1EDDBE0F" w:rsidR="00E22F54" w:rsidRPr="00EF62B8" w:rsidRDefault="00E22F54" w:rsidP="00F9317F">
      <w:pPr>
        <w:jc w:val="both"/>
        <w:rPr>
          <w:rStyle w:val="lev"/>
          <w:rFonts w:ascii="Times New Roman" w:hAnsi="Times New Roman" w:cs="Times New Roman"/>
          <w:lang w:val="fr-CH"/>
        </w:rPr>
      </w:pPr>
      <w:r w:rsidRPr="00EF62B8">
        <w:rPr>
          <w:rStyle w:val="lev"/>
          <w:rFonts w:ascii="Times New Roman" w:hAnsi="Times New Roman" w:cs="Times New Roman"/>
          <w:lang w:val="fr-CH"/>
        </w:rPr>
        <w:t>Commentaires des relecteurs aux auteurs :</w:t>
      </w:r>
    </w:p>
    <w:p w14:paraId="6EB1554A" w14:textId="60F612C5" w:rsidR="00683227" w:rsidRPr="00EF62B8" w:rsidRDefault="00683227" w:rsidP="00D02E2D">
      <w:pPr>
        <w:jc w:val="both"/>
        <w:rPr>
          <w:rStyle w:val="Titredulivre"/>
          <w:rFonts w:ascii="Times New Roman" w:hAnsi="Times New Roman" w:cs="Times New Roman"/>
          <w:i w:val="0"/>
          <w:iCs w:val="0"/>
        </w:rPr>
      </w:pPr>
      <w:proofErr w:type="spellStart"/>
      <w:r w:rsidRPr="00EF62B8">
        <w:rPr>
          <w:rStyle w:val="Titredulivre"/>
          <w:rFonts w:ascii="Times New Roman" w:hAnsi="Times New Roman" w:cs="Times New Roman"/>
          <w:i w:val="0"/>
          <w:iCs w:val="0"/>
        </w:rPr>
        <w:t>Relecteur</w:t>
      </w:r>
      <w:proofErr w:type="spellEnd"/>
      <w:r w:rsidRPr="00EF62B8">
        <w:rPr>
          <w:rStyle w:val="Titredulivre"/>
          <w:rFonts w:ascii="Times New Roman" w:hAnsi="Times New Roman" w:cs="Times New Roman"/>
          <w:i w:val="0"/>
          <w:iCs w:val="0"/>
        </w:rPr>
        <w:t xml:space="preserve"> </w:t>
      </w:r>
      <w:r w:rsidR="00836645">
        <w:rPr>
          <w:rStyle w:val="Titredulivre"/>
          <w:rFonts w:ascii="Times New Roman" w:hAnsi="Times New Roman" w:cs="Times New Roman"/>
          <w:i w:val="0"/>
          <w:iCs w:val="0"/>
        </w:rPr>
        <w:t>1</w:t>
      </w:r>
    </w:p>
    <w:p w14:paraId="74810F22" w14:textId="3BD1E378" w:rsidR="008E3A4F" w:rsidRPr="00EF62B8" w:rsidRDefault="00D7303E" w:rsidP="008E3A4F">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La première section gagnerait à être plus synthétique afin de ne pas perdre le lecteur dans la chronologie. Le point de comparaison le plus instructif réside dans les divergences fondamentales avec la loi de 1912 (LAMA), dont l’analyse permettrait de mieux mettre en relief les spécificités du système actuel. Paradoxalement, alors que l’article traite de la réforme de la LAMal, les éléments de contexte ayant présidé à son adoption en 1994 sont relativement peu développés ; un approfondissement sur ce point permettrait de mieux comprendre les compromis politiques originels.</w:t>
      </w:r>
    </w:p>
    <w:p w14:paraId="617B19AE" w14:textId="37571B2B" w:rsidR="00D21CBA" w:rsidRPr="00D21CBA" w:rsidRDefault="00D21CBA" w:rsidP="00D7303E">
      <w:pPr>
        <w:jc w:val="both"/>
        <w:rPr>
          <w:rStyle w:val="Titredulivre"/>
          <w:rFonts w:ascii="Times New Roman" w:hAnsi="Times New Roman" w:cs="Times New Roman"/>
          <w:b w:val="0"/>
          <w:bCs w:val="0"/>
          <w:i w:val="0"/>
          <w:iCs w:val="0"/>
          <w:color w:val="000000" w:themeColor="text1"/>
          <w:spacing w:val="0"/>
          <w:sz w:val="24"/>
          <w:szCs w:val="24"/>
          <w:lang w:val="fr-CH"/>
        </w:rPr>
      </w:pPr>
      <w:r w:rsidRPr="0096098D">
        <w:rPr>
          <w:rStyle w:val="Titredulivre"/>
          <w:rFonts w:ascii="Times New Roman" w:hAnsi="Times New Roman" w:cs="Times New Roman"/>
          <w:b w:val="0"/>
          <w:bCs w:val="0"/>
          <w:i w:val="0"/>
          <w:iCs w:val="0"/>
          <w:color w:val="000000" w:themeColor="text1"/>
          <w:sz w:val="24"/>
          <w:szCs w:val="24"/>
          <w:lang w:val="fr-CH"/>
        </w:rPr>
        <w:lastRenderedPageBreak/>
        <w:t>Nous vous remercions pour cette suggestion.</w:t>
      </w:r>
      <w:r w:rsidRPr="00D21CBA">
        <w:rPr>
          <w:rStyle w:val="Titredulivre"/>
          <w:rFonts w:ascii="Times New Roman" w:hAnsi="Times New Roman" w:cs="Times New Roman"/>
          <w:b w:val="0"/>
          <w:bCs w:val="0"/>
          <w:i w:val="0"/>
          <w:iCs w:val="0"/>
          <w:color w:val="000000" w:themeColor="text1"/>
          <w:lang w:val="fr-CH"/>
        </w:rPr>
        <w:t xml:space="preserve"> </w:t>
      </w:r>
      <w:r w:rsidRPr="00D21CBA">
        <w:rPr>
          <w:rFonts w:ascii="Times New Roman" w:hAnsi="Times New Roman" w:cs="Times New Roman"/>
          <w:color w:val="000000" w:themeColor="text1"/>
          <w:sz w:val="24"/>
          <w:szCs w:val="24"/>
          <w:lang w:val="fr-CH"/>
        </w:rPr>
        <w:t xml:space="preserve">Nous avons restructuré la deuxième section afin de la rendre plus synthétique en mettant davantage l’accent sur l’importance des coalitions politiques dans l’adoption de la LAMal en 1994. </w:t>
      </w:r>
      <w:r w:rsidR="0096098D">
        <w:rPr>
          <w:rFonts w:ascii="Times New Roman" w:hAnsi="Times New Roman" w:cs="Times New Roman"/>
          <w:color w:val="000000" w:themeColor="text1"/>
          <w:sz w:val="24"/>
          <w:szCs w:val="24"/>
          <w:lang w:val="fr-CH"/>
        </w:rPr>
        <w:t xml:space="preserve">Nous avons également raccourci la section et nous l’avons centrée sur le cadre légal en vigueur dès 1912, qui précède la LAMAL et sur le contexte des années 1990. </w:t>
      </w:r>
    </w:p>
    <w:p w14:paraId="49C60C3A" w14:textId="32B28E6A"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 xml:space="preserve">Comme pour la section précédente, je suggère à l’auteur de structurer davantage son argumentation. La première partie s’appuie sur une analyse en classes latentes des attentes sociales générales, mais ce passage peut s’avérer difficile à suivre pour un lecteur peu familier des spécificités du système politique suisse. Afin d’en faciliter la compréhension, il serait utile d’inclure une présentation synthétique des principaux partis politiques, en précisant leur base sociale ainsi que leur stratégie socio-politique respective. L’auteur identifie de manière convaincante les deux composantes du bloc social dominant, soit une frange conservatrice et une frange néolibérale, cette dernière étant minoritaire. Toutefois, la distinction entre ces deux piliers gagnerait à être approfondie afin de dissiper certaines ambiguïtés. D’une part, il serait utile d’expliciter plus clairement en quoi leurs attentes et leurs préférences diffèrent. Leur composition sociale n’étant pas identique, leurs intérêts ne sont pas nécessairement convergents, et cette question apparaît essentielle pour comprendre la dynamique interne du bloc social dominant. D’autre part, ces divergences semblent se refléter dans des conceptions distinctes du système de santé. L’auteur pourrait ainsi préciser si la frange néolibérale soutient le modèle actuel de </w:t>
      </w:r>
      <w:proofErr w:type="spellStart"/>
      <w:r w:rsidRPr="00EF62B8">
        <w:rPr>
          <w:rStyle w:val="Titredulivre"/>
          <w:rFonts w:ascii="Times New Roman" w:hAnsi="Times New Roman" w:cs="Times New Roman"/>
          <w:b w:val="0"/>
          <w:bCs w:val="0"/>
          <w:lang w:val="fr-CH"/>
        </w:rPr>
        <w:t>managed</w:t>
      </w:r>
      <w:proofErr w:type="spellEnd"/>
      <w:r w:rsidRPr="00EF62B8">
        <w:rPr>
          <w:rStyle w:val="Titredulivre"/>
          <w:rFonts w:ascii="Times New Roman" w:hAnsi="Times New Roman" w:cs="Times New Roman"/>
          <w:b w:val="0"/>
          <w:bCs w:val="0"/>
          <w:lang w:val="fr-CH"/>
        </w:rPr>
        <w:t xml:space="preserve"> </w:t>
      </w:r>
      <w:proofErr w:type="spellStart"/>
      <w:r w:rsidRPr="00EF62B8">
        <w:rPr>
          <w:rStyle w:val="Titredulivre"/>
          <w:rFonts w:ascii="Times New Roman" w:hAnsi="Times New Roman" w:cs="Times New Roman"/>
          <w:b w:val="0"/>
          <w:bCs w:val="0"/>
          <w:lang w:val="fr-CH"/>
        </w:rPr>
        <w:t>competition</w:t>
      </w:r>
      <w:proofErr w:type="spellEnd"/>
      <w:r w:rsidRPr="00EF62B8">
        <w:rPr>
          <w:rStyle w:val="Titredulivre"/>
          <w:rFonts w:ascii="Times New Roman" w:hAnsi="Times New Roman" w:cs="Times New Roman"/>
          <w:b w:val="0"/>
          <w:bCs w:val="0"/>
          <w:lang w:val="fr-CH"/>
        </w:rPr>
        <w:t xml:space="preserve"> principalement en raison de son adhésion aux mécanismes de marché, tandis que la frange conservatrice le soutiendrait pour d’autres raisons, telles que la préservation du statu quo ou le rejet d’un modèle davantage fondé sur l’intervention publique.</w:t>
      </w:r>
    </w:p>
    <w:p w14:paraId="76D80039" w14:textId="1CF01AE0" w:rsidR="002D501C" w:rsidRPr="00EF62B8" w:rsidRDefault="002D501C" w:rsidP="002D501C">
      <w:pPr>
        <w:jc w:val="both"/>
        <w:rPr>
          <w:rStyle w:val="Titredulivre"/>
          <w:rFonts w:ascii="Times New Roman" w:hAnsi="Times New Roman" w:cs="Times New Roman"/>
          <w:b w:val="0"/>
          <w:bCs w:val="0"/>
          <w:i w:val="0"/>
          <w:iCs w:val="0"/>
          <w:lang w:val="fr-CH"/>
        </w:rPr>
      </w:pPr>
      <w:r w:rsidRPr="00EF62B8">
        <w:rPr>
          <w:rStyle w:val="Titredulivre"/>
          <w:rFonts w:ascii="Times New Roman" w:hAnsi="Times New Roman" w:cs="Times New Roman"/>
          <w:b w:val="0"/>
          <w:bCs w:val="0"/>
          <w:i w:val="0"/>
          <w:iCs w:val="0"/>
          <w:lang w:val="fr-CH"/>
        </w:rPr>
        <w:t>Nous vous remercions d’avoir souligné le besoin de rendre plus clair la présentation des blocs sociaux suisses. Pour ce faire, nous avons ajouté un tableau synthétique</w:t>
      </w:r>
      <w:r w:rsidR="00D514AE">
        <w:rPr>
          <w:rStyle w:val="Titredulivre"/>
          <w:rFonts w:ascii="Times New Roman" w:hAnsi="Times New Roman" w:cs="Times New Roman"/>
          <w:b w:val="0"/>
          <w:bCs w:val="0"/>
          <w:i w:val="0"/>
          <w:iCs w:val="0"/>
          <w:lang w:val="fr-CH"/>
        </w:rPr>
        <w:t xml:space="preserve"> (tableau 1 p.14)</w:t>
      </w:r>
      <w:r w:rsidRPr="00EF62B8">
        <w:rPr>
          <w:rStyle w:val="Titredulivre"/>
          <w:rFonts w:ascii="Times New Roman" w:hAnsi="Times New Roman" w:cs="Times New Roman"/>
          <w:b w:val="0"/>
          <w:bCs w:val="0"/>
          <w:i w:val="0"/>
          <w:iCs w:val="0"/>
          <w:lang w:val="fr-CH"/>
        </w:rPr>
        <w:t xml:space="preserve"> des blocs sociaux suisses tels qu’identifié</w:t>
      </w:r>
      <w:r w:rsidR="00D514AE">
        <w:rPr>
          <w:rStyle w:val="Titredulivre"/>
          <w:rFonts w:ascii="Times New Roman" w:hAnsi="Times New Roman" w:cs="Times New Roman"/>
          <w:b w:val="0"/>
          <w:bCs w:val="0"/>
          <w:i w:val="0"/>
          <w:iCs w:val="0"/>
          <w:lang w:val="fr-CH"/>
        </w:rPr>
        <w:t>s</w:t>
      </w:r>
      <w:r w:rsidRPr="00EF62B8">
        <w:rPr>
          <w:rStyle w:val="Titredulivre"/>
          <w:rFonts w:ascii="Times New Roman" w:hAnsi="Times New Roman" w:cs="Times New Roman"/>
          <w:b w:val="0"/>
          <w:bCs w:val="0"/>
          <w:i w:val="0"/>
          <w:iCs w:val="0"/>
          <w:lang w:val="fr-CH"/>
        </w:rPr>
        <w:t xml:space="preserve"> à partir d’une analyse en classe latente précédente qui inclut une description des attentes des groupes socio-politiques de chaque bloc, </w:t>
      </w:r>
      <w:r w:rsidR="00841B31" w:rsidRPr="00EF62B8">
        <w:rPr>
          <w:rStyle w:val="Titredulivre"/>
          <w:rFonts w:ascii="Times New Roman" w:hAnsi="Times New Roman" w:cs="Times New Roman"/>
          <w:b w:val="0"/>
          <w:bCs w:val="0"/>
          <w:i w:val="0"/>
          <w:iCs w:val="0"/>
          <w:lang w:val="fr-CH"/>
        </w:rPr>
        <w:t>leurs caractéristiques socio-démographiques</w:t>
      </w:r>
      <w:r w:rsidRPr="00EF62B8">
        <w:rPr>
          <w:rStyle w:val="Titredulivre"/>
          <w:rFonts w:ascii="Times New Roman" w:hAnsi="Times New Roman" w:cs="Times New Roman"/>
          <w:b w:val="0"/>
          <w:bCs w:val="0"/>
          <w:i w:val="0"/>
          <w:iCs w:val="0"/>
          <w:lang w:val="fr-CH"/>
        </w:rPr>
        <w:t xml:space="preserve"> ainsi que les acteurs politiques qui parviennent à tirer leur soutien.</w:t>
      </w:r>
    </w:p>
    <w:p w14:paraId="6B853F5C" w14:textId="77777777" w:rsidR="00D7303E" w:rsidRPr="00EF62B8" w:rsidRDefault="00D7303E" w:rsidP="00D7303E">
      <w:pPr>
        <w:jc w:val="both"/>
        <w:rPr>
          <w:rStyle w:val="Titredulivre"/>
          <w:rFonts w:ascii="Times New Roman" w:hAnsi="Times New Roman" w:cs="Times New Roman"/>
          <w:b w:val="0"/>
          <w:bCs w:val="0"/>
          <w:lang w:val="fr-CH"/>
        </w:rPr>
      </w:pPr>
    </w:p>
    <w:p w14:paraId="1D132B7F" w14:textId="74C29A7E"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 xml:space="preserve">Pour conclure, il serait utile de détailler davantage la validation de l’hypothèse principale. En particulier, l’articulation entre l’analyse des attentes individuelles, fondée sur les classes latentes, et l’analyse en termes de blocs sociaux présentée au début de la quatrième section gagnerait à être clarifiée. En l’état, le passage des préférences microéconomiques des individus à la formation d’un bloc social dominant au sens d’Amable et </w:t>
      </w:r>
      <w:proofErr w:type="spellStart"/>
      <w:r w:rsidRPr="00EF62B8">
        <w:rPr>
          <w:rStyle w:val="Titredulivre"/>
          <w:rFonts w:ascii="Times New Roman" w:hAnsi="Times New Roman" w:cs="Times New Roman"/>
          <w:b w:val="0"/>
          <w:bCs w:val="0"/>
          <w:lang w:val="fr-CH"/>
        </w:rPr>
        <w:t>Palombarini</w:t>
      </w:r>
      <w:proofErr w:type="spellEnd"/>
      <w:r w:rsidRPr="00EF62B8">
        <w:rPr>
          <w:rStyle w:val="Titredulivre"/>
          <w:rFonts w:ascii="Times New Roman" w:hAnsi="Times New Roman" w:cs="Times New Roman"/>
          <w:b w:val="0"/>
          <w:bCs w:val="0"/>
          <w:lang w:val="fr-CH"/>
        </w:rPr>
        <w:t xml:space="preserve"> n’apparaît pas entièrement démontré. L’auteur pourrait expliciter plus précisément les mécanismes théoriques et empiriques qui permettent de relier ces deux niveaux d’analyse et de montrer comment les préférences observées se traduisent en une coalition sociopolitique cohérente. Une telle clarification renforcerait la démonstration et contribuerait à confirmer la cohérence d’ensemble de l’approche néoréaliste mobilisée.</w:t>
      </w:r>
    </w:p>
    <w:p w14:paraId="1CF2DE4E" w14:textId="6520175A" w:rsidR="005B6CE7" w:rsidRPr="00EF62B8" w:rsidRDefault="005B6CE7" w:rsidP="005B6CE7">
      <w:pPr>
        <w:jc w:val="both"/>
        <w:rPr>
          <w:rStyle w:val="Titredulivre"/>
          <w:rFonts w:ascii="Times New Roman" w:hAnsi="Times New Roman" w:cs="Times New Roman"/>
          <w:b w:val="0"/>
          <w:bCs w:val="0"/>
          <w:i w:val="0"/>
          <w:iCs w:val="0"/>
          <w:lang w:val="fr-CH"/>
        </w:rPr>
      </w:pPr>
      <w:r w:rsidRPr="00EF62B8">
        <w:rPr>
          <w:rStyle w:val="Titredulivre"/>
          <w:rFonts w:ascii="Times New Roman" w:hAnsi="Times New Roman" w:cs="Times New Roman"/>
          <w:b w:val="0"/>
          <w:bCs w:val="0"/>
          <w:i w:val="0"/>
          <w:iCs w:val="0"/>
          <w:lang w:val="fr-CH"/>
        </w:rPr>
        <w:t xml:space="preserve">Il s’agit ici d’un point fondamental et la raison principale pour laquelle nous avons remplacé l’analyse de régression par une analyse en classe latente sur des données post-votation de 2024. En effet le relecteur a raison de souligner que le passage des préférences individuelles aux blocs sociaux est imparfait dans notre première version de l’article. Ce problème est résolu à travers l’utilisation de la méthode d’analyse en classe latente qui permet d’identifier des groupes catégoriels latents (les groupes socio-politiques) et comment ces derniers sont agrégés en différents blocs sociaux par différentes stratégies politiques. L’utilisation de cette méthode permet aussi de </w:t>
      </w:r>
      <w:r w:rsidRPr="00EF62B8">
        <w:rPr>
          <w:rStyle w:val="Titredulivre"/>
          <w:rFonts w:ascii="Times New Roman" w:hAnsi="Times New Roman" w:cs="Times New Roman"/>
          <w:b w:val="0"/>
          <w:bCs w:val="0"/>
          <w:i w:val="0"/>
          <w:iCs w:val="0"/>
          <w:lang w:val="fr-CH"/>
        </w:rPr>
        <w:lastRenderedPageBreak/>
        <w:t>rendre les résultats plus intelligibles en plus d’être comparables aux résultats d’une identification précédente des groupes socio-politiques et blocs sociaux suisses, aussi fondée sur une analyse en classe</w:t>
      </w:r>
      <w:r w:rsidR="006D2994">
        <w:rPr>
          <w:rStyle w:val="Titredulivre"/>
          <w:rFonts w:ascii="Times New Roman" w:hAnsi="Times New Roman" w:cs="Times New Roman"/>
          <w:b w:val="0"/>
          <w:bCs w:val="0"/>
          <w:i w:val="0"/>
          <w:iCs w:val="0"/>
          <w:lang w:val="fr-CH"/>
        </w:rPr>
        <w:t>s</w:t>
      </w:r>
      <w:r w:rsidRPr="00EF62B8">
        <w:rPr>
          <w:rStyle w:val="Titredulivre"/>
          <w:rFonts w:ascii="Times New Roman" w:hAnsi="Times New Roman" w:cs="Times New Roman"/>
          <w:b w:val="0"/>
          <w:bCs w:val="0"/>
          <w:i w:val="0"/>
          <w:iCs w:val="0"/>
          <w:lang w:val="fr-CH"/>
        </w:rPr>
        <w:t xml:space="preserve"> latente</w:t>
      </w:r>
      <w:r w:rsidR="006D2994">
        <w:rPr>
          <w:rStyle w:val="Titredulivre"/>
          <w:rFonts w:ascii="Times New Roman" w:hAnsi="Times New Roman" w:cs="Times New Roman"/>
          <w:b w:val="0"/>
          <w:bCs w:val="0"/>
          <w:i w:val="0"/>
          <w:iCs w:val="0"/>
          <w:lang w:val="fr-CH"/>
        </w:rPr>
        <w:t>s</w:t>
      </w:r>
      <w:r w:rsidRPr="00EF62B8">
        <w:rPr>
          <w:rStyle w:val="Titredulivre"/>
          <w:rFonts w:ascii="Times New Roman" w:hAnsi="Times New Roman" w:cs="Times New Roman"/>
          <w:b w:val="0"/>
          <w:bCs w:val="0"/>
          <w:i w:val="0"/>
          <w:iCs w:val="0"/>
          <w:lang w:val="fr-CH"/>
        </w:rPr>
        <w:t>. Cette dernière est aussi plus cohérente avec l’approche néoréaliste que ne l’est une analyse de régression</w:t>
      </w:r>
      <w:r w:rsidR="006D2994">
        <w:rPr>
          <w:rStyle w:val="Titredulivre"/>
          <w:rFonts w:ascii="Times New Roman" w:hAnsi="Times New Roman" w:cs="Times New Roman"/>
          <w:b w:val="0"/>
          <w:bCs w:val="0"/>
          <w:i w:val="0"/>
          <w:iCs w:val="0"/>
          <w:lang w:val="fr-CH"/>
        </w:rPr>
        <w:t xml:space="preserve"> sur uniquement deux dimensions de réforme de l’assurance-maladie</w:t>
      </w:r>
      <w:r w:rsidRPr="00EF62B8">
        <w:rPr>
          <w:rStyle w:val="Titredulivre"/>
          <w:rFonts w:ascii="Times New Roman" w:hAnsi="Times New Roman" w:cs="Times New Roman"/>
          <w:b w:val="0"/>
          <w:bCs w:val="0"/>
          <w:i w:val="0"/>
          <w:iCs w:val="0"/>
          <w:lang w:val="fr-CH"/>
        </w:rPr>
        <w:t>.</w:t>
      </w:r>
    </w:p>
    <w:p w14:paraId="4E1EBFBF" w14:textId="77777777" w:rsidR="00D7303E" w:rsidRPr="00EF62B8" w:rsidRDefault="00D7303E" w:rsidP="00D7303E">
      <w:pPr>
        <w:pStyle w:val="Paragraphedeliste"/>
        <w:rPr>
          <w:rStyle w:val="Titredulivre"/>
          <w:rFonts w:ascii="Times New Roman" w:hAnsi="Times New Roman" w:cs="Times New Roman"/>
          <w:b w:val="0"/>
          <w:bCs w:val="0"/>
          <w:lang w:val="fr-CH"/>
        </w:rPr>
      </w:pPr>
    </w:p>
    <w:p w14:paraId="1F4FA94D" w14:textId="1969CCAF"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 xml:space="preserve">Enfin, la conclusion gagnerait à proposer une synthèse plus resserrée des principaux apports de l’analyse en articulant plus explicitement la perspective historique, les dysfonctionnements institutionnels mis en évidence et les principaux enseignements de l’étude empirique. En l’état, l’attention accordée aux disparités régionales ou à certaines initiatives très récentes apparaît relativement éloignée du cœur de la démonstration. Par ailleurs, il serait souhaitable de relier plus directement les conclusions de l’article à la thématique du numéro spécial consacré à l’économie politique de la santé. </w:t>
      </w:r>
    </w:p>
    <w:p w14:paraId="74557B04" w14:textId="082DB256" w:rsidR="00465DBB" w:rsidRDefault="0096098D" w:rsidP="00465DBB">
      <w:pPr>
        <w:jc w:val="both"/>
        <w:rPr>
          <w:rStyle w:val="Titredulivre"/>
          <w:rFonts w:ascii="Times New Roman" w:hAnsi="Times New Roman" w:cs="Times New Roman"/>
          <w:b w:val="0"/>
          <w:bCs w:val="0"/>
          <w:i w:val="0"/>
          <w:iCs w:val="0"/>
          <w:color w:val="000000" w:themeColor="text1"/>
          <w:lang w:val="fr-CH"/>
        </w:rPr>
      </w:pPr>
      <w:r>
        <w:rPr>
          <w:rStyle w:val="Titredulivre"/>
          <w:rFonts w:ascii="Times New Roman" w:hAnsi="Times New Roman" w:cs="Times New Roman"/>
          <w:b w:val="0"/>
          <w:bCs w:val="0"/>
          <w:i w:val="0"/>
          <w:iCs w:val="0"/>
          <w:color w:val="000000" w:themeColor="text1"/>
          <w:lang w:val="fr-CH"/>
        </w:rPr>
        <w:t xml:space="preserve">Nous avons retravaillé l’introduction pour qu’elle résume plus synthétiquement les principaux apports de chaque partie, et avons inséré un paragraphe qui met en avant les apports de l’analyse du cas de l’assurance-maladie suisse en comparaison internationale, en nous concentrant sur les conséquences de l’adoption de modèles d’assurance-maladie aux caractéristiques néo-libérales. </w:t>
      </w:r>
    </w:p>
    <w:p w14:paraId="622909F7" w14:textId="77777777" w:rsidR="0096098D" w:rsidRPr="0096098D" w:rsidRDefault="0096098D" w:rsidP="00465DBB">
      <w:pPr>
        <w:jc w:val="both"/>
        <w:rPr>
          <w:rStyle w:val="Titredulivre"/>
          <w:rFonts w:ascii="Times New Roman" w:hAnsi="Times New Roman" w:cs="Times New Roman"/>
          <w:b w:val="0"/>
          <w:bCs w:val="0"/>
          <w:i w:val="0"/>
          <w:iCs w:val="0"/>
          <w:color w:val="000000" w:themeColor="text1"/>
          <w:lang w:val="fr-CH"/>
        </w:rPr>
      </w:pPr>
    </w:p>
    <w:p w14:paraId="2CBF8208" w14:textId="39C6C469" w:rsidR="000948D9" w:rsidRPr="0096098D" w:rsidRDefault="000948D9" w:rsidP="000948D9">
      <w:pPr>
        <w:pStyle w:val="Paragraphedeliste"/>
        <w:numPr>
          <w:ilvl w:val="0"/>
          <w:numId w:val="2"/>
        </w:numPr>
        <w:jc w:val="both"/>
        <w:rPr>
          <w:rStyle w:val="Titredulivre"/>
          <w:rFonts w:ascii="Times New Roman" w:hAnsi="Times New Roman" w:cs="Times New Roman"/>
          <w:b w:val="0"/>
          <w:bCs w:val="0"/>
          <w:color w:val="000000" w:themeColor="text1"/>
          <w:lang w:val="fr-CH"/>
        </w:rPr>
      </w:pPr>
      <w:r w:rsidRPr="0096098D">
        <w:rPr>
          <w:rStyle w:val="Titredulivre"/>
          <w:rFonts w:ascii="Times New Roman" w:hAnsi="Times New Roman" w:cs="Times New Roman"/>
          <w:b w:val="0"/>
          <w:bCs w:val="0"/>
          <w:color w:val="000000" w:themeColor="text1"/>
          <w:lang w:val="fr-CH"/>
        </w:rPr>
        <w:t>Enfin, j’adresse quelques suggestions mineures concernant la présentation formelle du manuscrit. S’agissant de la lisibilité des figures, la Figure 3 gagnerait à être simplifiée : en l’état, la densité des informations nuit à sa clarté et il serait peut-être préférable de ne conserver que le graphique relatif aux bénéficiaires (partie gauche de la figure).</w:t>
      </w:r>
    </w:p>
    <w:p w14:paraId="03EDFB59" w14:textId="1756660E" w:rsidR="000948D9" w:rsidRPr="000948D9" w:rsidRDefault="000948D9" w:rsidP="000948D9">
      <w:pPr>
        <w:jc w:val="both"/>
        <w:rPr>
          <w:rStyle w:val="Titredulivre"/>
          <w:rFonts w:ascii="Times New Roman" w:hAnsi="Times New Roman" w:cs="Times New Roman"/>
          <w:b w:val="0"/>
          <w:bCs w:val="0"/>
          <w:i w:val="0"/>
          <w:iCs w:val="0"/>
          <w:color w:val="000000" w:themeColor="text1"/>
          <w:lang w:val="fr-CH"/>
        </w:rPr>
      </w:pPr>
      <w:r>
        <w:rPr>
          <w:rStyle w:val="Titredulivre"/>
          <w:rFonts w:ascii="Times New Roman" w:hAnsi="Times New Roman" w:cs="Times New Roman"/>
          <w:b w:val="0"/>
          <w:bCs w:val="0"/>
          <w:i w:val="0"/>
          <w:iCs w:val="0"/>
          <w:color w:val="000000" w:themeColor="text1"/>
          <w:lang w:val="fr-CH"/>
        </w:rPr>
        <w:t>Nous vous remercions pour ces suggestions sur la présentation formelle. La plupart des tableaux et figures mentionnées ne figurent plus dans l’article. Pour les figures et tableaux restant, les corrections suggérées ont été ajoutées. Nous avons simplifié la figure 3</w:t>
      </w:r>
      <w:r w:rsidR="00D514AE">
        <w:rPr>
          <w:rStyle w:val="Titredulivre"/>
          <w:rFonts w:ascii="Times New Roman" w:hAnsi="Times New Roman" w:cs="Times New Roman"/>
          <w:b w:val="0"/>
          <w:bCs w:val="0"/>
          <w:i w:val="0"/>
          <w:iCs w:val="0"/>
          <w:color w:val="000000" w:themeColor="text1"/>
          <w:lang w:val="fr-CH"/>
        </w:rPr>
        <w:t xml:space="preserve"> (p.12)</w:t>
      </w:r>
      <w:r>
        <w:rPr>
          <w:rStyle w:val="Titredulivre"/>
          <w:rFonts w:ascii="Times New Roman" w:hAnsi="Times New Roman" w:cs="Times New Roman"/>
          <w:b w:val="0"/>
          <w:bCs w:val="0"/>
          <w:i w:val="0"/>
          <w:iCs w:val="0"/>
          <w:color w:val="000000" w:themeColor="text1"/>
          <w:lang w:val="fr-CH"/>
        </w:rPr>
        <w:t xml:space="preserve"> comme suggéré, mais nous avons quand même gardé le graphique sur les dépenses des ménages car ce dernier nous paraît trop important pour notre argument, qui met en avant le caractère régressif du système de paiement des primes.</w:t>
      </w:r>
    </w:p>
    <w:p w14:paraId="33C42723" w14:textId="77777777" w:rsidR="000948D9" w:rsidRDefault="000948D9" w:rsidP="00465DBB">
      <w:pPr>
        <w:jc w:val="both"/>
        <w:rPr>
          <w:rStyle w:val="Titredulivre"/>
          <w:rFonts w:ascii="Times New Roman" w:hAnsi="Times New Roman" w:cs="Times New Roman"/>
          <w:b w:val="0"/>
          <w:bCs w:val="0"/>
          <w:i w:val="0"/>
          <w:iCs w:val="0"/>
          <w:color w:val="EE0000"/>
          <w:lang w:val="fr-CH"/>
        </w:rPr>
      </w:pPr>
    </w:p>
    <w:p w14:paraId="044EB26E" w14:textId="1269D4EC" w:rsidR="00A533A7" w:rsidRPr="00EF62B8" w:rsidRDefault="00A533A7" w:rsidP="00465DBB">
      <w:pPr>
        <w:jc w:val="both"/>
        <w:rPr>
          <w:rStyle w:val="Titredulivre"/>
          <w:rFonts w:ascii="Times New Roman" w:hAnsi="Times New Roman" w:cs="Times New Roman"/>
          <w:b w:val="0"/>
          <w:bCs w:val="0"/>
          <w:i w:val="0"/>
          <w:iCs w:val="0"/>
          <w:color w:val="EE0000"/>
          <w:lang w:val="fr-CH"/>
        </w:rPr>
      </w:pPr>
    </w:p>
    <w:p w14:paraId="72B15D14" w14:textId="77741C3E" w:rsidR="00836645" w:rsidRPr="00EF62B8" w:rsidRDefault="00836645" w:rsidP="00836645">
      <w:pPr>
        <w:jc w:val="both"/>
        <w:rPr>
          <w:rStyle w:val="lev"/>
          <w:rFonts w:ascii="Times New Roman" w:hAnsi="Times New Roman" w:cs="Times New Roman"/>
          <w:lang w:val="fr-CH"/>
        </w:rPr>
      </w:pPr>
      <w:r w:rsidRPr="00EF62B8">
        <w:rPr>
          <w:rStyle w:val="lev"/>
          <w:rFonts w:ascii="Times New Roman" w:hAnsi="Times New Roman" w:cs="Times New Roman"/>
          <w:lang w:val="fr-CH"/>
        </w:rPr>
        <w:t xml:space="preserve">Relecteur </w:t>
      </w:r>
      <w:r>
        <w:rPr>
          <w:rStyle w:val="lev"/>
          <w:rFonts w:ascii="Times New Roman" w:hAnsi="Times New Roman" w:cs="Times New Roman"/>
          <w:lang w:val="fr-CH"/>
        </w:rPr>
        <w:t>2</w:t>
      </w:r>
    </w:p>
    <w:p w14:paraId="194CC001"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Expliciter la valeur ajoutée de l’approche du bloc social dominant : quels angles morts des perspectives existantes cette approche permet-elle de combler ? Quels résultats seraient impossibles à expliquer sans elle ? Ce point est central et conditionne la justification même de l’article.</w:t>
      </w:r>
    </w:p>
    <w:p w14:paraId="306EA408" w14:textId="33A1498F"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Le relecteur a raison sur le manque de justification théorique de notre mobilisation de l’approche des blocs sociaux et nous avons procédé aux modifications suivantes. D’une part, nous avons davantage souligné la complémentarité de l’approche du bloc social dominant avec les approches existantes, notamment celle du bloc bourgeois. Alors que cette dernière se focalise sur les acteurs politiques (partis politiques, groupes d’intérêts…), l’approche du bloc social dominant permet d’explorer les conditions socio-politiques du changement institutionnel en explorant la base sociale et les demandes politiques des groupes sociaux desquels les acteurs politiques tentent de tirer du soutien. D’autre part, nous avons ajouté un passage soulignant l’avantage de l’approche néoréaliste par rapport à d’autres approches existantes comme celle des clivages de classe</w:t>
      </w:r>
      <w:r w:rsidR="00616FD8">
        <w:rPr>
          <w:rFonts w:ascii="Times New Roman" w:hAnsi="Times New Roman" w:cs="Times New Roman"/>
          <w:lang w:val="fr-CH"/>
        </w:rPr>
        <w:t xml:space="preserve"> (pp. 4-5)</w:t>
      </w:r>
      <w:r w:rsidRPr="00EF62B8">
        <w:rPr>
          <w:rFonts w:ascii="Times New Roman" w:hAnsi="Times New Roman" w:cs="Times New Roman"/>
          <w:lang w:val="fr-CH"/>
        </w:rPr>
        <w:t>.</w:t>
      </w:r>
    </w:p>
    <w:p w14:paraId="1F978D31"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lastRenderedPageBreak/>
        <w:t>Restructurer l’article en profondeur : une introduction présentant un plan clair et une section méthodes/sources sont indispensable.</w:t>
      </w:r>
    </w:p>
    <w:p w14:paraId="141052D1"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Nous sommes d’accord sur la nécessité de refondre en profondeur l’article. Pour ce faire, un plan clair a été ajouté en fin de l’introduction. La partie empirique, désormais fondée sur une analyse en classe latente, contient désormais une section méthode et source explicitant clairement notre méthode et nos données.</w:t>
      </w:r>
    </w:p>
    <w:p w14:paraId="5145D060"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Développer la contribution empirique originale. L’article repose presque exclusivement sur la littérature secondaire. L’ajout d’entretiens avec les acteurs constitutifs du bloc social (assureurs, groupes d’intérêt, représentants politiques) fournirait une assise empirique bien plus solide et un véritable apport original</w:t>
      </w:r>
    </w:p>
    <w:p w14:paraId="7E57D268"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Nous remercions le relecteur pour avoir pointé le manque de contribution empirique originale. En réponse, nous avons révisé en grande partie la section empirique. Nous avons en outre remplacé les analyses de régression avec une analyse en classe latente sur des données post-votation de 2024 (contenant des questions sur les attentes vis-à-vis de l’assurance-maladie et du système de santé suisse) afin de mieux opérationnaliser le concept de groupe socio-politique.</w:t>
      </w:r>
    </w:p>
    <w:p w14:paraId="0A2FD054"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 xml:space="preserve">Compléter les références : les travaux d’André Mach sur le bloc bourgeois suisse (fin des années 2000) doivent être cités (il y a bien plus que le </w:t>
      </w:r>
      <w:proofErr w:type="spellStart"/>
      <w:r w:rsidRPr="00EF62B8">
        <w:rPr>
          <w:rFonts w:ascii="Times New Roman" w:hAnsi="Times New Roman" w:cs="Times New Roman"/>
          <w:i/>
          <w:iCs/>
          <w:lang w:val="fr-CH"/>
        </w:rPr>
        <w:t>Denknetz</w:t>
      </w:r>
      <w:proofErr w:type="spellEnd"/>
      <w:r w:rsidRPr="00EF62B8">
        <w:rPr>
          <w:rFonts w:ascii="Times New Roman" w:hAnsi="Times New Roman" w:cs="Times New Roman"/>
          <w:i/>
          <w:iCs/>
          <w:lang w:val="fr-CH"/>
        </w:rPr>
        <w:t>) Regarder aussi l’article d’Afonso et Papadopoulos 2015 sur la droite populiste et les changements de coalitions dans les reformes de l’Etat social</w:t>
      </w:r>
    </w:p>
    <w:p w14:paraId="6757D365" w14:textId="77777777" w:rsidR="00836645" w:rsidRPr="00EF62B8" w:rsidRDefault="00836645" w:rsidP="00836645">
      <w:pPr>
        <w:jc w:val="both"/>
        <w:rPr>
          <w:rFonts w:ascii="Times New Roman" w:hAnsi="Times New Roman" w:cs="Times New Roman"/>
          <w:color w:val="EE0000"/>
          <w:lang w:val="fr-CH"/>
        </w:rPr>
      </w:pPr>
      <w:r w:rsidRPr="00EF62B8">
        <w:rPr>
          <w:rFonts w:ascii="Times New Roman" w:hAnsi="Times New Roman" w:cs="Times New Roman"/>
          <w:lang w:val="fr-CH"/>
        </w:rPr>
        <w:t>Nous vous sommes reconnaissant de nous avoir partager ces références importantes, qui nous ont aidé à mieux problématiser notre approche et question de recherche. Ces références figurent désormais dans l’article.</w:t>
      </w:r>
    </w:p>
    <w:p w14:paraId="2F55C254"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 xml:space="preserve">Définir opérationnellement le “bloc social” : les données SELECT ne couvrent que les électeurs, ce qui ne rend pas compte de l’ensemble du bloc tel que défini par Amable et </w:t>
      </w:r>
      <w:proofErr w:type="spellStart"/>
      <w:r w:rsidRPr="00EF62B8">
        <w:rPr>
          <w:rFonts w:ascii="Times New Roman" w:hAnsi="Times New Roman" w:cs="Times New Roman"/>
          <w:i/>
          <w:iCs/>
          <w:lang w:val="fr-CH"/>
        </w:rPr>
        <w:t>Palombarini</w:t>
      </w:r>
      <w:proofErr w:type="spellEnd"/>
      <w:r w:rsidRPr="00EF62B8">
        <w:rPr>
          <w:rFonts w:ascii="Times New Roman" w:hAnsi="Times New Roman" w:cs="Times New Roman"/>
          <w:i/>
          <w:iCs/>
          <w:lang w:val="fr-CH"/>
        </w:rPr>
        <w:t xml:space="preserve"> (incluant les organisations d’intérêt)</w:t>
      </w:r>
    </w:p>
    <w:p w14:paraId="080CD4EE" w14:textId="59A3AB2D"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Afin de mieux opérationnaliser le concept de bloc social, nous avons changé l’analyse de régression par une analyse en classe</w:t>
      </w:r>
      <w:r>
        <w:rPr>
          <w:rFonts w:ascii="Times New Roman" w:hAnsi="Times New Roman" w:cs="Times New Roman"/>
          <w:lang w:val="fr-CH"/>
        </w:rPr>
        <w:t>s</w:t>
      </w:r>
      <w:r w:rsidRPr="00EF62B8">
        <w:rPr>
          <w:rFonts w:ascii="Times New Roman" w:hAnsi="Times New Roman" w:cs="Times New Roman"/>
          <w:lang w:val="fr-CH"/>
        </w:rPr>
        <w:t xml:space="preserve"> latente</w:t>
      </w:r>
      <w:r>
        <w:rPr>
          <w:rFonts w:ascii="Times New Roman" w:hAnsi="Times New Roman" w:cs="Times New Roman"/>
          <w:lang w:val="fr-CH"/>
        </w:rPr>
        <w:t>s</w:t>
      </w:r>
      <w:r w:rsidRPr="00EF62B8">
        <w:rPr>
          <w:rFonts w:ascii="Times New Roman" w:hAnsi="Times New Roman" w:cs="Times New Roman"/>
          <w:lang w:val="fr-CH"/>
        </w:rPr>
        <w:t xml:space="preserve">, qui permet de mieux opérationnaliser les groupes socio-politiques à partir desquels nous pouvons opérationnaliser le concept de bloc social (ce dernier étant défini en tant qu’agrégation des groupes socio-politiques unifiés par une stratégie politique). En ce qui concerne les données, nous n’utilisons plus les données SELECTS, mais les données post-votation VOX. </w:t>
      </w:r>
      <w:r w:rsidR="005B216C">
        <w:rPr>
          <w:rFonts w:ascii="Times New Roman" w:hAnsi="Times New Roman" w:cs="Times New Roman"/>
          <w:lang w:val="fr-CH"/>
        </w:rPr>
        <w:t xml:space="preserve">Il est vrai que cette analyse met davantage l’accent sur les composantes sociales des blocs plutôt que sur les stratégies des acteurs politiques (groupes d’intérêts inclus) à l’origine des blocs, mais une analyse approfondie des stratégies des acteurs dépasse le cadre de l’article. </w:t>
      </w:r>
    </w:p>
    <w:p w14:paraId="6F515BB7"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Éviter le raisonnement circulaire : l’absence de réforme ne peut être expliquée uniquement par les préférences du bloc dominant si ces préférences sont elles-mêmes définies comme favorables au statu quo.</w:t>
      </w:r>
    </w:p>
    <w:p w14:paraId="1F387099" w14:textId="77777777" w:rsidR="00836645" w:rsidRPr="00EF62B8" w:rsidRDefault="00836645" w:rsidP="00836645">
      <w:pPr>
        <w:jc w:val="both"/>
        <w:rPr>
          <w:rStyle w:val="lev"/>
          <w:rFonts w:ascii="Times New Roman" w:hAnsi="Times New Roman" w:cs="Times New Roman"/>
          <w:b w:val="0"/>
          <w:bCs w:val="0"/>
          <w:lang w:val="fr-CH"/>
        </w:rPr>
      </w:pPr>
      <w:r w:rsidRPr="00EF62B8">
        <w:rPr>
          <w:rStyle w:val="lev"/>
          <w:rFonts w:ascii="Times New Roman" w:hAnsi="Times New Roman" w:cs="Times New Roman"/>
          <w:b w:val="0"/>
          <w:bCs w:val="0"/>
          <w:lang w:val="fr-CH"/>
        </w:rPr>
        <w:t>Nous remercions pour avoir souligné ce problème de raisonnement circulaire. Ce problème a été adressé en présentant de manière bien plus détaillées le bloc social dominant suisse ainsi que ses attentes telles qu’elles ont été identifiées par Güney (2024). Les préférences n’ont pas été définies à priori, mais sont fondées sur une analyse en classe latente des données SELECTS 1999.</w:t>
      </w:r>
    </w:p>
    <w:p w14:paraId="579BF110" w14:textId="77777777" w:rsidR="00060D3D" w:rsidRPr="00E22F54" w:rsidRDefault="00060D3D" w:rsidP="00F9317F">
      <w:pPr>
        <w:jc w:val="both"/>
        <w:rPr>
          <w:sz w:val="24"/>
          <w:szCs w:val="24"/>
          <w:lang w:val="fr-CH"/>
        </w:rPr>
      </w:pPr>
    </w:p>
    <w:sectPr w:rsidR="00060D3D" w:rsidRPr="00E22F54" w:rsidSect="00AC5B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B26F4"/>
    <w:multiLevelType w:val="hybridMultilevel"/>
    <w:tmpl w:val="0F5CA12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6C0F3CD6"/>
    <w:multiLevelType w:val="hybridMultilevel"/>
    <w:tmpl w:val="E03C109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939490129">
    <w:abstractNumId w:val="0"/>
  </w:num>
  <w:num w:numId="2" w16cid:durableId="665329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7F"/>
    <w:rsid w:val="00060D3D"/>
    <w:rsid w:val="000948D9"/>
    <w:rsid w:val="000A153E"/>
    <w:rsid w:val="000A6E4F"/>
    <w:rsid w:val="001131B9"/>
    <w:rsid w:val="001240AE"/>
    <w:rsid w:val="002D32DC"/>
    <w:rsid w:val="002D47F5"/>
    <w:rsid w:val="002D501C"/>
    <w:rsid w:val="003109BD"/>
    <w:rsid w:val="00381912"/>
    <w:rsid w:val="00447175"/>
    <w:rsid w:val="00465DBB"/>
    <w:rsid w:val="00494417"/>
    <w:rsid w:val="004C69FD"/>
    <w:rsid w:val="00534BC8"/>
    <w:rsid w:val="0054662E"/>
    <w:rsid w:val="00557780"/>
    <w:rsid w:val="005B216C"/>
    <w:rsid w:val="005B6CE7"/>
    <w:rsid w:val="00616FD8"/>
    <w:rsid w:val="00660EBA"/>
    <w:rsid w:val="00672C8C"/>
    <w:rsid w:val="00683227"/>
    <w:rsid w:val="006D2994"/>
    <w:rsid w:val="00770201"/>
    <w:rsid w:val="007A0919"/>
    <w:rsid w:val="00836645"/>
    <w:rsid w:val="00841B31"/>
    <w:rsid w:val="008E3A4F"/>
    <w:rsid w:val="0091375F"/>
    <w:rsid w:val="00935A83"/>
    <w:rsid w:val="0096098D"/>
    <w:rsid w:val="009A3E9F"/>
    <w:rsid w:val="009C5DDE"/>
    <w:rsid w:val="00A21394"/>
    <w:rsid w:val="00A533A7"/>
    <w:rsid w:val="00A76870"/>
    <w:rsid w:val="00A909E1"/>
    <w:rsid w:val="00AC5BA3"/>
    <w:rsid w:val="00B800D9"/>
    <w:rsid w:val="00D02E2D"/>
    <w:rsid w:val="00D21CBA"/>
    <w:rsid w:val="00D514AE"/>
    <w:rsid w:val="00D7303E"/>
    <w:rsid w:val="00E22F54"/>
    <w:rsid w:val="00E245DE"/>
    <w:rsid w:val="00E505BB"/>
    <w:rsid w:val="00EB6085"/>
    <w:rsid w:val="00EF62B8"/>
    <w:rsid w:val="00F6644C"/>
    <w:rsid w:val="00F9317F"/>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AB4FC"/>
  <w15:chartTrackingRefBased/>
  <w15:docId w15:val="{6D8D78BF-7079-4BAF-81DC-07C9BB8CA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17F"/>
  </w:style>
  <w:style w:type="paragraph" w:styleId="Titre1">
    <w:name w:val="heading 1"/>
    <w:basedOn w:val="Normal"/>
    <w:next w:val="Normal"/>
    <w:link w:val="Titre1Car"/>
    <w:uiPriority w:val="9"/>
    <w:qFormat/>
    <w:rsid w:val="00F93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93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931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931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931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931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931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31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31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31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931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931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931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931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931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931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931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9317F"/>
    <w:rPr>
      <w:rFonts w:eastAsiaTheme="majorEastAsia" w:cstheme="majorBidi"/>
      <w:color w:val="272727" w:themeColor="text1" w:themeTint="D8"/>
    </w:rPr>
  </w:style>
  <w:style w:type="paragraph" w:styleId="Titre">
    <w:name w:val="Title"/>
    <w:basedOn w:val="Normal"/>
    <w:next w:val="Normal"/>
    <w:link w:val="TitreCar"/>
    <w:uiPriority w:val="10"/>
    <w:qFormat/>
    <w:rsid w:val="00F93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931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931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931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317F"/>
    <w:pPr>
      <w:spacing w:before="160"/>
      <w:jc w:val="center"/>
    </w:pPr>
    <w:rPr>
      <w:i/>
      <w:iCs/>
      <w:color w:val="404040" w:themeColor="text1" w:themeTint="BF"/>
    </w:rPr>
  </w:style>
  <w:style w:type="character" w:customStyle="1" w:styleId="CitationCar">
    <w:name w:val="Citation Car"/>
    <w:basedOn w:val="Policepardfaut"/>
    <w:link w:val="Citation"/>
    <w:uiPriority w:val="29"/>
    <w:rsid w:val="00F9317F"/>
    <w:rPr>
      <w:i/>
      <w:iCs/>
      <w:color w:val="404040" w:themeColor="text1" w:themeTint="BF"/>
    </w:rPr>
  </w:style>
  <w:style w:type="paragraph" w:styleId="Paragraphedeliste">
    <w:name w:val="List Paragraph"/>
    <w:basedOn w:val="Normal"/>
    <w:uiPriority w:val="34"/>
    <w:qFormat/>
    <w:rsid w:val="00F9317F"/>
    <w:pPr>
      <w:ind w:left="720"/>
      <w:contextualSpacing/>
    </w:pPr>
  </w:style>
  <w:style w:type="character" w:styleId="Accentuationintense">
    <w:name w:val="Intense Emphasis"/>
    <w:basedOn w:val="Policepardfaut"/>
    <w:uiPriority w:val="21"/>
    <w:qFormat/>
    <w:rsid w:val="00F9317F"/>
    <w:rPr>
      <w:i/>
      <w:iCs/>
      <w:color w:val="0F4761" w:themeColor="accent1" w:themeShade="BF"/>
    </w:rPr>
  </w:style>
  <w:style w:type="paragraph" w:styleId="Citationintense">
    <w:name w:val="Intense Quote"/>
    <w:basedOn w:val="Normal"/>
    <w:next w:val="Normal"/>
    <w:link w:val="CitationintenseCar"/>
    <w:uiPriority w:val="30"/>
    <w:qFormat/>
    <w:rsid w:val="00F93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9317F"/>
    <w:rPr>
      <w:i/>
      <w:iCs/>
      <w:color w:val="0F4761" w:themeColor="accent1" w:themeShade="BF"/>
    </w:rPr>
  </w:style>
  <w:style w:type="character" w:styleId="Rfrenceintense">
    <w:name w:val="Intense Reference"/>
    <w:basedOn w:val="Policepardfaut"/>
    <w:uiPriority w:val="32"/>
    <w:qFormat/>
    <w:rsid w:val="00F9317F"/>
    <w:rPr>
      <w:b/>
      <w:bCs/>
      <w:smallCaps/>
      <w:color w:val="0F4761" w:themeColor="accent1" w:themeShade="BF"/>
      <w:spacing w:val="5"/>
    </w:rPr>
  </w:style>
  <w:style w:type="character" w:styleId="Marquedecommentaire">
    <w:name w:val="annotation reference"/>
    <w:basedOn w:val="Policepardfaut"/>
    <w:uiPriority w:val="99"/>
    <w:semiHidden/>
    <w:unhideWhenUsed/>
    <w:rsid w:val="00F9317F"/>
    <w:rPr>
      <w:sz w:val="16"/>
      <w:szCs w:val="16"/>
    </w:rPr>
  </w:style>
  <w:style w:type="paragraph" w:styleId="Commentaire">
    <w:name w:val="annotation text"/>
    <w:basedOn w:val="Normal"/>
    <w:link w:val="CommentaireCar"/>
    <w:uiPriority w:val="99"/>
    <w:unhideWhenUsed/>
    <w:rsid w:val="00F9317F"/>
    <w:pPr>
      <w:spacing w:line="240" w:lineRule="auto"/>
    </w:pPr>
    <w:rPr>
      <w:sz w:val="20"/>
      <w:szCs w:val="20"/>
    </w:rPr>
  </w:style>
  <w:style w:type="character" w:customStyle="1" w:styleId="CommentaireCar">
    <w:name w:val="Commentaire Car"/>
    <w:basedOn w:val="Policepardfaut"/>
    <w:link w:val="Commentaire"/>
    <w:uiPriority w:val="99"/>
    <w:rsid w:val="00F9317F"/>
    <w:rPr>
      <w:sz w:val="20"/>
      <w:szCs w:val="20"/>
    </w:rPr>
  </w:style>
  <w:style w:type="character" w:styleId="lev">
    <w:name w:val="Strong"/>
    <w:basedOn w:val="Policepardfaut"/>
    <w:uiPriority w:val="22"/>
    <w:qFormat/>
    <w:rsid w:val="00E22F54"/>
    <w:rPr>
      <w:b/>
      <w:bCs/>
    </w:rPr>
  </w:style>
  <w:style w:type="character" w:styleId="Titredulivre">
    <w:name w:val="Book Title"/>
    <w:basedOn w:val="Policepardfaut"/>
    <w:uiPriority w:val="33"/>
    <w:qFormat/>
    <w:rsid w:val="0068322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2761</Words>
  <Characters>15188</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Cécile Valenti</dc:creator>
  <cp:keywords/>
  <dc:description/>
  <cp:lastModifiedBy>Celal Güney</cp:lastModifiedBy>
  <cp:revision>13</cp:revision>
  <dcterms:created xsi:type="dcterms:W3CDTF">2026-10-10T17:07:00Z</dcterms:created>
  <dcterms:modified xsi:type="dcterms:W3CDTF">2026-10-12T07:53:00Z</dcterms:modified>
</cp:coreProperties>
</file>