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Résultats: vote sur l'initiative d'allègement des primes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Effets et contrastes marginaux moyens prédits par le modèle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Âge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0.0025***&lt;br&gt;(0.0007)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Catégorie socio-professionnelle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Retired - Business and administration professionals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0.1066***&lt;br&gt;(0.0267)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-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-0.0700***&lt;br&gt;(0.0162)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Décile du revenu ajusté du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-0.0233***&lt;br&gt;(0.0029)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-7.9032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French - German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0.0970***&lt;br&gt;(0.0217)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- German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0.1798***&lt;br&gt;(0.0433)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Auto-positionnement gauche-droite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-0.0143**&lt;br&gt;(0.0050)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Opinion: Trop de préoccupation pour l'environnement par rapport aux coûts et aux prix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0.0176*&lt;br&gt;(0.0081)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Opinion: pour le droit de vote aux étrangers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0.0305**&lt;br&gt;(0.0096)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Opinion: augmenter l'âge du départ à la retraite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-0.0240*&lt;br&gt;(0.0094)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Opinion: augmenter le salaire minimum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0.0631***&lt;br&gt;(0.0097)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Opinion: État vs marché et concurrence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dY/dX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-0.0498***&lt;br&gt;(0.0093)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GLP/PVL - Green Liberal Party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0.0100&lt;br&gt;(0.0374)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GPS/PES - Green Party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0.1338**&lt;br&gt;(0.0437)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party, several/all parties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0.1023*&lt;br&gt;(0.0445)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SP/PS - Social Democratic Party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0.1620***&lt;br&gt;(0.0366)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SVP/UDC - Swiss People's Party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0.0258&lt;br&gt;(0.0307)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 si élections ce dimanche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Centre (former CVP/ BDP) - 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-0.0107&lt;br&gt;(0.0307)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0.0494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R² Tjur</w:t>
            </w:r>
            <w:r>
              <w:rPr>
                <w:rFonts w:ascii="Calibri" w:hAnsi="Calibri"/>
                <w:sz w:val="20"/>
              </w:rPr>
              <w:t xml:space="preserve"> = 0.229</w:t>
            </w:r>
          </w:p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RMSE</w:t>
            </w:r>
            <w:r>
              <w:rPr>
                <w:rFonts w:ascii="Calibri" w:hAnsi="Calibri"/>
                <w:sz w:val="20"/>
              </w:rPr>
              <w:t xml:space="preserve"> = 0.432</w:t>
            </w:r>
          </w:p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 = 2999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+ p &lt; 0.10, * p &lt; 0.05, ** p &lt; 0.01, *** p &lt; 0.01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2026-01-17T19:23:11Z</dcterms:created>
  <dcterms:modified xsi:type="dcterms:W3CDTF">2026-01-17T19:23:11Z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