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proofErr w:type="spellStart"/>
      <w:r w:rsidRPr="00CF16D5">
        <w:rPr>
          <w:rStyle w:val="normaltextrun"/>
          <w:rFonts w:eastAsiaTheme="majorEastAsia"/>
        </w:rPr>
        <w:t>Celâl</w:t>
      </w:r>
      <w:proofErr w:type="spellEnd"/>
      <w:r w:rsidRPr="00CF16D5">
        <w:rPr>
          <w:rStyle w:val="normaltextrun"/>
          <w:rFonts w:eastAsiaTheme="majorEastAsia"/>
        </w:rPr>
        <w:t xml:space="preserve">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3A8C6239"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 xml:space="preserve">In the context of more frequent supply shocks, we assess the factors behind the relative </w:t>
      </w:r>
      <w:r w:rsidR="00001764">
        <w:rPr>
          <w:rStyle w:val="eop"/>
          <w:rFonts w:eastAsiaTheme="majorEastAsia"/>
          <w:lang w:val="en-US"/>
        </w:rPr>
        <w:t>resistance of Switzerland to cost-push inflation</w:t>
      </w:r>
      <w:r>
        <w:rPr>
          <w:rStyle w:val="eop"/>
          <w:rFonts w:eastAsiaTheme="majorEastAsia"/>
          <w:lang w:val="en-US"/>
        </w:rPr>
        <w:t>.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w:t>
      </w:r>
      <w:r w:rsidR="00001764">
        <w:rPr>
          <w:rStyle w:val="eop"/>
          <w:rFonts w:eastAsiaTheme="majorEastAsia"/>
          <w:lang w:val="en-US"/>
        </w:rPr>
        <w:t>of</w:t>
      </w:r>
      <w:r>
        <w:rPr>
          <w:rStyle w:val="eop"/>
          <w:rFonts w:eastAsiaTheme="majorEastAsia"/>
          <w:lang w:val="en-US"/>
        </w:rPr>
        <w:t xml:space="preserve">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6AD50155"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p>
    <w:p w14:paraId="00285C41" w14:textId="77777777" w:rsidR="008E109A"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w:t>
      </w:r>
      <w:r w:rsidR="00001764">
        <w:rPr>
          <w:rFonts w:ascii="Times New Roman" w:hAnsi="Times New Roman" w:cs="Times New Roman"/>
          <w:lang w:val="en-US"/>
        </w:rPr>
        <w:t xml:space="preserve"> such as maintaining strategic reserves and implementing buffer stock systems to fight price fluctuations</w:t>
      </w:r>
      <w:r w:rsidR="00C35F3B">
        <w:rPr>
          <w:rFonts w:ascii="Times New Roman" w:hAnsi="Times New Roman" w:cs="Times New Roman"/>
          <w:lang w:val="en-US"/>
        </w:rPr>
        <w:t xml:space="preserve">.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p>
    <w:p w14:paraId="5845D9C2" w14:textId="6A2B4C8C" w:rsidR="008E109A" w:rsidRDefault="00001764" w:rsidP="00DD2D62">
      <w:pPr>
        <w:jc w:val="both"/>
        <w:rPr>
          <w:rFonts w:ascii="Times New Roman" w:hAnsi="Times New Roman" w:cs="Times New Roman"/>
          <w:lang w:val="en-US"/>
        </w:rPr>
      </w:pPr>
      <w:r>
        <w:rPr>
          <w:rFonts w:ascii="Times New Roman" w:hAnsi="Times New Roman" w:cs="Times New Roman"/>
          <w:lang w:val="en-US"/>
        </w:rPr>
        <w:t xml:space="preserve">With respect to unconventional policies, the Swiss economy is a particularly compelling case study. Despite its very conservative and monetarist central bank, </w:t>
      </w:r>
      <w:r w:rsidR="008E109A">
        <w:rPr>
          <w:rFonts w:ascii="Times New Roman" w:hAnsi="Times New Roman" w:cs="Times New Roman"/>
          <w:lang w:val="en-US"/>
        </w:rPr>
        <w:t>the Swiss economy is characterized by its very high share of administered prices in key sectors such as energy and transport, a feature which is often interpreted as a proof of active price control policy by the Swiss government. Switzerland is also one of the few European countries which actively maintain strategic reserves for key commodities</w:t>
      </w:r>
      <w:r w:rsidR="00FE7869">
        <w:rPr>
          <w:rFonts w:ascii="Times New Roman" w:hAnsi="Times New Roman" w:cs="Times New Roman"/>
          <w:lang w:val="en-US"/>
        </w:rPr>
        <w:t xml:space="preserve">. </w:t>
      </w:r>
    </w:p>
    <w:p w14:paraId="6DEBA3C1" w14:textId="7D89E21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281FCA">
        <w:rPr>
          <w:rFonts w:ascii="Times New Roman" w:hAnsi="Times New Roman" w:cs="Times New Roman"/>
          <w:lang w:val="en-US"/>
        </w:rPr>
        <w:t xml:space="preserve">systemically significant sectors of the Swiss economy, namely wholesale trade and retail; </w:t>
      </w:r>
      <w:r w:rsidR="00A81DA5">
        <w:rPr>
          <w:rFonts w:ascii="Times New Roman" w:hAnsi="Times New Roman" w:cs="Times New Roman"/>
          <w:lang w:val="en-US"/>
        </w:rPr>
        <w:t>real estate; health and energy. Finally, we discuss what are the socio-political underpinnings of price regulation by exploring how the configuration of the different Swiss social blocs have shaped price administration.</w:t>
      </w:r>
    </w:p>
    <w:p w14:paraId="5E5B3F24" w14:textId="107C1DD1" w:rsidR="007C1001" w:rsidRPr="007C1001" w:rsidRDefault="007C1001" w:rsidP="007C1001">
      <w:pPr>
        <w:pStyle w:val="Titre1"/>
        <w:rPr>
          <w:lang w:val="en-US"/>
        </w:rPr>
      </w:pPr>
      <w:r>
        <w:rPr>
          <w:lang w:val="en-US"/>
        </w:rPr>
        <w:lastRenderedPageBreak/>
        <w:t>Literature Review</w:t>
      </w:r>
    </w:p>
    <w:p w14:paraId="253F78DC" w14:textId="0560949F"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w:t>
      </w:r>
      <w:r w:rsidR="00FE7869">
        <w:rPr>
          <w:rFonts w:ascii="Times New Roman" w:hAnsi="Times New Roman" w:cs="Times New Roman"/>
          <w:lang w:val="en-US"/>
        </w:rPr>
        <w:t xml:space="preserve">relative lower </w:t>
      </w:r>
      <w:r>
        <w:rPr>
          <w:rFonts w:ascii="Times New Roman" w:hAnsi="Times New Roman" w:cs="Times New Roman"/>
          <w:lang w:val="en-US"/>
        </w:rPr>
        <w:t>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678A211D"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One of the most 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{"citationID":"yyYfnqAE","properties":{"formattedCitation":"(Kluser 2025)","plainCitation":"(Kluser 2025)","noteIndex":0},"citationItems":[{"id":"GSBh1CbJ/3bywqCy1","uris":["http://zotero.org/groups/6311349/items/X2AZ3UIB"],"itemData":{"id":6639,"type":"article-journal","abstract":"Cross-border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w:t>
      </w:r>
      <w:proofErr w:type="spellStart"/>
      <w:r w:rsidR="009538D7" w:rsidRPr="009538D7">
        <w:rPr>
          <w:rFonts w:ascii="Aptos" w:hAnsi="Aptos"/>
          <w:lang w:val="en-US"/>
        </w:rPr>
        <w:t>Kluser</w:t>
      </w:r>
      <w:proofErr w:type="spellEnd"/>
      <w:r w:rsidR="009538D7" w:rsidRPr="009538D7">
        <w:rPr>
          <w:rFonts w:ascii="Aptos" w:hAnsi="Aptos"/>
          <w:lang w:val="en-US"/>
        </w:rPr>
        <w:t xml:space="preserve">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w:t>
      </w:r>
      <w:proofErr w:type="spellStart"/>
      <w:r w:rsidR="00766BC6">
        <w:rPr>
          <w:rFonts w:ascii="Times New Roman" w:hAnsi="Times New Roman" w:cs="Times New Roman"/>
          <w:lang w:val="en-US"/>
        </w:rPr>
        <w:t>taux</w:t>
      </w:r>
      <w:proofErr w:type="spellEnd"/>
      <w:r w:rsidR="00766BC6">
        <w:rPr>
          <w:rFonts w:ascii="Times New Roman" w:hAnsi="Times New Roman" w:cs="Times New Roman"/>
          <w:lang w:val="en-US"/>
        </w:rPr>
        <w:t xml:space="preserve"> </w:t>
      </w:r>
      <w:proofErr w:type="spellStart"/>
      <w:r w:rsidR="00766BC6">
        <w:rPr>
          <w:rFonts w:ascii="Times New Roman" w:hAnsi="Times New Roman" w:cs="Times New Roman"/>
          <w:lang w:val="en-US"/>
        </w:rPr>
        <w:t>plancher</w:t>
      </w:r>
      <w:proofErr w:type="spellEnd"/>
      <w:r w:rsidR="00766BC6">
        <w:rPr>
          <w:rFonts w:ascii="Times New Roman" w:hAnsi="Times New Roman" w:cs="Times New Roman"/>
          <w:lang w:val="en-US"/>
        </w:rPr>
        <w:t>”)</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FE7869">
        <w:rPr>
          <w:rFonts w:ascii="Times New Roman" w:hAnsi="Times New Roman" w:cs="Times New Roman"/>
          <w:lang w:val="en-US"/>
        </w:rPr>
        <w:t>prevent</w:t>
      </w:r>
      <w:r w:rsidR="00766BC6" w:rsidRPr="00766BC6">
        <w:rPr>
          <w:rFonts w:ascii="Times New Roman" w:hAnsi="Times New Roman" w:cs="Times New Roman"/>
          <w:lang w:val="en-US"/>
        </w:rPr>
        <w:t xml:space="preserve">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w:t>
      </w:r>
      <w:r w:rsidR="00E12D4F" w:rsidRPr="00E12D4F">
        <w:rPr>
          <w:rFonts w:ascii="Times New Roman" w:hAnsi="Times New Roman" w:cs="Times New Roman"/>
          <w:lang w:val="en-US"/>
        </w:rPr>
        <w:lastRenderedPageBreak/>
        <w:t xml:space="preserve">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w:t>
      </w:r>
      <w:proofErr w:type="spellStart"/>
      <w:r w:rsidR="008D1618">
        <w:rPr>
          <w:rFonts w:ascii="Times New Roman" w:hAnsi="Times New Roman" w:cs="Times New Roman"/>
          <w:lang w:val="en-US"/>
        </w:rPr>
        <w:t>labour</w:t>
      </w:r>
      <w:proofErr w:type="spellEnd"/>
      <w:r w:rsidR="008D1618">
        <w:rPr>
          <w:rFonts w:ascii="Times New Roman" w:hAnsi="Times New Roman" w:cs="Times New Roman"/>
          <w:lang w:val="en-US"/>
        </w:rPr>
        <w:t xml:space="preserve">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w:t>
      </w:r>
      <w:proofErr w:type="spellStart"/>
      <w:r w:rsidR="00092DB5">
        <w:rPr>
          <w:rFonts w:ascii="Times New Roman" w:hAnsi="Times New Roman" w:cs="Times New Roman"/>
          <w:lang w:val="en-US"/>
        </w:rPr>
        <w:t>labour</w:t>
      </w:r>
      <w:proofErr w:type="spellEnd"/>
      <w:r w:rsidR="00092DB5">
        <w:rPr>
          <w:rFonts w:ascii="Times New Roman" w:hAnsi="Times New Roman" w:cs="Times New Roman"/>
          <w:lang w:val="en-US"/>
        </w:rPr>
        <w:t xml:space="preserve">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363C5CB2"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FE7869">
        <w:rPr>
          <w:rFonts w:ascii="Times New Roman" w:hAnsi="Times New Roman" w:cs="Times New Roman"/>
          <w:lang w:val="en-US"/>
        </w:rPr>
        <w:t>U</w:t>
      </w:r>
      <w:r w:rsidR="008A6600" w:rsidRPr="008A6600">
        <w:rPr>
          <w:rFonts w:ascii="Times New Roman" w:hAnsi="Times New Roman" w:cs="Times New Roman"/>
          <w:lang w:val="en-US"/>
        </w:rPr>
        <w:t>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w:t>
      </w:r>
      <w:r w:rsidR="00FE7869">
        <w:rPr>
          <w:rFonts w:ascii="Times New Roman" w:hAnsi="Times New Roman" w:cs="Times New Roman"/>
          <w:lang w:val="en-US"/>
        </w:rPr>
        <w:t>other</w:t>
      </w:r>
      <w:r w:rsidR="008A6600" w:rsidRPr="008A6600">
        <w:rPr>
          <w:rFonts w:ascii="Times New Roman" w:hAnsi="Times New Roman" w:cs="Times New Roman"/>
          <w:lang w:val="en-US"/>
        </w:rPr>
        <w:t xml:space="preserv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w:t>
      </w:r>
      <w:r w:rsidR="004F583C" w:rsidRPr="004F583C">
        <w:rPr>
          <w:rFonts w:ascii="Times New Roman" w:hAnsi="Times New Roman" w:cs="Times New Roman"/>
          <w:lang w:val="en-US"/>
        </w:rPr>
        <w:lastRenderedPageBreak/>
        <w:t xml:space="preserve">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16AA3832" w:rsidR="008614C6" w:rsidRDefault="008614C6" w:rsidP="008614C6">
      <w:pPr>
        <w:pStyle w:val="Titre1"/>
        <w:rPr>
          <w:lang w:val="en-US"/>
        </w:rPr>
      </w:pPr>
      <w:r>
        <w:rPr>
          <w:lang w:val="en-US"/>
        </w:rPr>
        <w:t>The role of price administration 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w:t>
      </w:r>
      <w:r w:rsidR="00EB26C4">
        <w:rPr>
          <w:rFonts w:ascii="Times New Roman" w:hAnsi="Times New Roman" w:cs="Times New Roman"/>
          <w:lang w:val="en-US"/>
        </w:rPr>
        <w:lastRenderedPageBreak/>
        <w:t xml:space="preserve">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The results of their simulations of price shocks identified petroleum &amp; coal, oil &amp; gas as the most systemically significant prices considering their price volatility for the period 2000-2022, followed by other items such as food, farming, chemicals, 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w:t>
      </w:r>
      <w:proofErr w:type="spellStart"/>
      <w:r w:rsidR="009A0225">
        <w:rPr>
          <w:rFonts w:ascii="Times New Roman" w:hAnsi="Times New Roman" w:cs="Times New Roman"/>
          <w:lang w:val="en-US"/>
        </w:rPr>
        <w:t>shockflation</w:t>
      </w:r>
      <w:proofErr w:type="spellEnd"/>
      <w:r w:rsidR="009A0225">
        <w:rPr>
          <w:rFonts w:ascii="Times New Roman" w:hAnsi="Times New Roman" w:cs="Times New Roman"/>
          <w:lang w:val="en-US"/>
        </w:rPr>
        <w:t xml:space="preserve">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304E5FBA" w:rsidR="00365D58" w:rsidRDefault="00365D58" w:rsidP="00365D58">
      <w:pPr>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43492061" w14:textId="753C5DC2" w:rsidR="00C044BD" w:rsidRDefault="00365D58" w:rsidP="00C044BD">
      <w:pPr>
        <w:jc w:val="both"/>
        <w:rPr>
          <w:rFonts w:ascii="Times New Roman" w:hAnsi="Times New Roman" w:cs="Times New Roman"/>
          <w:lang w:val="en-US"/>
        </w:rPr>
      </w:pPr>
      <w:r>
        <w:rPr>
          <w:rFonts w:ascii="Times New Roman" w:hAnsi="Times New Roman" w:cs="Times New Roman"/>
          <w:lang w:val="en-US"/>
        </w:rPr>
        <w:t>As shown by the figure above,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This stands in sharp contrast to the economic crisis of the 1990s, when most of inflation was captured by increases in nominal wages. As indicated by </w:t>
      </w:r>
      <w:r w:rsidR="00C044BD">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{"citationID":"7y05Y1Nj","properties":{"formattedCitation":"(Leutert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C044BD">
        <w:rPr>
          <w:rFonts w:ascii="Times New Roman" w:hAnsi="Times New Roman" w:cs="Times New Roman"/>
          <w:lang w:val="en-US"/>
        </w:rPr>
        <w:fldChar w:fldCharType="separate"/>
      </w:r>
      <w:r w:rsidR="00C044BD" w:rsidRPr="00C044BD">
        <w:rPr>
          <w:rFonts w:ascii="Aptos" w:hAnsi="Aptos"/>
          <w:lang w:val="en-US"/>
        </w:rPr>
        <w:t xml:space="preserve">Leutert </w:t>
      </w:r>
      <w:r w:rsidR="00C044BD">
        <w:rPr>
          <w:rFonts w:ascii="Aptos" w:hAnsi="Aptos"/>
          <w:lang w:val="en-US"/>
        </w:rPr>
        <w:t>et</w:t>
      </w:r>
      <w:r w:rsidR="00C044BD" w:rsidRPr="00C044BD">
        <w:rPr>
          <w:rFonts w:ascii="Aptos" w:hAnsi="Aptos"/>
          <w:lang w:val="en-US"/>
        </w:rPr>
        <w:t xml:space="preserve"> al. </w:t>
      </w:r>
      <w:r w:rsidR="00C044BD">
        <w:rPr>
          <w:rFonts w:ascii="Aptos" w:hAnsi="Aptos"/>
          <w:lang w:val="en-US"/>
        </w:rPr>
        <w:t>(</w:t>
      </w:r>
      <w:r w:rsidR="00C044BD" w:rsidRPr="00C044BD">
        <w:rPr>
          <w:rFonts w:ascii="Aptos" w:hAnsi="Aptos"/>
          <w:lang w:val="en-US"/>
        </w:rPr>
        <w:t>2026</w:t>
      </w:r>
      <w:r w:rsidR="00C044BD">
        <w:rPr>
          <w:rFonts w:ascii="Aptos" w:hAnsi="Aptos"/>
          <w:lang w:val="en-US"/>
        </w:rPr>
        <w:t>, 13</w:t>
      </w:r>
      <w:r w:rsidR="00C044BD" w:rsidRPr="00C044BD">
        <w:rPr>
          <w:rFonts w:ascii="Aptos" w:hAnsi="Aptos"/>
          <w:lang w:val="en-US"/>
        </w:rPr>
        <w:t>)</w:t>
      </w:r>
      <w:r w:rsidR="00C044BD">
        <w:rPr>
          <w:rFonts w:ascii="Times New Roman" w:hAnsi="Times New Roman" w:cs="Times New Roman"/>
          <w:lang w:val="en-US"/>
        </w:rPr>
        <w:fldChar w:fldCharType="end"/>
      </w:r>
      <w:r w:rsidR="00C044BD">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497D7302" w:rsidR="00734E09" w:rsidRDefault="003577A6" w:rsidP="00C044BD">
      <w:pPr>
        <w:jc w:val="both"/>
        <w:rPr>
          <w:rFonts w:ascii="Times New Roman" w:hAnsi="Times New Roman" w:cs="Times New Roman"/>
          <w:lang w:val="en-US"/>
        </w:rPr>
      </w:pPr>
      <w:r>
        <w:rPr>
          <w:rFonts w:ascii="Times New Roman" w:hAnsi="Times New Roman" w:cs="Times New Roman"/>
          <w:noProof/>
          <w:lang w:val="en-US"/>
        </w:rPr>
        <w:lastRenderedPageBreak/>
        <w:drawing>
          <wp:anchor distT="0" distB="0" distL="114300" distR="114300" simplePos="0" relativeHeight="251659264" behindDoc="0" locked="0" layoutInCell="1" allowOverlap="1" wp14:anchorId="69A14E6A" wp14:editId="5A90E0FC">
            <wp:simplePos x="0" y="0"/>
            <wp:positionH relativeFrom="margin">
              <wp:align>center</wp:align>
            </wp:positionH>
            <wp:positionV relativeFrom="paragraph">
              <wp:posOffset>883044</wp:posOffset>
            </wp:positionV>
            <wp:extent cx="6430010" cy="3483610"/>
            <wp:effectExtent l="0" t="0" r="8890" b="2540"/>
            <wp:wrapSquare wrapText="bothSides"/>
            <wp:docPr id="182912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30010" cy="3483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4E09">
        <w:rPr>
          <w:rFonts w:ascii="Times New Roman" w:hAnsi="Times New Roman" w:cs="Times New Roman"/>
          <w:lang w:val="en-US"/>
        </w:rPr>
        <w:t>We test this hypothesis by applying Weber et al. (2024)’s method using the OECD’s 2022 total input output table for Switzerland. We simulate the impact of a unit price shock in each sector on a synthetic CPI to identify the most significant sectors</w:t>
      </w:r>
      <w:r w:rsidR="00601042">
        <w:rPr>
          <w:rStyle w:val="Appelnotedebasdep"/>
          <w:rFonts w:ascii="Times New Roman" w:hAnsi="Times New Roman" w:cs="Times New Roman"/>
          <w:lang w:val="en-US"/>
        </w:rPr>
        <w:footnoteReference w:id="5"/>
      </w:r>
      <w:r w:rsidR="00734E09">
        <w:rPr>
          <w:rFonts w:ascii="Times New Roman" w:hAnsi="Times New Roman" w:cs="Times New Roman"/>
          <w:lang w:val="en-US"/>
        </w:rPr>
        <w:t>.</w:t>
      </w:r>
      <w:r w:rsidR="00601042">
        <w:rPr>
          <w:rFonts w:ascii="Times New Roman" w:hAnsi="Times New Roman" w:cs="Times New Roman"/>
          <w:lang w:val="en-US"/>
        </w:rPr>
        <w:t xml:space="preserve"> </w:t>
      </w:r>
      <w:r w:rsidR="007623AE">
        <w:rPr>
          <w:rFonts w:ascii="Times New Roman" w:hAnsi="Times New Roman" w:cs="Times New Roman"/>
          <w:lang w:val="en-US"/>
        </w:rPr>
        <w:t>The results of the Leontief price model are shown in the figure below.</w:t>
      </w:r>
    </w:p>
    <w:p w14:paraId="17082596" w14:textId="77777777" w:rsidR="000A3EB5" w:rsidRDefault="003577A6" w:rsidP="00451E92">
      <w:pPr>
        <w:jc w:val="both"/>
        <w:rPr>
          <w:rFonts w:ascii="Times New Roman" w:hAnsi="Times New Roman" w:cs="Times New Roman"/>
          <w:lang w:val="en-US"/>
        </w:rPr>
      </w:pPr>
      <w:r>
        <w:rPr>
          <w:rFonts w:ascii="Times New Roman" w:hAnsi="Times New Roman" w:cs="Times New Roman"/>
          <w:lang w:val="en-US"/>
        </w:rPr>
        <w:t>Figure (a) on the left shows the top 15 most significant sectors for the Swiss economy. Wholesale &amp; retail trade stands out as the sector with the most significant prices as it has large indirect as well as direct effects. It is followed by Real estate, Health &amp; social work and Food &amp; beverages.</w:t>
      </w:r>
    </w:p>
    <w:p w14:paraId="05414D34" w14:textId="6A5E188B" w:rsidR="00AB1A05" w:rsidRDefault="00AB1A05" w:rsidP="00AB1A05">
      <w:pPr>
        <w:pStyle w:val="Titre2"/>
        <w:rPr>
          <w:lang w:val="en-US"/>
        </w:rPr>
      </w:pPr>
      <w:r>
        <w:rPr>
          <w:lang w:val="en-US"/>
        </w:rPr>
        <w:t>The Swiss retail sector</w:t>
      </w:r>
    </w:p>
    <w:p w14:paraId="4E51D451" w14:textId="5CE9F927" w:rsidR="000259BE" w:rsidRDefault="003577A6" w:rsidP="00451E92">
      <w:pPr>
        <w:jc w:val="both"/>
        <w:rPr>
          <w:rFonts w:ascii="Times New Roman" w:hAnsi="Times New Roman" w:cs="Times New Roman"/>
          <w:lang w:val="en-US"/>
        </w:rPr>
      </w:pPr>
      <w:r>
        <w:rPr>
          <w:rFonts w:ascii="Times New Roman" w:hAnsi="Times New Roman" w:cs="Times New Roman"/>
          <w:lang w:val="en-US"/>
        </w:rPr>
        <w:t xml:space="preserve"> </w:t>
      </w:r>
      <w:r w:rsidR="00D65FC2">
        <w:rPr>
          <w:rFonts w:ascii="Times New Roman" w:hAnsi="Times New Roman" w:cs="Times New Roman"/>
          <w:lang w:val="en-US"/>
        </w:rPr>
        <w:t xml:space="preserve">The very large significance of Wholesale &amp; retail trade may be surprising at </w:t>
      </w:r>
      <w:r w:rsidR="00A1502D">
        <w:rPr>
          <w:rFonts w:ascii="Times New Roman" w:hAnsi="Times New Roman" w:cs="Times New Roman"/>
          <w:lang w:val="en-US"/>
        </w:rPr>
        <w:t>first but</w:t>
      </w:r>
      <w:r w:rsidR="000166AF">
        <w:rPr>
          <w:rFonts w:ascii="Times New Roman" w:hAnsi="Times New Roman" w:cs="Times New Roman"/>
          <w:lang w:val="en-US"/>
        </w:rPr>
        <w:t xml:space="preserve"> reflects the structural importance of th</w:t>
      </w:r>
      <w:r w:rsidR="00A1502D">
        <w:rPr>
          <w:rFonts w:ascii="Times New Roman" w:hAnsi="Times New Roman" w:cs="Times New Roman"/>
          <w:lang w:val="en-US"/>
        </w:rPr>
        <w:t>is</w:t>
      </w:r>
      <w:r w:rsidR="000166AF">
        <w:rPr>
          <w:rFonts w:ascii="Times New Roman" w:hAnsi="Times New Roman" w:cs="Times New Roman"/>
          <w:lang w:val="en-US"/>
        </w:rPr>
        <w:t xml:space="preserve"> sector </w:t>
      </w:r>
      <w:r w:rsidR="00A1502D">
        <w:rPr>
          <w:rFonts w:ascii="Times New Roman" w:hAnsi="Times New Roman" w:cs="Times New Roman"/>
          <w:lang w:val="en-US"/>
        </w:rPr>
        <w:t xml:space="preserve">for </w:t>
      </w:r>
      <w:r w:rsidR="000166AF">
        <w:rPr>
          <w:rFonts w:ascii="Times New Roman" w:hAnsi="Times New Roman" w:cs="Times New Roman"/>
          <w:lang w:val="en-US"/>
        </w:rPr>
        <w:t xml:space="preserve">the Swiss economy. </w:t>
      </w:r>
      <w:r w:rsidR="007A5B50">
        <w:rPr>
          <w:rFonts w:ascii="Times New Roman" w:hAnsi="Times New Roman" w:cs="Times New Roman"/>
          <w:lang w:val="en-US"/>
        </w:rPr>
        <w:t xml:space="preserve">Whereas Switzerland is widely known for its multinationals specialized in </w:t>
      </w:r>
      <w:r w:rsidR="008D4D65">
        <w:rPr>
          <w:rFonts w:ascii="Times New Roman" w:hAnsi="Times New Roman" w:cs="Times New Roman"/>
          <w:lang w:val="en-US"/>
        </w:rPr>
        <w:t>international commodity trading such as Glencore and Trafigura</w:t>
      </w:r>
      <w:r w:rsidR="00625A05">
        <w:rPr>
          <w:rFonts w:ascii="Times New Roman" w:hAnsi="Times New Roman" w:cs="Times New Roman"/>
          <w:lang w:val="en-US"/>
        </w:rPr>
        <w:t>; its pharmaceuticals or chemicals industries,</w:t>
      </w:r>
      <w:r w:rsidR="008D4D65">
        <w:rPr>
          <w:rFonts w:ascii="Times New Roman" w:hAnsi="Times New Roman" w:cs="Times New Roman"/>
          <w:lang w:val="en-US"/>
        </w:rPr>
        <w:t xml:space="preserve">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w:t>
      </w:r>
      <w:r w:rsidR="00625A05">
        <w:rPr>
          <w:rFonts w:ascii="Times New Roman" w:hAnsi="Times New Roman" w:cs="Times New Roman"/>
          <w:lang w:val="en-US"/>
        </w:rPr>
        <w:t xml:space="preserve"> which have a firm hand on the Swiss market</w:t>
      </w:r>
      <w:r w:rsidR="006B167C">
        <w:rPr>
          <w:rFonts w:ascii="Times New Roman" w:hAnsi="Times New Roman" w:cs="Times New Roman"/>
          <w:lang w:val="en-US"/>
        </w:rPr>
        <w:t xml:space="preserve">.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w:t>
      </w:r>
      <w:r w:rsidR="00470CA7" w:rsidRPr="00470CA7">
        <w:rPr>
          <w:rFonts w:ascii="Times New Roman" w:hAnsi="Times New Roman" w:cs="Times New Roman"/>
          <w:b/>
          <w:bCs/>
          <w:lang w:val="en-US"/>
        </w:rPr>
        <w:t xml:space="preserve"> </w:t>
      </w:r>
      <w:r w:rsidR="00470CA7" w:rsidRPr="00470CA7">
        <w:rPr>
          <w:rFonts w:ascii="Times New Roman" w:hAnsi="Times New Roman" w:cs="Times New Roman"/>
          <w:lang w:val="en-US"/>
        </w:rPr>
        <w:t>Migros</w:t>
      </w:r>
      <w:r w:rsidR="00470CA7">
        <w:rPr>
          <w:rFonts w:ascii="Times New Roman" w:hAnsi="Times New Roman" w:cs="Times New Roman"/>
          <w:lang w:val="en-US"/>
        </w:rPr>
        <w:t xml:space="preserve"> is</w:t>
      </w:r>
      <w:r w:rsidR="00BF317D">
        <w:rPr>
          <w:rFonts w:ascii="Times New Roman" w:hAnsi="Times New Roman" w:cs="Times New Roman"/>
          <w:lang w:val="en-US"/>
        </w:rPr>
        <w:t xml:space="preserve"> for instance</w:t>
      </w:r>
      <w:r w:rsidR="00470CA7">
        <w:rPr>
          <w:rFonts w:ascii="Times New Roman" w:hAnsi="Times New Roman" w:cs="Times New Roman"/>
          <w:lang w:val="en-US"/>
        </w:rPr>
        <w:t xml:space="preserve"> Switzerland’s largest private employer with around 91700 employees, 88% working in the country. It plays also a great role in training the Swiss labor force as it employs on average 3300 ap</w:t>
      </w:r>
      <w:r w:rsidR="00D90320">
        <w:rPr>
          <w:rFonts w:ascii="Times New Roman" w:hAnsi="Times New Roman" w:cs="Times New Roman"/>
          <w:lang w:val="en-US"/>
        </w:rPr>
        <w:t>prentices trained across more than 50 different professions.</w:t>
      </w:r>
      <w:r w:rsidR="0000307C" w:rsidRPr="00BF317D">
        <w:rPr>
          <w:rFonts w:ascii="Times New Roman" w:hAnsi="Times New Roman" w:cs="Times New Roman"/>
          <w:lang w:val="en-US"/>
        </w:rPr>
        <w:t xml:space="preserve"> </w:t>
      </w:r>
      <w:r w:rsidR="00E85829" w:rsidRPr="00E85829">
        <w:rPr>
          <w:rFonts w:ascii="Times New Roman" w:hAnsi="Times New Roman" w:cs="Times New Roman"/>
          <w:lang w:val="en-US"/>
        </w:rPr>
        <w:t xml:space="preserve">In addition to its activities in food retail, the Migros Group also </w:t>
      </w:r>
      <w:r w:rsidR="00E85829" w:rsidRPr="00E85829">
        <w:rPr>
          <w:rFonts w:ascii="Times New Roman" w:hAnsi="Times New Roman" w:cs="Times New Roman"/>
          <w:lang w:val="en-US"/>
        </w:rPr>
        <w:lastRenderedPageBreak/>
        <w:t>owns numerous subsidiaries operating in non-food retail, healthcare, tourism, as well as in the banking and education sectors</w:t>
      </w:r>
      <w:r w:rsidR="00E85829" w:rsidRPr="00230A8D">
        <w:rPr>
          <w:rFonts w:ascii="Times New Roman" w:hAnsi="Times New Roman" w:cs="Times New Roman"/>
          <w:lang w:val="en-US"/>
        </w:rPr>
        <w:t xml:space="preserve">. </w:t>
      </w:r>
      <w:r w:rsidR="00230A8D" w:rsidRPr="00230A8D">
        <w:rPr>
          <w:rFonts w:ascii="Times New Roman" w:hAnsi="Times New Roman" w:cs="Times New Roman"/>
          <w:lang w:val="en-US"/>
        </w:rPr>
        <w:t>The Migros Group operates not only in the service sector but also i</w:t>
      </w:r>
      <w:r w:rsidR="00230A8D">
        <w:rPr>
          <w:rFonts w:ascii="Times New Roman" w:hAnsi="Times New Roman" w:cs="Times New Roman"/>
          <w:lang w:val="en-US"/>
        </w:rPr>
        <w:t xml:space="preserve">n </w:t>
      </w:r>
      <w:r w:rsidR="000259BE">
        <w:rPr>
          <w:rFonts w:ascii="Times New Roman" w:hAnsi="Times New Roman" w:cs="Times New Roman"/>
          <w:lang w:val="en-US"/>
        </w:rPr>
        <w:t>the production sector</w:t>
      </w:r>
      <w:r w:rsidR="00230A8D" w:rsidRPr="00230A8D">
        <w:rPr>
          <w:rFonts w:ascii="Times New Roman" w:hAnsi="Times New Roman" w:cs="Times New Roman"/>
          <w:lang w:val="en-US"/>
        </w:rPr>
        <w:t>, as the factories of Migros Industry produce most of the food products sold in Migros supermarkets.</w:t>
      </w:r>
      <w:r w:rsidR="002E37E1">
        <w:rPr>
          <w:rFonts w:ascii="Times New Roman" w:hAnsi="Times New Roman" w:cs="Times New Roman"/>
          <w:lang w:val="en-US"/>
        </w:rPr>
        <w:t xml:space="preserve"> Migros also has its own bank (Bank Migros) and </w:t>
      </w:r>
      <w:r w:rsidR="00F516CC">
        <w:rPr>
          <w:rFonts w:ascii="Times New Roman" w:hAnsi="Times New Roman" w:cs="Times New Roman"/>
          <w:lang w:val="en-US"/>
        </w:rPr>
        <w:t>provide courses and training programs (“</w:t>
      </w:r>
      <w:proofErr w:type="spellStart"/>
      <w:r w:rsidR="00F516CC">
        <w:rPr>
          <w:rFonts w:ascii="Times New Roman" w:hAnsi="Times New Roman" w:cs="Times New Roman"/>
          <w:lang w:val="en-US"/>
        </w:rPr>
        <w:t>Klubschule</w:t>
      </w:r>
      <w:proofErr w:type="spellEnd"/>
      <w:r w:rsidR="00F516CC">
        <w:rPr>
          <w:rFonts w:ascii="Times New Roman" w:hAnsi="Times New Roman" w:cs="Times New Roman"/>
          <w:lang w:val="en-US"/>
        </w:rPr>
        <w:t>” or “École-club</w:t>
      </w:r>
      <w:r w:rsidR="000259BE">
        <w:rPr>
          <w:rFonts w:ascii="Times New Roman" w:hAnsi="Times New Roman" w:cs="Times New Roman"/>
          <w:lang w:val="en-US"/>
        </w:rPr>
        <w:t xml:space="preserve"> Migros</w:t>
      </w:r>
      <w:r w:rsidR="00F516CC">
        <w:rPr>
          <w:rFonts w:ascii="Times New Roman" w:hAnsi="Times New Roman" w:cs="Times New Roman"/>
          <w:lang w:val="en-US"/>
        </w:rPr>
        <w:t>”)</w:t>
      </w:r>
      <w:r w:rsidR="000259BE">
        <w:rPr>
          <w:rFonts w:ascii="Times New Roman" w:hAnsi="Times New Roman" w:cs="Times New Roman"/>
          <w:lang w:val="en-US"/>
        </w:rPr>
        <w:t xml:space="preserve"> </w:t>
      </w:r>
      <w:r w:rsidR="00F516CC">
        <w:rPr>
          <w:rFonts w:ascii="Times New Roman" w:hAnsi="Times New Roman" w:cs="Times New Roman"/>
          <w:lang w:val="en-US"/>
        </w:rPr>
        <w:t xml:space="preserve">at around 50 different locations throughout Switzerland, </w:t>
      </w:r>
      <w:r w:rsidR="00F516CC" w:rsidRPr="00F516CC">
        <w:rPr>
          <w:rFonts w:ascii="Times New Roman" w:hAnsi="Times New Roman" w:cs="Times New Roman"/>
          <w:lang w:val="en-US"/>
        </w:rPr>
        <w:t xml:space="preserve">courses </w:t>
      </w:r>
      <w:r w:rsidR="00F516CC">
        <w:rPr>
          <w:rFonts w:ascii="Times New Roman" w:hAnsi="Times New Roman" w:cs="Times New Roman"/>
          <w:lang w:val="en-US"/>
        </w:rPr>
        <w:t>which</w:t>
      </w:r>
      <w:r w:rsidR="00F516CC" w:rsidRPr="00F516CC">
        <w:rPr>
          <w:rFonts w:ascii="Times New Roman" w:hAnsi="Times New Roman" w:cs="Times New Roman"/>
          <w:lang w:val="en-US"/>
        </w:rPr>
        <w:t xml:space="preserve"> are sometimes funded by unemployment insurance itself as part of professional reintegration programs</w:t>
      </w:r>
      <w:r w:rsidR="00F516CC">
        <w:rPr>
          <w:rFonts w:ascii="Times New Roman" w:hAnsi="Times New Roman" w:cs="Times New Roman"/>
          <w:lang w:val="en-US"/>
        </w:rPr>
        <w:t>.</w:t>
      </w:r>
      <w:r w:rsidR="007465F7">
        <w:rPr>
          <w:rFonts w:ascii="Times New Roman" w:hAnsi="Times New Roman" w:cs="Times New Roman"/>
          <w:lang w:val="en-US"/>
        </w:rPr>
        <w:t xml:space="preserve"> </w:t>
      </w:r>
      <w:r w:rsidR="00FE4CA3" w:rsidRPr="00FE4CA3">
        <w:rPr>
          <w:rFonts w:ascii="Times New Roman" w:hAnsi="Times New Roman" w:cs="Times New Roman"/>
          <w:lang w:val="en-US"/>
        </w:rPr>
        <w:t>In recent years, the Migros Group has divested numerous brands and retail subsidiaries</w:t>
      </w:r>
      <w:r w:rsidR="00FE4CA3">
        <w:rPr>
          <w:rStyle w:val="Appelnotedebasdep"/>
          <w:rFonts w:ascii="Times New Roman" w:hAnsi="Times New Roman" w:cs="Times New Roman"/>
          <w:lang w:val="en-US"/>
        </w:rPr>
        <w:footnoteReference w:id="6"/>
      </w:r>
      <w:r w:rsidR="00FE4CA3" w:rsidRPr="00FE4CA3">
        <w:rPr>
          <w:rFonts w:ascii="Times New Roman" w:hAnsi="Times New Roman" w:cs="Times New Roman"/>
          <w:lang w:val="en-US"/>
        </w:rPr>
        <w:t xml:space="preserve"> as part of a strategic refocusing effort, particularly toward e-commerce, driven by the success of </w:t>
      </w:r>
      <w:proofErr w:type="spellStart"/>
      <w:r w:rsidR="00FE4CA3" w:rsidRPr="00FE4CA3">
        <w:rPr>
          <w:rFonts w:ascii="Times New Roman" w:hAnsi="Times New Roman" w:cs="Times New Roman"/>
          <w:lang w:val="en-US"/>
        </w:rPr>
        <w:t>Digitec</w:t>
      </w:r>
      <w:proofErr w:type="spellEnd"/>
      <w:r w:rsidR="00FE4CA3" w:rsidRPr="00FE4CA3">
        <w:rPr>
          <w:rFonts w:ascii="Times New Roman" w:hAnsi="Times New Roman" w:cs="Times New Roman"/>
          <w:lang w:val="en-US"/>
        </w:rPr>
        <w:t xml:space="preserve"> </w:t>
      </w:r>
      <w:proofErr w:type="spellStart"/>
      <w:r w:rsidR="00FE4CA3" w:rsidRPr="00FE4CA3">
        <w:rPr>
          <w:rFonts w:ascii="Times New Roman" w:hAnsi="Times New Roman" w:cs="Times New Roman"/>
          <w:lang w:val="en-US"/>
        </w:rPr>
        <w:t>Galaxus</w:t>
      </w:r>
      <w:proofErr w:type="spellEnd"/>
      <w:r w:rsidR="00FE4CA3" w:rsidRPr="00FE4CA3">
        <w:rPr>
          <w:rFonts w:ascii="Times New Roman" w:hAnsi="Times New Roman" w:cs="Times New Roman"/>
          <w:lang w:val="en-US"/>
        </w:rPr>
        <w:t>, its online retail subsidiary, which has established itself as Switzerland’s leading e-commerce platform since the COVID-19 pandemic</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{"citationID":"OyKA0tnq","properties":{"formattedCitation":"(Nod and Irminger 2026)","plainCitation":"(Nod and Irminger 2026)","noteIndex":0},"citationItems":[{"id":6736,"uris":["http://zotero.org/groups/6311349/items/NVJJF55K"],"itemData":{"id":6736,"type":"report","publisher":"Fédération des coopératives Migros","title":"Rapport annuel Migros 2025","URL":"https://report.migros.ch/2025/app/uploads/Rapport-de-gestion.pdf","author":[{"family":"Nod","given":"Ursula"},{"family":"Irminger","given":"Mario"}],"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(Nod and Irminger 2026)</w:t>
      </w:r>
      <w:r w:rsidR="001A5211">
        <w:rPr>
          <w:rFonts w:ascii="Times New Roman" w:hAnsi="Times New Roman" w:cs="Times New Roman"/>
          <w:lang w:val="en-US"/>
        </w:rPr>
        <w:fldChar w:fldCharType="end"/>
      </w:r>
      <w:r w:rsidR="00FE4CA3" w:rsidRPr="00FE4CA3">
        <w:rPr>
          <w:rFonts w:ascii="Times New Roman" w:hAnsi="Times New Roman" w:cs="Times New Roman"/>
          <w:lang w:val="en-US"/>
        </w:rPr>
        <w:t>.</w:t>
      </w:r>
      <w:r w:rsidR="000259BE">
        <w:rPr>
          <w:rFonts w:ascii="Times New Roman" w:hAnsi="Times New Roman" w:cs="Times New Roman"/>
          <w:lang w:val="en-US"/>
        </w:rPr>
        <w:t xml:space="preserve"> </w:t>
      </w:r>
      <w:r w:rsidR="009B2543" w:rsidRPr="009B2543">
        <w:rPr>
          <w:rFonts w:ascii="Times New Roman" w:hAnsi="Times New Roman" w:cs="Times New Roman"/>
          <w:lang w:val="en-US"/>
        </w:rPr>
        <w:t>Coop is the other historic giant of Swiss retail and Migros’s main competitor in the domestic market</w:t>
      </w:r>
      <w:r w:rsidR="009B2543">
        <w:rPr>
          <w:rFonts w:ascii="Times New Roman" w:hAnsi="Times New Roman" w:cs="Times New Roman"/>
          <w:lang w:val="en-US"/>
        </w:rPr>
        <w:t>.</w:t>
      </w:r>
      <w:r w:rsidR="00451E92">
        <w:rPr>
          <w:rFonts w:ascii="Times New Roman" w:hAnsi="Times New Roman" w:cs="Times New Roman"/>
          <w:lang w:val="en-US"/>
        </w:rPr>
        <w:t xml:space="preserve"> </w:t>
      </w:r>
      <w:r w:rsidR="00451E92" w:rsidRPr="00451E92">
        <w:rPr>
          <w:rFonts w:ascii="Times New Roman" w:hAnsi="Times New Roman" w:cs="Times New Roman"/>
          <w:lang w:val="en-US"/>
        </w:rPr>
        <w:t xml:space="preserve">While this cooperative traditionally operated in Migros’s shadow and was long regarded as the </w:t>
      </w:r>
      <w:r w:rsidR="00451E92">
        <w:rPr>
          <w:rFonts w:ascii="Times New Roman" w:hAnsi="Times New Roman" w:cs="Times New Roman"/>
          <w:lang w:val="en-US"/>
        </w:rPr>
        <w:t>number two of</w:t>
      </w:r>
      <w:r w:rsidR="00A977E0">
        <w:rPr>
          <w:rFonts w:ascii="Times New Roman" w:hAnsi="Times New Roman" w:cs="Times New Roman"/>
          <w:lang w:val="en-US"/>
        </w:rPr>
        <w:t xml:space="preserve"> Swiss</w:t>
      </w:r>
      <w:r w:rsidR="00451E92">
        <w:rPr>
          <w:rFonts w:ascii="Times New Roman" w:hAnsi="Times New Roman" w:cs="Times New Roman"/>
          <w:lang w:val="en-US"/>
        </w:rPr>
        <w:t xml:space="preserve"> retail</w:t>
      </w:r>
      <w:r w:rsidR="00451E92" w:rsidRPr="00451E92">
        <w:rPr>
          <w:rFonts w:ascii="Times New Roman" w:hAnsi="Times New Roman" w:cs="Times New Roman"/>
          <w:lang w:val="en-US"/>
        </w:rPr>
        <w:t xml:space="preserve">, its growth in recent years has enabled it to surpass Migros in terms of turnover and market share in the food retail sector. Coop has a structure and profile similar to </w:t>
      </w:r>
      <w:r w:rsidR="000259BE">
        <w:rPr>
          <w:rFonts w:ascii="Times New Roman" w:hAnsi="Times New Roman" w:cs="Times New Roman"/>
          <w:lang w:val="en-US"/>
        </w:rPr>
        <w:t>those</w:t>
      </w:r>
      <w:r w:rsidR="00451E92" w:rsidRPr="00451E92">
        <w:rPr>
          <w:rFonts w:ascii="Times New Roman" w:hAnsi="Times New Roman" w:cs="Times New Roman"/>
          <w:lang w:val="en-US"/>
        </w:rPr>
        <w:t xml:space="preserve"> of Migros, with a few notable differences: Coop has become more heavily involved in wholesale trade following its acquisition of </w:t>
      </w:r>
      <w:proofErr w:type="spellStart"/>
      <w:r w:rsidR="00451E92" w:rsidRPr="00451E92">
        <w:rPr>
          <w:rFonts w:ascii="Times New Roman" w:hAnsi="Times New Roman" w:cs="Times New Roman"/>
          <w:lang w:val="en-US"/>
        </w:rPr>
        <w:t>Transgourmet</w:t>
      </w:r>
      <w:proofErr w:type="spellEnd"/>
      <w:r w:rsidR="00451E92" w:rsidRPr="00451E92">
        <w:rPr>
          <w:rFonts w:ascii="Times New Roman" w:hAnsi="Times New Roman" w:cs="Times New Roman"/>
          <w:lang w:val="en-US"/>
        </w:rPr>
        <w:t>, one of Europe's leading foodservice and wholesale distribution companies, and is therefore less diversified than Migros in terms of its range of business activities. Nevertheless, it still owns a wide portfolio of retail brands in both the food and non-food sectors, as well as several food production businesses</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{"citationID":"aRNS6rGr","properties":{"formattedCitation":"(Sutter and Wyss 2026)","plainCitation":"(Sutter and Wyss 2026)","noteIndex":0},"citationItems":[{"id":6740,"uris":["http://zotero.org/groups/6311349/items/8FQUVPL2"],"itemData":{"id":6740,"type":"report","publisher":"Groupe Coop","title":"Rapport de gestion 2025","URL":"https://report.coop.ch/pdfs/Coop_GB_25_FR_5ec1838f7e.pdf","author":[{"family":"Sutter","given":"Joos"},{"family":"Wyss","given":"Philipp"}],"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(Sutter and Wyss 2026)</w:t>
      </w:r>
      <w:r w:rsidR="001A5211">
        <w:rPr>
          <w:rFonts w:ascii="Times New Roman" w:hAnsi="Times New Roman" w:cs="Times New Roman"/>
          <w:lang w:val="en-US"/>
        </w:rPr>
        <w:fldChar w:fldCharType="end"/>
      </w:r>
      <w:r w:rsidR="00451E92" w:rsidRPr="00451E92">
        <w:rPr>
          <w:rFonts w:ascii="Times New Roman" w:hAnsi="Times New Roman" w:cs="Times New Roman"/>
          <w:lang w:val="en-US"/>
        </w:rPr>
        <w:t>.</w:t>
      </w:r>
      <w:r w:rsidR="002516BD">
        <w:rPr>
          <w:rFonts w:ascii="Times New Roman" w:hAnsi="Times New Roman" w:cs="Times New Roman"/>
          <w:lang w:val="en-US"/>
        </w:rPr>
        <w:t xml:space="preserve"> I</w:t>
      </w:r>
      <w:r w:rsidR="000259BE">
        <w:rPr>
          <w:rFonts w:ascii="Times New Roman" w:hAnsi="Times New Roman" w:cs="Times New Roman"/>
          <w:lang w:val="en-US"/>
        </w:rPr>
        <w:t>t is thus not surprising that the most significant sector of the Swiss economy is Wholesale &amp; retail trade.</w:t>
      </w:r>
    </w:p>
    <w:p w14:paraId="0AD4B1B2" w14:textId="792A9EEE" w:rsidR="00E56851" w:rsidRDefault="009F39BC" w:rsidP="00451E92">
      <w:pPr>
        <w:jc w:val="both"/>
        <w:rPr>
          <w:rFonts w:ascii="Times New Roman" w:hAnsi="Times New Roman" w:cs="Times New Roman"/>
          <w:lang w:val="en-US"/>
        </w:rPr>
      </w:pPr>
      <w:r>
        <w:rPr>
          <w:rFonts w:ascii="Times New Roman" w:hAnsi="Times New Roman" w:cs="Times New Roman"/>
          <w:lang w:val="en-US"/>
        </w:rPr>
        <w:t xml:space="preserve">What is the effect of this duopoly on Swiss price dynamics? </w:t>
      </w:r>
      <w:r w:rsidR="00E56851" w:rsidRPr="00E56851">
        <w:rPr>
          <w:rFonts w:ascii="Times New Roman" w:hAnsi="Times New Roman" w:cs="Times New Roman"/>
          <w:lang w:val="en-US"/>
        </w:rPr>
        <w:t xml:space="preserve">On the one hand, Coop and Migros have been criticized for allegedly excessive margins that they are able to extract </w:t>
      </w:r>
      <w:r w:rsidR="00E56851">
        <w:rPr>
          <w:rFonts w:ascii="Times New Roman" w:hAnsi="Times New Roman" w:cs="Times New Roman"/>
          <w:lang w:val="en-US"/>
        </w:rPr>
        <w:t>thanks to</w:t>
      </w:r>
      <w:r w:rsidR="00E56851" w:rsidRPr="00E56851">
        <w:rPr>
          <w:rFonts w:ascii="Times New Roman" w:hAnsi="Times New Roman" w:cs="Times New Roman"/>
          <w:lang w:val="en-US"/>
        </w:rPr>
        <w:t xml:space="preserve"> their </w:t>
      </w:r>
      <w:r w:rsidR="000A3EB5">
        <w:rPr>
          <w:rFonts w:ascii="Times New Roman" w:hAnsi="Times New Roman" w:cs="Times New Roman"/>
          <w:lang w:val="en-US"/>
        </w:rPr>
        <w:t>oligopolistic power</w:t>
      </w:r>
      <w:r w:rsidR="00E56851" w:rsidRPr="00E56851">
        <w:rPr>
          <w:rFonts w:ascii="Times New Roman" w:hAnsi="Times New Roman" w:cs="Times New Roman"/>
          <w:lang w:val="en-US"/>
        </w:rPr>
        <w:t xml:space="preserve">. By controlling both processing and distribution, they enjoy significant leverage in negotiations, particularly regarding the prices of agricultural products, which has fueled dissatisfaction among Swiss farmers. These farmers, politically represented by the Swiss Farmers’ Union (SFU), have been joined in their criticism by other stakeholders, including the Fédération </w:t>
      </w:r>
      <w:proofErr w:type="spellStart"/>
      <w:r w:rsidR="00E56851" w:rsidRPr="00E56851">
        <w:rPr>
          <w:rFonts w:ascii="Times New Roman" w:hAnsi="Times New Roman" w:cs="Times New Roman"/>
          <w:lang w:val="en-US"/>
        </w:rPr>
        <w:t>Romande</w:t>
      </w:r>
      <w:proofErr w:type="spellEnd"/>
      <w:r w:rsidR="00E56851" w:rsidRPr="00E56851">
        <w:rPr>
          <w:rFonts w:ascii="Times New Roman" w:hAnsi="Times New Roman" w:cs="Times New Roman"/>
          <w:lang w:val="en-US"/>
        </w:rPr>
        <w:t xml:space="preserve"> des </w:t>
      </w:r>
      <w:proofErr w:type="spellStart"/>
      <w:r w:rsidR="00E56851" w:rsidRPr="00E56851">
        <w:rPr>
          <w:rFonts w:ascii="Times New Roman" w:hAnsi="Times New Roman" w:cs="Times New Roman"/>
          <w:lang w:val="en-US"/>
        </w:rPr>
        <w:t>Consommateurs</w:t>
      </w:r>
      <w:proofErr w:type="spellEnd"/>
      <w:r w:rsidR="00E56851" w:rsidRPr="00E56851">
        <w:rPr>
          <w:rFonts w:ascii="Times New Roman" w:hAnsi="Times New Roman" w:cs="Times New Roman"/>
          <w:lang w:val="en-US"/>
        </w:rPr>
        <w:t xml:space="preserve"> (</w:t>
      </w:r>
      <w:r w:rsidR="00957F4A">
        <w:rPr>
          <w:rFonts w:ascii="Times New Roman" w:hAnsi="Times New Roman" w:cs="Times New Roman"/>
          <w:lang w:val="en-US"/>
        </w:rPr>
        <w:t>Romandie</w:t>
      </w:r>
      <w:r w:rsidR="00E56851" w:rsidRPr="00E56851">
        <w:rPr>
          <w:rFonts w:ascii="Times New Roman" w:hAnsi="Times New Roman" w:cs="Times New Roman"/>
          <w:lang w:val="en-US"/>
        </w:rPr>
        <w:t xml:space="preserve"> Consumers’ Federation), the press, and the national public broadcaster RTS. RTS, for its part, has sought to assess directly the margins of the two major retailers through numerous investigations conducted in recent years.</w:t>
      </w:r>
      <w:r w:rsidR="00E56851">
        <w:rPr>
          <w:rFonts w:ascii="Times New Roman" w:hAnsi="Times New Roman" w:cs="Times New Roman"/>
          <w:lang w:val="en-US"/>
        </w:rPr>
        <w:t xml:space="preserve"> </w:t>
      </w:r>
      <w:r w:rsidR="00E56851" w:rsidRPr="00E56851">
        <w:rPr>
          <w:rFonts w:ascii="Times New Roman" w:hAnsi="Times New Roman" w:cs="Times New Roman"/>
          <w:lang w:val="en-US"/>
        </w:rPr>
        <w:t>One investigation published in 2023 highlighted what it described as “sometimes staggering price gaps between the prices paid by Coop and Migros and the prices charged on store shelves”</w:t>
      </w:r>
      <w:r w:rsidR="00E56851">
        <w:rPr>
          <w:rFonts w:ascii="Times New Roman" w:hAnsi="Times New Roman" w:cs="Times New Roman"/>
          <w:lang w:val="en-US"/>
        </w:rPr>
        <w:t>,</w:t>
      </w:r>
      <w:r w:rsidR="00E56851" w:rsidRPr="00E56851">
        <w:rPr>
          <w:rFonts w:ascii="Times New Roman" w:hAnsi="Times New Roman" w:cs="Times New Roman"/>
          <w:lang w:val="en-US"/>
        </w:rPr>
        <w:t xml:space="preserve"> with gross margins on food products reportedly ranging from 50% and 80% to as much as 110%</w:t>
      </w:r>
      <w:r w:rsidR="00E56851">
        <w:rPr>
          <w:rStyle w:val="Appelnotedebasdep"/>
          <w:rFonts w:ascii="Times New Roman" w:hAnsi="Times New Roman" w:cs="Times New Roman"/>
          <w:lang w:val="en-US"/>
        </w:rPr>
        <w:footnoteReference w:id="7"/>
      </w:r>
      <w:r w:rsidR="00E56851" w:rsidRPr="00E56851">
        <w:rPr>
          <w:rFonts w:ascii="Times New Roman" w:hAnsi="Times New Roman" w:cs="Times New Roman"/>
          <w:lang w:val="en-US"/>
        </w:rPr>
        <w:t xml:space="preserve">. </w:t>
      </w:r>
    </w:p>
    <w:p w14:paraId="4D2AD3F2" w14:textId="0BC64096" w:rsidR="001A5211" w:rsidRPr="00E56851" w:rsidRDefault="00E56851" w:rsidP="00451E92">
      <w:pPr>
        <w:jc w:val="both"/>
        <w:rPr>
          <w:rFonts w:ascii="Times New Roman" w:hAnsi="Times New Roman" w:cs="Times New Roman"/>
          <w:lang w:val="en-US"/>
        </w:rPr>
      </w:pPr>
      <w:r w:rsidRPr="00E56851">
        <w:rPr>
          <w:rFonts w:ascii="Times New Roman" w:hAnsi="Times New Roman" w:cs="Times New Roman"/>
          <w:lang w:val="en-US"/>
        </w:rPr>
        <w:t xml:space="preserve">This substantial market power enjoyed by Migros and Coop is the result of a long tradition of </w:t>
      </w:r>
      <w:r>
        <w:rPr>
          <w:rFonts w:ascii="Times New Roman" w:hAnsi="Times New Roman" w:cs="Times New Roman"/>
          <w:lang w:val="en-US"/>
        </w:rPr>
        <w:t>protection of</w:t>
      </w:r>
      <w:r w:rsidRPr="00E56851">
        <w:rPr>
          <w:rFonts w:ascii="Times New Roman" w:hAnsi="Times New Roman" w:cs="Times New Roman"/>
          <w:lang w:val="en-US"/>
        </w:rPr>
        <w:t xml:space="preserve"> the Swiss domestic </w:t>
      </w:r>
      <w:r>
        <w:rPr>
          <w:rFonts w:ascii="Times New Roman" w:hAnsi="Times New Roman" w:cs="Times New Roman"/>
          <w:lang w:val="en-US"/>
        </w:rPr>
        <w:t>sectors</w:t>
      </w:r>
      <w:r w:rsidRPr="00E56851">
        <w:rPr>
          <w:rFonts w:ascii="Times New Roman" w:hAnsi="Times New Roman" w:cs="Times New Roman"/>
          <w:lang w:val="en-US"/>
        </w:rPr>
        <w:t>.</w:t>
      </w:r>
      <w:r>
        <w:rPr>
          <w:rFonts w:ascii="Times New Roman" w:hAnsi="Times New Roman" w:cs="Times New Roman"/>
          <w:lang w:val="en-US"/>
        </w:rPr>
        <w:t xml:space="preserve"> </w:t>
      </w:r>
      <w:r w:rsidR="000340CA" w:rsidRPr="000340CA">
        <w:rPr>
          <w:rFonts w:ascii="Times New Roman" w:hAnsi="Times New Roman" w:cs="Times New Roman"/>
          <w:lang w:val="en-US"/>
        </w:rPr>
        <w:t>The Swiss regulatory framework of its retail sector has l</w:t>
      </w:r>
      <w:r w:rsidR="000340CA">
        <w:rPr>
          <w:rFonts w:ascii="Times New Roman" w:hAnsi="Times New Roman" w:cs="Times New Roman"/>
          <w:lang w:val="en-US"/>
        </w:rPr>
        <w:t xml:space="preserve">ong protected Coop and Migros from foreign competition: Swiss law restricts the opening of large stores above 10’000 </w:t>
      </w:r>
      <w:proofErr w:type="spellStart"/>
      <w:r w:rsidR="000340CA">
        <w:rPr>
          <w:rFonts w:ascii="Times New Roman" w:hAnsi="Times New Roman" w:cs="Times New Roman"/>
          <w:lang w:val="en-US"/>
        </w:rPr>
        <w:t>sqft</w:t>
      </w:r>
      <w:proofErr w:type="spellEnd"/>
      <w:r w:rsidR="000340CA">
        <w:rPr>
          <w:rFonts w:ascii="Times New Roman" w:hAnsi="Times New Roman" w:cs="Times New Roman"/>
          <w:lang w:val="en-US"/>
        </w:rPr>
        <w:t xml:space="preserve">; food safety and packaging regulations are very restrictive; direct democracy also allows citizen to oppose any planned openings and thus the latter can be </w:t>
      </w:r>
      <w:r w:rsidR="000340CA">
        <w:rPr>
          <w:rFonts w:ascii="Times New Roman" w:hAnsi="Times New Roman" w:cs="Times New Roman"/>
          <w:lang w:val="en-US"/>
        </w:rPr>
        <w:lastRenderedPageBreak/>
        <w:t>refused or take a long time. The three languages</w:t>
      </w:r>
      <w:r w:rsidR="009725E1">
        <w:rPr>
          <w:rFonts w:ascii="Times New Roman" w:hAnsi="Times New Roman" w:cs="Times New Roman"/>
          <w:lang w:val="en-US"/>
        </w:rPr>
        <w:t xml:space="preserve"> of the country</w:t>
      </w:r>
      <w:r w:rsidR="000340CA">
        <w:rPr>
          <w:rFonts w:ascii="Times New Roman" w:hAnsi="Times New Roman" w:cs="Times New Roman"/>
          <w:lang w:val="en-US"/>
        </w:rPr>
        <w:t xml:space="preserve">: French, German and Italian; and the strong federalist structure of Switzerland’s political institutions as well as its strong decentralization into 26 different cantons each having its own </w:t>
      </w:r>
      <w:r w:rsidR="009725E1">
        <w:rPr>
          <w:rFonts w:ascii="Times New Roman" w:hAnsi="Times New Roman" w:cs="Times New Roman"/>
          <w:lang w:val="en-US"/>
        </w:rPr>
        <w:t xml:space="preserve">laws </w:t>
      </w:r>
      <w:r w:rsidR="009720C9">
        <w:rPr>
          <w:rFonts w:ascii="Times New Roman" w:hAnsi="Times New Roman" w:cs="Times New Roman"/>
          <w:lang w:val="en-US"/>
        </w:rPr>
        <w:t>are additional administrative barriers which deter potential foreign competitors to Coop and Migros</w:t>
      </w:r>
      <w:r w:rsidR="009725E1">
        <w:rPr>
          <w:rFonts w:ascii="Times New Roman" w:hAnsi="Times New Roman" w:cs="Times New Roman"/>
          <w:lang w:val="en-US"/>
        </w:rPr>
        <w:t xml:space="preserve"> </w:t>
      </w:r>
      <w:r w:rsidR="009725E1">
        <w:rPr>
          <w:rFonts w:ascii="Times New Roman" w:hAnsi="Times New Roman" w:cs="Times New Roman"/>
          <w:lang w:val="en-US"/>
        </w:rPr>
        <w:fldChar w:fldCharType="begin"/>
      </w:r>
      <w:r w:rsidR="009725E1">
        <w:rPr>
          <w:rFonts w:ascii="Times New Roman" w:hAnsi="Times New Roman" w:cs="Times New Roman"/>
          <w:lang w:val="en-US"/>
        </w:rPr>
        <w:instrText xml:space="preserve"> ADDIN ZOTERO_ITEM CSL_CITATION {"citationID":"scN62gjd","properties":{"formattedCitation":"(Morschett et al. 2009)","plainCitation":"(Morschett et al. 2009)","noteIndex":0},"citationItems":[{"id":6564,"uris":["http://zotero.org/groups/6311349/items/849ZCK48"],"itemData":{"id":6564,"type":"article-journal","container-title":"European Retail Research","issue":"2","page":"163-190","title":"Retailing in Switzerland - Player, Strategies and Developments","volume":"23","author":[{"family":"Morschett","given":"Dirk"},{"family":"Rudolph","given":"Thomas"},{"family":"Bauer","given":"Johannes"},{"family":"Donnath","given":"Annett"},{"family":"Meise","given":"Niklas"}],"issued":{"date-parts":[["2009"]]}}}],"schema":"https://github.com/citation-style-language/schema/raw/master/csl-citation.json"} </w:instrText>
      </w:r>
      <w:r w:rsidR="009725E1">
        <w:rPr>
          <w:rFonts w:ascii="Times New Roman" w:hAnsi="Times New Roman" w:cs="Times New Roman"/>
          <w:lang w:val="en-US"/>
        </w:rPr>
        <w:fldChar w:fldCharType="separate"/>
      </w:r>
      <w:r w:rsidR="009725E1" w:rsidRPr="009725E1">
        <w:rPr>
          <w:rFonts w:ascii="Aptos" w:hAnsi="Aptos"/>
          <w:lang w:val="en-US"/>
        </w:rPr>
        <w:t>(Morschett et al. 2009)</w:t>
      </w:r>
      <w:r w:rsidR="009725E1">
        <w:rPr>
          <w:rFonts w:ascii="Times New Roman" w:hAnsi="Times New Roman" w:cs="Times New Roman"/>
          <w:lang w:val="en-US"/>
        </w:rPr>
        <w:fldChar w:fldCharType="end"/>
      </w:r>
      <w:r w:rsidR="009720C9">
        <w:rPr>
          <w:rFonts w:ascii="Times New Roman" w:hAnsi="Times New Roman" w:cs="Times New Roman"/>
          <w:lang w:val="en-US"/>
        </w:rPr>
        <w:t>.</w:t>
      </w:r>
    </w:p>
    <w:p w14:paraId="15009E00" w14:textId="5F89E267" w:rsidR="00C570BE" w:rsidRDefault="00E56851" w:rsidP="00C570BE">
      <w:pPr>
        <w:jc w:val="both"/>
        <w:rPr>
          <w:rFonts w:ascii="Times New Roman" w:hAnsi="Times New Roman" w:cs="Times New Roman"/>
          <w:lang w:val="en-US"/>
        </w:rPr>
      </w:pPr>
      <w:r w:rsidRPr="00E56851">
        <w:rPr>
          <w:rFonts w:ascii="Times New Roman" w:hAnsi="Times New Roman" w:cs="Times New Roman"/>
          <w:lang w:val="en-US"/>
        </w:rPr>
        <w:t>The agricultural sector</w:t>
      </w:r>
      <w:r w:rsidR="009D2E57">
        <w:rPr>
          <w:rFonts w:ascii="Times New Roman" w:hAnsi="Times New Roman" w:cs="Times New Roman"/>
          <w:lang w:val="en-US"/>
        </w:rPr>
        <w:t xml:space="preserve"> which </w:t>
      </w:r>
      <w:r w:rsidR="00973A99">
        <w:rPr>
          <w:rFonts w:ascii="Times New Roman" w:hAnsi="Times New Roman" w:cs="Times New Roman"/>
          <w:lang w:val="en-US"/>
        </w:rPr>
        <w:t>frequently denounces</w:t>
      </w:r>
      <w:r w:rsidR="009D2E57">
        <w:rPr>
          <w:rFonts w:ascii="Times New Roman" w:hAnsi="Times New Roman" w:cs="Times New Roman"/>
          <w:lang w:val="en-US"/>
        </w:rPr>
        <w:t xml:space="preserve"> the margins of the Coop-Migros duopoly</w:t>
      </w:r>
      <w:r w:rsidRPr="00E56851">
        <w:rPr>
          <w:rFonts w:ascii="Times New Roman" w:hAnsi="Times New Roman" w:cs="Times New Roman"/>
          <w:lang w:val="en-US"/>
        </w:rPr>
        <w:t xml:space="preserve"> is itself also heavily protected and regulated</w:t>
      </w:r>
      <w:r>
        <w:rPr>
          <w:rFonts w:ascii="Times New Roman" w:hAnsi="Times New Roman" w:cs="Times New Roman"/>
          <w:lang w:val="en-US"/>
        </w:rPr>
        <w:t xml:space="preserve">. </w:t>
      </w:r>
      <w:r w:rsidR="00155A77" w:rsidRPr="00155A77">
        <w:rPr>
          <w:rFonts w:ascii="Times New Roman" w:hAnsi="Times New Roman" w:cs="Times New Roman"/>
          <w:lang w:val="en-US"/>
        </w:rPr>
        <w:t xml:space="preserve">Swiss agriculture </w:t>
      </w:r>
      <w:r w:rsidR="00155A77">
        <w:rPr>
          <w:rFonts w:ascii="Times New Roman" w:hAnsi="Times New Roman" w:cs="Times New Roman"/>
          <w:lang w:val="en-US"/>
        </w:rPr>
        <w:t>would indeed not survive without the federal agricultural policy whose budget allocation for agriculture amounts to 3,4 billion francs per year, making Swiss agriculture one of the most subsidized among OECD economies. Swiss agriculture is also strongly protected from foreign competition</w:t>
      </w:r>
      <w:r w:rsidR="005F3729">
        <w:rPr>
          <w:rFonts w:ascii="Times New Roman" w:hAnsi="Times New Roman" w:cs="Times New Roman"/>
          <w:lang w:val="en-US"/>
        </w:rPr>
        <w:t>: the average most-</w:t>
      </w:r>
      <w:r w:rsidR="00F121EC">
        <w:rPr>
          <w:rFonts w:ascii="Times New Roman" w:hAnsi="Times New Roman" w:cs="Times New Roman"/>
          <w:lang w:val="en-US"/>
        </w:rPr>
        <w:t>favored</w:t>
      </w:r>
      <w:r w:rsidR="005F3729">
        <w:rPr>
          <w:rFonts w:ascii="Times New Roman" w:hAnsi="Times New Roman" w:cs="Times New Roman"/>
          <w:lang w:val="en-US"/>
        </w:rPr>
        <w:t>-nation tariff on agricultural imports in 2023 was</w:t>
      </w:r>
      <w:r w:rsidR="00C841C2">
        <w:rPr>
          <w:rFonts w:ascii="Times New Roman" w:hAnsi="Times New Roman" w:cs="Times New Roman"/>
          <w:lang w:val="en-US"/>
        </w:rPr>
        <w:t xml:space="preserve"> according to the World Trade Organization (WTO)</w:t>
      </w:r>
      <w:r w:rsidR="005F3729">
        <w:rPr>
          <w:rFonts w:ascii="Times New Roman" w:hAnsi="Times New Roman" w:cs="Times New Roman"/>
          <w:lang w:val="en-US"/>
        </w:rPr>
        <w:t xml:space="preserve"> at 28,5% whereas it was at 1,3% for non-agricultural products</w:t>
      </w:r>
      <w:r w:rsidR="00C841C2">
        <w:rPr>
          <w:rFonts w:ascii="Times New Roman" w:hAnsi="Times New Roman" w:cs="Times New Roman"/>
          <w:lang w:val="en-US"/>
        </w:rPr>
        <w:t xml:space="preserve"> in 2023</w:t>
      </w:r>
      <w:r w:rsidR="00D56334">
        <w:rPr>
          <w:rFonts w:ascii="Times New Roman" w:hAnsi="Times New Roman" w:cs="Times New Roman"/>
          <w:lang w:val="en-US"/>
        </w:rPr>
        <w:t xml:space="preserve">. Tariffs on agricultural products </w:t>
      </w:r>
      <w:r w:rsidR="00C841C2">
        <w:rPr>
          <w:rFonts w:ascii="Times New Roman" w:hAnsi="Times New Roman" w:cs="Times New Roman"/>
          <w:lang w:val="en-US"/>
        </w:rPr>
        <w:t>were</w:t>
      </w:r>
      <w:r w:rsidR="00D56334">
        <w:rPr>
          <w:rFonts w:ascii="Times New Roman" w:hAnsi="Times New Roman" w:cs="Times New Roman"/>
          <w:lang w:val="en-US"/>
        </w:rPr>
        <w:t xml:space="preserve"> particularly high for live animals and meat (97,7%) and for dairy products (129%) </w:t>
      </w:r>
      <w:r w:rsidR="00D56334">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{"citationID":"6uNFj1zs","properties":{"formattedCitation":"(WTO 2024)","plainCitation":"(WTO 2024)","dontUpdate":true,"noteIndex":0},"citationItems":[{"id":6757,"uris":["http://zotero.org/groups/6311349/items/L8M8WMME"],"itemData":{"id":6757,"type":"book","abstract":"World Tariff Profiles 2024 provides comprehensive information on the tariffs and non-tariff measures imposed by over 170 countries and customs territories. The publication starts with a breakdown of the tariffs imposed by these economies. Tariff data are presented in comparative tables and in one-page profiles for each economy. A summary table on selected indicators on the imports and exports profile for these economies is also presented. Statistics on non tariff measures by economy and by product group complement the data on tariffs. This special topic deals with “Tariffs on critical minerals in the electric vehicle value chain”. The publication is jointly prepared by the World Trade Organization, the UN Trade and Development (UNCTAD) and the International Trade Centre (ITC).","DOI":"10.30875/9789287076519","ISBN":"978-92-870-7651-9","language":"en","note":"DOI: 10.30875/9789287076519","publisher":"WTO iLibrary","source":"www.wto-ilibrary.org","title":"World Tariff Profiles 2024","URL":"https://www.wto-ilibrary.org/content/books/9789287076519","author":[{"family":"WTO","given":""}],"accessed":{"date-parts":[["2026",8,4]]},"issued":{"date-parts":[["2024",6,30]]}}}],"schema":"https://github.com/citation-style-language/schema/raw/master/csl-citation.json"} </w:instrText>
      </w:r>
      <w:r w:rsidR="00D56334">
        <w:rPr>
          <w:rFonts w:ascii="Times New Roman" w:hAnsi="Times New Roman" w:cs="Times New Roman"/>
          <w:lang w:val="en-US"/>
        </w:rPr>
        <w:fldChar w:fldCharType="separate"/>
      </w:r>
      <w:r w:rsidR="00D56334" w:rsidRPr="00D56334">
        <w:rPr>
          <w:rFonts w:ascii="Aptos" w:hAnsi="Aptos"/>
          <w:lang w:val="en-US"/>
        </w:rPr>
        <w:t>(WTO 2024</w:t>
      </w:r>
      <w:r w:rsidR="00D56334">
        <w:rPr>
          <w:rFonts w:ascii="Aptos" w:hAnsi="Aptos"/>
          <w:lang w:val="en-US"/>
        </w:rPr>
        <w:t>, 173</w:t>
      </w:r>
      <w:r w:rsidR="00D56334" w:rsidRPr="00D56334">
        <w:rPr>
          <w:rFonts w:ascii="Aptos" w:hAnsi="Aptos"/>
          <w:lang w:val="en-US"/>
        </w:rPr>
        <w:t>)</w:t>
      </w:r>
      <w:r w:rsidR="00D56334">
        <w:rPr>
          <w:rFonts w:ascii="Times New Roman" w:hAnsi="Times New Roman" w:cs="Times New Roman"/>
          <w:lang w:val="en-US"/>
        </w:rPr>
        <w:fldChar w:fldCharType="end"/>
      </w:r>
      <w:r w:rsidR="00D56334">
        <w:rPr>
          <w:rFonts w:ascii="Times New Roman" w:hAnsi="Times New Roman" w:cs="Times New Roman"/>
          <w:lang w:val="en-US"/>
        </w:rPr>
        <w:t>.</w:t>
      </w:r>
      <w:r w:rsidR="005C4623">
        <w:rPr>
          <w:rFonts w:ascii="Times New Roman" w:hAnsi="Times New Roman" w:cs="Times New Roman"/>
          <w:lang w:val="en-US"/>
        </w:rPr>
        <w:t xml:space="preserve"> Switzerland has indeed a long tradition of strong border protection for agricultural products through import quotas. After the Uruguay Round, (seasonal) tariff rate quotas</w:t>
      </w:r>
      <w:r w:rsidR="005C600E">
        <w:rPr>
          <w:rFonts w:ascii="Times New Roman" w:hAnsi="Times New Roman" w:cs="Times New Roman"/>
          <w:lang w:val="en-US"/>
        </w:rPr>
        <w:t xml:space="preserve"> (TRQs)</w:t>
      </w:r>
      <w:r w:rsidR="005C4623">
        <w:rPr>
          <w:rFonts w:ascii="Times New Roman" w:hAnsi="Times New Roman" w:cs="Times New Roman"/>
          <w:lang w:val="en-US"/>
        </w:rPr>
        <w:t xml:space="preserve"> have become the main import protection tool to support farm income by keeping domestic producer prices high and to ensure domestic food supply.</w:t>
      </w:r>
      <w:r w:rsidR="005C600E">
        <w:rPr>
          <w:rFonts w:ascii="Times New Roman" w:hAnsi="Times New Roman" w:cs="Times New Roman"/>
          <w:lang w:val="en-US"/>
        </w:rPr>
        <w:t xml:space="preserve"> </w:t>
      </w:r>
      <w:r w:rsidR="004F14DE">
        <w:rPr>
          <w:rFonts w:ascii="Times New Roman" w:hAnsi="Times New Roman" w:cs="Times New Roman"/>
          <w:lang w:val="en-US"/>
        </w:rPr>
        <w:t xml:space="preserve">As a result, the OECD considers the level of price distortion of the Swiss agricultural sector to be one of the highest among OECD economies with a producer nominal protection of 1,56, meaning that Swiss farmers receive prices that are overall 56% above international market level </w:t>
      </w:r>
      <w:r w:rsidR="004F14DE">
        <w:rPr>
          <w:rFonts w:ascii="Times New Roman" w:hAnsi="Times New Roman" w:cs="Times New Roman"/>
          <w:lang w:val="en-US"/>
        </w:rPr>
        <w:fldChar w:fldCharType="begin"/>
      </w:r>
      <w:r w:rsidR="004F14DE">
        <w:rPr>
          <w:rFonts w:ascii="Times New Roman" w:hAnsi="Times New Roman" w:cs="Times New Roman"/>
          <w:lang w:val="en-US"/>
        </w:rPr>
        <w:instrText xml:space="preserve"> ADDIN ZOTERO_ITEM CSL_CITATION {"citationID":"2dMUOHYA","properties":{"formattedCitation":"(OECD 2025)","plainCitation":"(OECD 2025)","noteIndex":0},"citationItems":[{"id":6755,"uris":["http://zotero.org/groups/6311349/items/A7QTRLDP"],"itemData":{"id":6755,"type":"article-journal","abstract":"This annual report reviews agricultural policies in 54 countries, including the 38 OECD Member countries, five non‑OECD EU Member States, and 11 emerging economies. It finds that overall support to agriculture in 2022-24 remains well above pre-COVID levels. While nominal transfers to farmers have increased, expenditures benefitting consumers have declined. Support for innovation and other services is falling relative to the sector’s size, which, together with persistent trade distortions, threatens global food security.Marking 30 years since the WTO Agreement on Agriculture and the first UN Climate Change Conference, this year’s report focuses on policies at the nexus of agro-food trade and the environment. Agricultural and food trade has grown faster than production, with products increasingly moving through global value chains. Yet, agro-food products still face higher tariffs and trade barriers than other sectors, and market price support remains common.Governments are also doing more to address agriculture's environmental impacts, including its role in greenhouse gas emissions. The report offers guidance on designing better policies that align trade and environmental objectives, to help agriculture sustainably feed a growing world population.","container-title":"Agricultural Policy Monitoring and Evaluation","DOI":"10.1787/a80ac398-en","language":"en","publisher":"OECD Publishing","source":"www.oecd.org","title":"Agricultural Policy Monitoring and Evaluation 2025: Making the Most of the Trade and Environment Nexus in Agriculture","title-short":"Agricultural Policy Monitoring and Evaluation 2025","URL":"https://www.oecd.org/en/publications/agricultural-policy-monitoring-and-evaluation-2025_a80ac398-en.html","volume":"2025","author":[{"family":"OECD","given":""}],"accessed":{"date-parts":[["2026",8,4]]},"issued":{"date-parts":[["2025",10,30]]}}}],"schema":"https://github.com/citation-style-language/schema/raw/master/csl-citation.json"} </w:instrText>
      </w:r>
      <w:r w:rsidR="004F14DE">
        <w:rPr>
          <w:rFonts w:ascii="Times New Roman" w:hAnsi="Times New Roman" w:cs="Times New Roman"/>
          <w:lang w:val="en-US"/>
        </w:rPr>
        <w:fldChar w:fldCharType="separate"/>
      </w:r>
      <w:r w:rsidR="004F14DE" w:rsidRPr="004F14DE">
        <w:rPr>
          <w:rFonts w:ascii="Aptos" w:hAnsi="Aptos"/>
          <w:lang w:val="en-US"/>
        </w:rPr>
        <w:t>(OECD 2025)</w:t>
      </w:r>
      <w:r w:rsidR="004F14DE">
        <w:rPr>
          <w:rFonts w:ascii="Times New Roman" w:hAnsi="Times New Roman" w:cs="Times New Roman"/>
          <w:lang w:val="en-US"/>
        </w:rPr>
        <w:fldChar w:fldCharType="end"/>
      </w:r>
      <w:r w:rsidR="004F14DE">
        <w:rPr>
          <w:rFonts w:ascii="Times New Roman" w:hAnsi="Times New Roman" w:cs="Times New Roman"/>
          <w:lang w:val="en-US"/>
        </w:rPr>
        <w:t>.</w:t>
      </w:r>
      <w:r w:rsidR="005C600E">
        <w:rPr>
          <w:rFonts w:ascii="Times New Roman" w:hAnsi="Times New Roman" w:cs="Times New Roman"/>
          <w:lang w:val="en-US"/>
        </w:rPr>
        <w:t xml:space="preserve"> A study by Judith Hillen on tomato prices under seasonal TRQs suggests that this system guarantees high but stable prices for vegetables products, but generates </w:t>
      </w:r>
      <w:r w:rsidR="004C06E2">
        <w:rPr>
          <w:rFonts w:ascii="Times New Roman" w:hAnsi="Times New Roman" w:cs="Times New Roman"/>
          <w:lang w:val="en-US"/>
        </w:rPr>
        <w:t xml:space="preserve">quota </w:t>
      </w:r>
      <w:r w:rsidR="005C600E">
        <w:rPr>
          <w:rFonts w:ascii="Times New Roman" w:hAnsi="Times New Roman" w:cs="Times New Roman"/>
          <w:lang w:val="en-US"/>
        </w:rPr>
        <w:t xml:space="preserve">rents which are most likely captured by the large retail companies (Coop and Migros) as they are the holders of import quotas </w:t>
      </w:r>
      <w:r w:rsidR="005C600E">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{"citationID":"qMnpI0FI","properties":{"formattedCitation":"(Hillen 2019)","plainCitation":"(Hillen 2019)","dontUpdate":true,"noteIndex":0},"citationItems":[{"id":6760,"uris":["http://zotero.org/groups/6311349/items/QTMRB68F"],"itemData":{"id":6760,"type":"article-journal","abstract":"Switzerland applies seasonal tariff rate quotas (TRQs) for the import of many fruits and vegetables during the domestic harvest season. We examine how this system affects the relationship between Italian and Swiss tomato prices and test for physical market integration and spatial equilibrium conditions over time. We use detailed, transaction-based data on trade flows and trade costs and estimate an extended parity bounds model, following Barrett and Li (2002). We confirm that in the summer season, when TRQs are in place, markets are inefficient. While quota holders receive positive rents, the marginal rents for importers without quota shares are negative. This inhibits trade flows above the in-quota import quantity allowed by TRQs. Hence, despite leading to inefficiencies and creating rents for importers, seasonal TRQs are effective in protecting domestic production against competing imports.","container-title":"Journal of Agricultural Economics","DOI":"10.1111/1477-9552.12355","ISSN":"1477-9552","issue":"3","language":"en","license":"© 2019 The Authors. Journal of Agricultural Economics published by John Wiley &amp; Sons Ltd on behalf of Agricultural Economics Society.","page":"859-873","source":"Wiley Online Library","title":"Market Integration and Market Efficiency under Seasonal Tariff Rate Quotas","volume":"70","author":[{"family":"Hillen","given":"Judith"}],"issued":{"date-parts":[["2019"]]}}}],"schema":"https://github.com/citation-style-language/schema/raw/master/csl-citation.json"} </w:instrText>
      </w:r>
      <w:r w:rsidR="005C600E">
        <w:rPr>
          <w:rFonts w:ascii="Times New Roman" w:hAnsi="Times New Roman" w:cs="Times New Roman"/>
          <w:lang w:val="en-US"/>
        </w:rPr>
        <w:fldChar w:fldCharType="separate"/>
      </w:r>
      <w:r w:rsidR="005C600E" w:rsidRPr="005C600E">
        <w:rPr>
          <w:rFonts w:ascii="Aptos" w:hAnsi="Aptos"/>
          <w:lang w:val="en-US"/>
        </w:rPr>
        <w:t>(Hillen 2019</w:t>
      </w:r>
      <w:r w:rsidR="005C600E">
        <w:rPr>
          <w:rFonts w:ascii="Aptos" w:hAnsi="Aptos"/>
          <w:lang w:val="en-US"/>
        </w:rPr>
        <w:t>, 871</w:t>
      </w:r>
      <w:r w:rsidR="005C600E" w:rsidRPr="005C600E">
        <w:rPr>
          <w:rFonts w:ascii="Aptos" w:hAnsi="Aptos"/>
          <w:lang w:val="en-US"/>
        </w:rPr>
        <w:t>)</w:t>
      </w:r>
      <w:r w:rsidR="005C600E">
        <w:rPr>
          <w:rFonts w:ascii="Times New Roman" w:hAnsi="Times New Roman" w:cs="Times New Roman"/>
          <w:lang w:val="en-US"/>
        </w:rPr>
        <w:fldChar w:fldCharType="end"/>
      </w:r>
      <w:r w:rsidR="00E716A4">
        <w:rPr>
          <w:rFonts w:ascii="Times New Roman" w:hAnsi="Times New Roman" w:cs="Times New Roman"/>
          <w:lang w:val="en-US"/>
        </w:rPr>
        <w:t xml:space="preserve">. </w:t>
      </w:r>
    </w:p>
    <w:p w14:paraId="159B659D" w14:textId="32E66591" w:rsidR="009B2543" w:rsidRDefault="007F2DA8" w:rsidP="009B2543">
      <w:pPr>
        <w:jc w:val="both"/>
        <w:rPr>
          <w:rFonts w:ascii="Times New Roman" w:hAnsi="Times New Roman" w:cs="Times New Roman"/>
          <w:lang w:val="en-US"/>
        </w:rPr>
      </w:pPr>
      <w:r>
        <w:rPr>
          <w:rFonts w:ascii="Times New Roman" w:hAnsi="Times New Roman" w:cs="Times New Roman"/>
          <w:lang w:val="en-US"/>
        </w:rPr>
        <w:t>In response to th</w:t>
      </w:r>
      <w:r w:rsidR="00AF4C7B">
        <w:rPr>
          <w:rFonts w:ascii="Times New Roman" w:hAnsi="Times New Roman" w:cs="Times New Roman"/>
          <w:lang w:val="en-US"/>
        </w:rPr>
        <w:t>ese accusations, Coop and Migros have put forward their cooperative structure</w:t>
      </w:r>
      <w:r w:rsidR="00DE3002">
        <w:rPr>
          <w:rFonts w:ascii="Times New Roman" w:hAnsi="Times New Roman" w:cs="Times New Roman"/>
          <w:lang w:val="en-US"/>
        </w:rPr>
        <w:t xml:space="preserve"> which impede the two giants from generating profits and allegedly encourage them to pursue the interests of Swiss consumers</w:t>
      </w:r>
      <w:r w:rsidR="00E716A4">
        <w:rPr>
          <w:rFonts w:ascii="Times New Roman" w:hAnsi="Times New Roman" w:cs="Times New Roman"/>
          <w:lang w:val="en-US"/>
        </w:rPr>
        <w:t xml:space="preserve">. </w:t>
      </w:r>
      <w:r w:rsidR="00C570BE" w:rsidRPr="00C570BE">
        <w:rPr>
          <w:rFonts w:ascii="Times New Roman" w:hAnsi="Times New Roman" w:cs="Times New Roman"/>
          <w:lang w:val="en-US"/>
        </w:rPr>
        <w:t>In their communication strategies, Coop and Migros</w:t>
      </w:r>
      <w:r w:rsidR="00DE3002">
        <w:rPr>
          <w:rFonts w:ascii="Times New Roman" w:hAnsi="Times New Roman" w:cs="Times New Roman"/>
          <w:lang w:val="en-US"/>
        </w:rPr>
        <w:t xml:space="preserve"> furthermore</w:t>
      </w:r>
      <w:r w:rsidR="00C570BE" w:rsidRPr="00C570BE">
        <w:rPr>
          <w:rFonts w:ascii="Times New Roman" w:hAnsi="Times New Roman" w:cs="Times New Roman"/>
          <w:lang w:val="en-US"/>
        </w:rPr>
        <w:t xml:space="preserve"> claim to be engaged in "price wars" in order to remain attractive in the face of the two discount outsiders, Aldi and Lidl</w:t>
      </w:r>
      <w:r w:rsidR="00C570BE">
        <w:rPr>
          <w:rFonts w:ascii="Times New Roman" w:hAnsi="Times New Roman" w:cs="Times New Roman"/>
          <w:lang w:val="en-US"/>
        </w:rPr>
        <w:t xml:space="preserve">. </w:t>
      </w:r>
      <w:r w:rsidR="00C570BE" w:rsidRPr="00C570BE">
        <w:rPr>
          <w:rFonts w:ascii="Times New Roman" w:hAnsi="Times New Roman" w:cs="Times New Roman"/>
          <w:lang w:val="en-US"/>
        </w:rPr>
        <w:t>They a</w:t>
      </w:r>
      <w:r w:rsidR="00C570BE">
        <w:rPr>
          <w:rFonts w:ascii="Times New Roman" w:hAnsi="Times New Roman" w:cs="Times New Roman"/>
          <w:lang w:val="en-US"/>
        </w:rPr>
        <w:t xml:space="preserve">llegedly </w:t>
      </w:r>
      <w:r w:rsidR="00C570BE" w:rsidRPr="00C570BE">
        <w:rPr>
          <w:rFonts w:ascii="Times New Roman" w:hAnsi="Times New Roman" w:cs="Times New Roman"/>
          <w:lang w:val="en-US"/>
        </w:rPr>
        <w:t xml:space="preserve">claim that price </w:t>
      </w:r>
      <w:r w:rsidR="00AF4C7B">
        <w:rPr>
          <w:rFonts w:ascii="Times New Roman" w:hAnsi="Times New Roman" w:cs="Times New Roman"/>
          <w:lang w:val="en-US"/>
        </w:rPr>
        <w:t>reductions</w:t>
      </w:r>
      <w:r w:rsidR="00C570BE" w:rsidRPr="00C570BE">
        <w:rPr>
          <w:rFonts w:ascii="Times New Roman" w:hAnsi="Times New Roman" w:cs="Times New Roman"/>
          <w:lang w:val="en-US"/>
        </w:rPr>
        <w:t xml:space="preserve"> are regularly implemented across hundreds of products, and that these reductions are absorbed through lower margins on their side rather than at the expense of producers</w:t>
      </w:r>
      <w:r w:rsidR="00C570BE">
        <w:rPr>
          <w:rFonts w:ascii="Times New Roman" w:hAnsi="Times New Roman" w:cs="Times New Roman"/>
          <w:lang w:val="en-US"/>
        </w:rPr>
        <w:t>.</w:t>
      </w:r>
      <w:r w:rsidR="009C4A82">
        <w:rPr>
          <w:rFonts w:ascii="Times New Roman" w:hAnsi="Times New Roman" w:cs="Times New Roman"/>
          <w:lang w:val="en-US"/>
        </w:rPr>
        <w:t xml:space="preserve"> As shown by </w:t>
      </w:r>
      <w:r w:rsidR="009C4A82">
        <w:rPr>
          <w:rFonts w:ascii="Times New Roman" w:hAnsi="Times New Roman" w:cs="Times New Roman"/>
          <w:lang w:val="en-US"/>
        </w:rPr>
        <w:fldChar w:fldCharType="begin"/>
      </w:r>
      <w:r w:rsidR="009C4A82">
        <w:rPr>
          <w:rFonts w:ascii="Times New Roman" w:hAnsi="Times New Roman" w:cs="Times New Roman"/>
          <w:lang w:val="en-US"/>
        </w:rPr>
        <w:instrText xml:space="preserve"> ADDIN ZOTERO_ITEM CSL_CITATION {"citationID":"XbXe1nq6","properties":{"formattedCitation":"(Fischer et al. 2021)","plainCitation":"(Fischer et al. 2021)","noteIndex":0},"citationItems":[{"id":6774,"uris":["http://zotero.org/groups/6311349/items/9EMSZ2RT"],"itemData":{"id":6774,"type":"document","publisher":"BAK Economics","publisher-place":"Basel","title":"Analyse der Schweizer Detailhandelspreise im internationalen Vergleich","URL":"https://www.bak-economics.com/studien-analysen/detail/analyse-der-schweizer-detailhandelspreise-im-internationalen-vergleich","author":[{"family":"Fischer","given":"Silvan"},{"family":"Grass","given":"Michael"},{"family":"Grossmiklaus","given":"Bruno"},{"family":"Guggia","given":"Valentino"}],"issued":{"date-parts":[["2021"]]}}}],"schema":"https://github.com/citation-style-language/schema/raw/master/csl-citation.json"} </w:instrText>
      </w:r>
      <w:r w:rsidR="009C4A82">
        <w:rPr>
          <w:rFonts w:ascii="Times New Roman" w:hAnsi="Times New Roman" w:cs="Times New Roman"/>
          <w:lang w:val="en-US"/>
        </w:rPr>
        <w:fldChar w:fldCharType="separate"/>
      </w:r>
      <w:r w:rsidR="009C4A82" w:rsidRPr="009C4A82">
        <w:rPr>
          <w:rFonts w:ascii="Aptos" w:hAnsi="Aptos"/>
          <w:lang w:val="en-US"/>
        </w:rPr>
        <w:t xml:space="preserve">Fischer et al. </w:t>
      </w:r>
      <w:r w:rsidR="009C4A82">
        <w:rPr>
          <w:rFonts w:ascii="Aptos" w:hAnsi="Aptos"/>
          <w:lang w:val="en-US"/>
        </w:rPr>
        <w:t>(</w:t>
      </w:r>
      <w:r w:rsidR="009C4A82" w:rsidRPr="009C4A82">
        <w:rPr>
          <w:rFonts w:ascii="Aptos" w:hAnsi="Aptos"/>
          <w:lang w:val="en-US"/>
        </w:rPr>
        <w:t>2021)</w:t>
      </w:r>
      <w:r w:rsidR="009C4A82">
        <w:rPr>
          <w:rFonts w:ascii="Times New Roman" w:hAnsi="Times New Roman" w:cs="Times New Roman"/>
          <w:lang w:val="en-US"/>
        </w:rPr>
        <w:fldChar w:fldCharType="end"/>
      </w:r>
      <w:r w:rsidR="009C4A82">
        <w:rPr>
          <w:rFonts w:ascii="Times New Roman" w:hAnsi="Times New Roman" w:cs="Times New Roman"/>
          <w:lang w:val="en-US"/>
        </w:rPr>
        <w:t xml:space="preserve">, </w:t>
      </w:r>
      <w:r w:rsidR="00987B34">
        <w:rPr>
          <w:rFonts w:ascii="Times New Roman" w:hAnsi="Times New Roman" w:cs="Times New Roman"/>
          <w:lang w:val="en-US"/>
        </w:rPr>
        <w:t xml:space="preserve">it is true that </w:t>
      </w:r>
      <w:r w:rsidR="009C4A82">
        <w:rPr>
          <w:rFonts w:ascii="Times New Roman" w:hAnsi="Times New Roman" w:cs="Times New Roman"/>
          <w:lang w:val="en-US"/>
        </w:rPr>
        <w:t>the Swiss retail sector has experienced an important decline in its price level</w:t>
      </w:r>
      <w:r w:rsidR="00987B34">
        <w:rPr>
          <w:rFonts w:ascii="Times New Roman" w:hAnsi="Times New Roman" w:cs="Times New Roman"/>
          <w:lang w:val="en-US"/>
        </w:rPr>
        <w:t xml:space="preserve"> at least</w:t>
      </w:r>
      <w:r w:rsidR="009C4A82">
        <w:rPr>
          <w:rFonts w:ascii="Times New Roman" w:hAnsi="Times New Roman" w:cs="Times New Roman"/>
          <w:lang w:val="en-US"/>
        </w:rPr>
        <w:t xml:space="preserve"> between 1994 and 2019 as the price of a representative retail shopping basket decreased by 27,5% during this period.</w:t>
      </w:r>
      <w:r w:rsidR="00D10F6C">
        <w:rPr>
          <w:rFonts w:ascii="Times New Roman" w:hAnsi="Times New Roman" w:cs="Times New Roman"/>
          <w:lang w:val="en-US"/>
        </w:rPr>
        <w:t xml:space="preserve"> But</w:t>
      </w:r>
      <w:r w:rsidR="009C4A82">
        <w:rPr>
          <w:rFonts w:ascii="Times New Roman" w:hAnsi="Times New Roman" w:cs="Times New Roman"/>
          <w:lang w:val="en-US"/>
        </w:rPr>
        <w:t xml:space="preserve"> </w:t>
      </w:r>
      <w:r w:rsidR="00D10F6C">
        <w:rPr>
          <w:rFonts w:ascii="Times New Roman" w:hAnsi="Times New Roman" w:cs="Times New Roman"/>
          <w:lang w:val="en-US"/>
        </w:rPr>
        <w:t>t</w:t>
      </w:r>
      <w:r w:rsidR="009C4A82">
        <w:rPr>
          <w:rFonts w:ascii="Times New Roman" w:hAnsi="Times New Roman" w:cs="Times New Roman"/>
          <w:lang w:val="en-US"/>
        </w:rPr>
        <w:t xml:space="preserve">his decline is mainly driven by falling prices in non-food products </w:t>
      </w:r>
      <w:r w:rsidR="00987B34">
        <w:rPr>
          <w:rFonts w:ascii="Times New Roman" w:hAnsi="Times New Roman" w:cs="Times New Roman"/>
          <w:lang w:val="en-US"/>
        </w:rPr>
        <w:t>as the same price index excluding food products nearly halved over the same period</w:t>
      </w:r>
      <w:r w:rsidR="00C20063">
        <w:rPr>
          <w:rFonts w:ascii="Times New Roman" w:hAnsi="Times New Roman" w:cs="Times New Roman"/>
          <w:lang w:val="en-US"/>
        </w:rPr>
        <w:t xml:space="preserve"> while food prices remained stable.</w:t>
      </w:r>
      <w:r w:rsidR="005B6498">
        <w:rPr>
          <w:rFonts w:ascii="Times New Roman" w:hAnsi="Times New Roman" w:cs="Times New Roman"/>
          <w:lang w:val="en-US"/>
        </w:rPr>
        <w:t xml:space="preserve"> </w:t>
      </w:r>
      <w:r>
        <w:rPr>
          <w:rFonts w:ascii="Times New Roman" w:hAnsi="Times New Roman" w:cs="Times New Roman"/>
          <w:lang w:val="en-US"/>
        </w:rPr>
        <w:t>D</w:t>
      </w:r>
      <w:r w:rsidR="00C570BE" w:rsidRPr="00E716A4">
        <w:rPr>
          <w:rFonts w:ascii="Times New Roman" w:hAnsi="Times New Roman" w:cs="Times New Roman"/>
          <w:lang w:val="en-US"/>
        </w:rPr>
        <w:t>ue to lack of information on</w:t>
      </w:r>
      <w:r w:rsidR="005B6498">
        <w:rPr>
          <w:rFonts w:ascii="Times New Roman" w:hAnsi="Times New Roman" w:cs="Times New Roman"/>
          <w:lang w:val="en-US"/>
        </w:rPr>
        <w:t xml:space="preserve"> Swiss firms</w:t>
      </w:r>
      <w:r w:rsidR="001B22E1">
        <w:rPr>
          <w:rFonts w:ascii="Times New Roman" w:hAnsi="Times New Roman" w:cs="Times New Roman"/>
          <w:lang w:val="en-US"/>
        </w:rPr>
        <w:t>’</w:t>
      </w:r>
      <w:r w:rsidR="00C570BE">
        <w:rPr>
          <w:rFonts w:ascii="Times New Roman" w:hAnsi="Times New Roman" w:cs="Times New Roman"/>
          <w:lang w:val="en-US"/>
        </w:rPr>
        <w:t xml:space="preserve"> margins and markups, it is </w:t>
      </w:r>
      <w:r w:rsidR="005B6498">
        <w:rPr>
          <w:rFonts w:ascii="Times New Roman" w:hAnsi="Times New Roman" w:cs="Times New Roman"/>
          <w:lang w:val="en-US"/>
        </w:rPr>
        <w:t>moreover</w:t>
      </w:r>
      <w:r>
        <w:rPr>
          <w:rFonts w:ascii="Times New Roman" w:hAnsi="Times New Roman" w:cs="Times New Roman"/>
          <w:lang w:val="en-US"/>
        </w:rPr>
        <w:t xml:space="preserve"> </w:t>
      </w:r>
      <w:r w:rsidR="00C570BE">
        <w:rPr>
          <w:rFonts w:ascii="Times New Roman" w:hAnsi="Times New Roman" w:cs="Times New Roman"/>
          <w:lang w:val="en-US"/>
        </w:rPr>
        <w:t xml:space="preserve">not possible to assess </w:t>
      </w:r>
      <w:r w:rsidR="005B6498">
        <w:rPr>
          <w:rFonts w:ascii="Times New Roman" w:hAnsi="Times New Roman" w:cs="Times New Roman"/>
          <w:lang w:val="en-US"/>
        </w:rPr>
        <w:t>how the costs of retail price decreases are distributed between producers and retailers</w:t>
      </w:r>
      <w:r w:rsidR="00AF4C7B">
        <w:rPr>
          <w:rFonts w:ascii="Times New Roman" w:hAnsi="Times New Roman" w:cs="Times New Roman"/>
          <w:lang w:val="en-US"/>
        </w:rPr>
        <w:t>.</w:t>
      </w:r>
      <w:r w:rsidR="00617CDD">
        <w:rPr>
          <w:rFonts w:ascii="Times New Roman" w:hAnsi="Times New Roman" w:cs="Times New Roman"/>
          <w:lang w:val="en-US"/>
        </w:rPr>
        <w:t xml:space="preserve"> What can be asserted </w:t>
      </w:r>
      <w:r w:rsidR="005A2F79">
        <w:rPr>
          <w:rFonts w:ascii="Times New Roman" w:hAnsi="Times New Roman" w:cs="Times New Roman"/>
          <w:lang w:val="en-US"/>
        </w:rPr>
        <w:t>with certainty</w:t>
      </w:r>
      <w:r w:rsidR="00617CDD">
        <w:rPr>
          <w:rFonts w:ascii="Times New Roman" w:hAnsi="Times New Roman" w:cs="Times New Roman"/>
          <w:lang w:val="en-US"/>
        </w:rPr>
        <w:t xml:space="preserve"> is that the strong degree of regulation and protection of the retail and agricultural sectors outlined above contribute </w:t>
      </w:r>
      <w:r w:rsidR="004C6BD4">
        <w:rPr>
          <w:rFonts w:ascii="Times New Roman" w:hAnsi="Times New Roman" w:cs="Times New Roman"/>
          <w:lang w:val="en-US"/>
        </w:rPr>
        <w:t>to Swiss food price stability by isolating the latter from international price fluctuations at the expense of very high domestic prices.</w:t>
      </w:r>
      <w:r w:rsidR="009C4A82">
        <w:rPr>
          <w:rFonts w:ascii="Times New Roman" w:hAnsi="Times New Roman" w:cs="Times New Roman"/>
          <w:lang w:val="en-US"/>
        </w:rPr>
        <w:t xml:space="preserve"> </w:t>
      </w:r>
    </w:p>
    <w:p w14:paraId="5FD01D35" w14:textId="4DC53CC6" w:rsidR="00AB1A05" w:rsidRDefault="00AB1A05" w:rsidP="00AB1A05">
      <w:pPr>
        <w:pStyle w:val="Titre2"/>
        <w:rPr>
          <w:lang w:val="en-US"/>
        </w:rPr>
      </w:pPr>
      <w:r>
        <w:rPr>
          <w:lang w:val="en-US"/>
        </w:rPr>
        <w:lastRenderedPageBreak/>
        <w:t>Energy sector</w:t>
      </w:r>
    </w:p>
    <w:p w14:paraId="274A2960" w14:textId="5D3644ED" w:rsidR="00C86307" w:rsidRDefault="00C86307" w:rsidP="009B2543">
      <w:pPr>
        <w:jc w:val="both"/>
        <w:rPr>
          <w:rFonts w:ascii="Times New Roman" w:hAnsi="Times New Roman" w:cs="Times New Roman"/>
          <w:lang w:val="en-US"/>
        </w:rPr>
      </w:pPr>
      <w:r>
        <w:rPr>
          <w:rFonts w:ascii="Times New Roman" w:hAnsi="Times New Roman" w:cs="Times New Roman"/>
          <w:lang w:val="en-US"/>
        </w:rPr>
        <w:t xml:space="preserve">Another systemically significant sector which deserves close attention is the Electricity </w:t>
      </w:r>
      <w:r w:rsidR="00AB1A05">
        <w:rPr>
          <w:rFonts w:ascii="Times New Roman" w:hAnsi="Times New Roman" w:cs="Times New Roman"/>
          <w:lang w:val="en-US"/>
        </w:rPr>
        <w:t>&amp;</w:t>
      </w:r>
      <w:r>
        <w:rPr>
          <w:rFonts w:ascii="Times New Roman" w:hAnsi="Times New Roman" w:cs="Times New Roman"/>
          <w:lang w:val="en-US"/>
        </w:rPr>
        <w:t xml:space="preserve"> Gas sector</w:t>
      </w:r>
      <w:r w:rsidR="00AB1A05">
        <w:rPr>
          <w:rFonts w:ascii="Times New Roman" w:hAnsi="Times New Roman" w:cs="Times New Roman"/>
          <w:lang w:val="en-US"/>
        </w:rPr>
        <w:t xml:space="preserve"> and more generally the energy sector</w:t>
      </w:r>
      <w:r w:rsidR="00760A60">
        <w:rPr>
          <w:rFonts w:ascii="Times New Roman" w:hAnsi="Times New Roman" w:cs="Times New Roman"/>
          <w:lang w:val="en-US"/>
        </w:rPr>
        <w:t xml:space="preserve">. </w:t>
      </w:r>
    </w:p>
    <w:p w14:paraId="3FC57EFE" w14:textId="63166EAF" w:rsidR="00CB706E" w:rsidRPr="00CB706E" w:rsidRDefault="00CB706E" w:rsidP="00CB706E">
      <w:pPr>
        <w:jc w:val="both"/>
        <w:rPr>
          <w:rFonts w:ascii="Times New Roman" w:hAnsi="Times New Roman" w:cs="Times New Roman"/>
          <w:lang w:val="en-US"/>
        </w:rPr>
      </w:pPr>
      <w:r w:rsidRPr="00CB706E">
        <w:rPr>
          <w:rFonts w:ascii="Times New Roman" w:hAnsi="Times New Roman" w:cs="Times New Roman"/>
          <w:lang w:val="en-US"/>
        </w:rPr>
        <w:t>Fluctuations in oil and natural gas prices rank among the most powerful drivers of consumer price inflation. As fossil fuels constitute a critical intermediate input in the production of a wide range of goods and services, energy price shocks propagate rapidly through value chains and into the broader price level. The supply disruptions triggered by the COVID-19 pandemic and, more forcefully, by the Russian invasion of Ukraine, were instrumental in the resurgence of inflation across Europe from 2021 onwards.</w:t>
      </w:r>
    </w:p>
    <w:p w14:paraId="6F61C32F" w14:textId="30F9D23B" w:rsidR="00CB706E" w:rsidRPr="00CB706E" w:rsidRDefault="00CB706E" w:rsidP="00CB706E">
      <w:pPr>
        <w:jc w:val="both"/>
        <w:rPr>
          <w:rFonts w:ascii="Times New Roman" w:hAnsi="Times New Roman" w:cs="Times New Roman"/>
          <w:lang w:val="en-US"/>
        </w:rPr>
      </w:pPr>
      <w:r w:rsidRPr="00CB706E">
        <w:rPr>
          <w:rFonts w:ascii="Times New Roman" w:hAnsi="Times New Roman" w:cs="Times New Roman"/>
          <w:lang w:val="en-US"/>
        </w:rPr>
        <w:t>Switzerland's comparatively limited dependence on fossil fuels</w:t>
      </w:r>
      <w:r>
        <w:rPr>
          <w:rFonts w:ascii="Times New Roman" w:hAnsi="Times New Roman" w:cs="Times New Roman"/>
          <w:lang w:val="en-US"/>
        </w:rPr>
        <w:t xml:space="preserve">, </w:t>
      </w:r>
      <w:r w:rsidRPr="00CB706E">
        <w:rPr>
          <w:rFonts w:ascii="Times New Roman" w:hAnsi="Times New Roman" w:cs="Times New Roman"/>
          <w:lang w:val="en-US"/>
        </w:rPr>
        <w:t>owing to its substantial reliance on hydroelectric and nuclear power generation</w:t>
      </w:r>
      <w:r>
        <w:rPr>
          <w:rFonts w:ascii="Times New Roman" w:hAnsi="Times New Roman" w:cs="Times New Roman"/>
          <w:lang w:val="en-US"/>
        </w:rPr>
        <w:t>,</w:t>
      </w:r>
      <w:r w:rsidRPr="00CB706E">
        <w:rPr>
          <w:rFonts w:ascii="Times New Roman" w:hAnsi="Times New Roman" w:cs="Times New Roman"/>
          <w:lang w:val="en-US"/>
        </w:rPr>
        <w:t xml:space="preserve"> implies that energy price shocks transmit less forcefully to domestic consumer prices than in more fossil-fuel-dependent economies. This structural characteristic provides a natural buffer against the kind of cost-push dynamics that drove the post-pandemic inflation episode across much of the continent.</w:t>
      </w:r>
    </w:p>
    <w:p w14:paraId="582C3B17" w14:textId="45BF9DD3" w:rsidR="00CB706E" w:rsidRPr="00CB706E" w:rsidRDefault="00CB706E" w:rsidP="00CB706E">
      <w:pPr>
        <w:jc w:val="both"/>
        <w:rPr>
          <w:rFonts w:ascii="Times New Roman" w:hAnsi="Times New Roman" w:cs="Times New Roman"/>
          <w:lang w:val="en-US"/>
        </w:rPr>
      </w:pPr>
      <w:r w:rsidRPr="00CB706E">
        <w:rPr>
          <w:rFonts w:ascii="Times New Roman" w:hAnsi="Times New Roman" w:cs="Times New Roman"/>
          <w:lang w:val="en-US"/>
        </w:rPr>
        <w:t>While this explanation is intuitively compelling, it is complicated by the observation that several countries with even greener energy mixes, Iceland, Sweden, Norway, and Finland, nonetheless experienced higher inflation rates than Switzerland. The relevant distinguishing factor appears to be institutional rather than merely technical: Switzerland operates a regulated public energy market that anchors electricity and energy retail prices to domestic production costs. By contrast, the Nordic countries, despite their predominantly renewable generation capacity, are integrated into the European internal energy market, where prices are set at the marginal cost of the most expensive dispatched source, typically imported gas or coal. Their generation is low-carbon, but the price of that energy is nonetheless aligned with fossil fuel benchmarks. Switzerland's institutional insulation from this pricing mechanism provides an additional anti-inflationary buffer that a green energy mix alone cannot replicate.</w:t>
      </w:r>
    </w:p>
    <w:p w14:paraId="29C9A309" w14:textId="6ACDB697" w:rsidR="00CB706E" w:rsidRPr="00E716A4" w:rsidRDefault="00CB706E" w:rsidP="00CB706E">
      <w:pPr>
        <w:jc w:val="both"/>
        <w:rPr>
          <w:rFonts w:ascii="Times New Roman" w:hAnsi="Times New Roman" w:cs="Times New Roman"/>
          <w:lang w:val="en-US"/>
        </w:rPr>
      </w:pPr>
      <w:r w:rsidRPr="00CB706E">
        <w:rPr>
          <w:rFonts w:ascii="Times New Roman" w:hAnsi="Times New Roman" w:cs="Times New Roman"/>
          <w:lang w:val="en-US"/>
        </w:rPr>
        <w:t xml:space="preserve">A further dimension of this hypothesis concerns energy intensity. Switzerland ranks as the advanced economy with the lowest energy intensity of production, consuming exceptionally little energy per unit of gross value added. Low energy intensity implies that supply-side price shocks translate less directly into consumer price inflation and propagate less extensively through domestic value chains. A recent study by the State Secretariat for Economic Affairs (SECO) confirms that this efficiency advantage is pervasive across all sectors of the Swiss economy, agriculture, industry, services, and households alike. Swiss manufacturing, for instance, consumes less than one-third of the energy used in French manufacturing and less than half of that used in German manufacturing per unit of gross value added. This structural advantage has been further reinforced since 2010 by the expansion of the pharmaceutical sector, which is </w:t>
      </w:r>
      <w:r w:rsidR="00957440" w:rsidRPr="00CB706E">
        <w:rPr>
          <w:rFonts w:ascii="Times New Roman" w:hAnsi="Times New Roman" w:cs="Times New Roman"/>
          <w:lang w:val="en-US"/>
        </w:rPr>
        <w:t>characterized</w:t>
      </w:r>
      <w:r w:rsidRPr="00CB706E">
        <w:rPr>
          <w:rFonts w:ascii="Times New Roman" w:hAnsi="Times New Roman" w:cs="Times New Roman"/>
          <w:lang w:val="en-US"/>
        </w:rPr>
        <w:t xml:space="preserve"> by relatively low energy intensity and whose share of Swiss manufacturing value added rose from 15% to 31% between 2010 and 2019.</w:t>
      </w:r>
    </w:p>
    <w:sectPr w:rsidR="00CB706E" w:rsidRPr="00E716A4">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052E1" w14:textId="77777777" w:rsidR="004317D5" w:rsidRDefault="004317D5" w:rsidP="00D70947">
      <w:pPr>
        <w:spacing w:after="0" w:line="240" w:lineRule="auto"/>
      </w:pPr>
      <w:r>
        <w:separator/>
      </w:r>
    </w:p>
  </w:endnote>
  <w:endnote w:type="continuationSeparator" w:id="0">
    <w:p w14:paraId="0946423A" w14:textId="77777777" w:rsidR="004317D5" w:rsidRDefault="004317D5"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F9EF1" w14:textId="77777777" w:rsidR="004317D5" w:rsidRDefault="004317D5" w:rsidP="00D70947">
      <w:pPr>
        <w:spacing w:after="0" w:line="240" w:lineRule="auto"/>
      </w:pPr>
      <w:r>
        <w:separator/>
      </w:r>
    </w:p>
  </w:footnote>
  <w:footnote w:type="continuationSeparator" w:id="0">
    <w:p w14:paraId="66BA9D65" w14:textId="77777777" w:rsidR="004317D5" w:rsidRDefault="004317D5"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xml:space="preserve">, 40 bd du Pont </w:t>
      </w:r>
      <w:proofErr w:type="spellStart"/>
      <w:r w:rsidRPr="006F4A9E">
        <w:rPr>
          <w:rFonts w:ascii="Times New Roman" w:hAnsi="Times New Roman" w:cs="Times New Roman"/>
          <w:lang w:val="en-US"/>
        </w:rPr>
        <w:t>d'Arve</w:t>
      </w:r>
      <w:proofErr w:type="spellEnd"/>
      <w:r w:rsidRPr="006F4A9E">
        <w:rPr>
          <w:rFonts w:ascii="Times New Roman" w:hAnsi="Times New Roman" w:cs="Times New Roman"/>
          <w:lang w:val="en-US"/>
        </w:rPr>
        <w:t>,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 w:id="5">
    <w:p w14:paraId="4B3144FF" w14:textId="3A0B68A7" w:rsidR="00601042" w:rsidRPr="003145C5" w:rsidRDefault="00601042">
      <w:pPr>
        <w:pStyle w:val="Notedebasdepage"/>
        <w:rPr>
          <w:rFonts w:ascii="Times New Roman" w:hAnsi="Times New Roman" w:cs="Times New Roman"/>
          <w:lang w:val="en-US"/>
        </w:rPr>
      </w:pPr>
      <w:r w:rsidRPr="003145C5">
        <w:rPr>
          <w:rStyle w:val="Appelnotedebasdep"/>
          <w:rFonts w:ascii="Times New Roman" w:hAnsi="Times New Roman" w:cs="Times New Roman"/>
        </w:rPr>
        <w:footnoteRef/>
      </w:r>
      <w:r w:rsidRPr="003145C5">
        <w:rPr>
          <w:rFonts w:ascii="Times New Roman" w:hAnsi="Times New Roman" w:cs="Times New Roman"/>
          <w:lang w:val="en-US"/>
        </w:rPr>
        <w:t xml:space="preserve"> Unfortunately, it was not possible to use each sector price volatility since such data are not available at the sectoral level in Switzerland.</w:t>
      </w:r>
      <w:r w:rsidR="00DE219B" w:rsidRPr="003145C5">
        <w:rPr>
          <w:rFonts w:ascii="Times New Roman" w:hAnsi="Times New Roman" w:cs="Times New Roman"/>
          <w:lang w:val="en-US"/>
        </w:rPr>
        <w:t xml:space="preserve"> We thus had to resort to simple unit price shocks.</w:t>
      </w:r>
    </w:p>
  </w:footnote>
  <w:footnote w:id="6">
    <w:p w14:paraId="372B07FF" w14:textId="0C37FB54" w:rsidR="00FE4CA3" w:rsidRPr="00FE4CA3" w:rsidRDefault="00FE4CA3">
      <w:pPr>
        <w:pStyle w:val="Notedebasdepage"/>
        <w:rPr>
          <w:rFonts w:ascii="Times New Roman" w:hAnsi="Times New Roman" w:cs="Times New Roman"/>
          <w:lang w:val="en-US"/>
        </w:rPr>
      </w:pPr>
      <w:r w:rsidRPr="00FE4CA3">
        <w:rPr>
          <w:rStyle w:val="Appelnotedebasdep"/>
          <w:rFonts w:ascii="Times New Roman" w:hAnsi="Times New Roman" w:cs="Times New Roman"/>
        </w:rPr>
        <w:footnoteRef/>
      </w:r>
      <w:r w:rsidRPr="00FE4CA3">
        <w:rPr>
          <w:rFonts w:ascii="Times New Roman" w:hAnsi="Times New Roman" w:cs="Times New Roman"/>
          <w:lang w:val="en-US"/>
        </w:rPr>
        <w:t xml:space="preserve"> For instance: </w:t>
      </w:r>
      <w:proofErr w:type="spellStart"/>
      <w:r w:rsidRPr="00FE4CA3">
        <w:rPr>
          <w:rFonts w:ascii="Times New Roman" w:hAnsi="Times New Roman" w:cs="Times New Roman"/>
          <w:lang w:val="en-US"/>
        </w:rPr>
        <w:t>SportX</w:t>
      </w:r>
      <w:proofErr w:type="spellEnd"/>
      <w:r w:rsidRPr="00FE4CA3">
        <w:rPr>
          <w:rFonts w:ascii="Times New Roman" w:hAnsi="Times New Roman" w:cs="Times New Roman"/>
          <w:lang w:val="en-US"/>
        </w:rPr>
        <w:t xml:space="preserve">, </w:t>
      </w:r>
      <w:proofErr w:type="spellStart"/>
      <w:r w:rsidRPr="00FE4CA3">
        <w:rPr>
          <w:rFonts w:ascii="Times New Roman" w:hAnsi="Times New Roman" w:cs="Times New Roman"/>
          <w:lang w:val="en-US"/>
        </w:rPr>
        <w:t>Micasa</w:t>
      </w:r>
      <w:proofErr w:type="spellEnd"/>
      <w:r w:rsidRPr="00FE4CA3">
        <w:rPr>
          <w:rFonts w:ascii="Times New Roman" w:hAnsi="Times New Roman" w:cs="Times New Roman"/>
          <w:lang w:val="en-US"/>
        </w:rPr>
        <w:t xml:space="preserve"> and </w:t>
      </w:r>
      <w:proofErr w:type="spellStart"/>
      <w:r w:rsidRPr="00FE4CA3">
        <w:rPr>
          <w:rFonts w:ascii="Times New Roman" w:hAnsi="Times New Roman" w:cs="Times New Roman"/>
          <w:lang w:val="en-US"/>
        </w:rPr>
        <w:t>Melectronics</w:t>
      </w:r>
      <w:proofErr w:type="spellEnd"/>
      <w:r w:rsidRPr="00FE4CA3">
        <w:rPr>
          <w:rFonts w:ascii="Times New Roman" w:hAnsi="Times New Roman" w:cs="Times New Roman"/>
          <w:lang w:val="en-US"/>
        </w:rPr>
        <w:t xml:space="preserve"> (a sports retailer, a furniture retailer, and an electronics retailer)</w:t>
      </w:r>
    </w:p>
  </w:footnote>
  <w:footnote w:id="7">
    <w:p w14:paraId="27005233" w14:textId="20321569" w:rsidR="00E56851" w:rsidRPr="00E56851" w:rsidRDefault="00E56851">
      <w:pPr>
        <w:pStyle w:val="Notedebasdepage"/>
        <w:rPr>
          <w:lang w:val="en-US"/>
        </w:rPr>
      </w:pPr>
      <w:r>
        <w:rPr>
          <w:rStyle w:val="Appelnotedebasdep"/>
        </w:rPr>
        <w:footnoteRef/>
      </w:r>
      <w:r w:rsidRPr="00E56851">
        <w:rPr>
          <w:lang w:val="en-US"/>
        </w:rPr>
        <w:t xml:space="preserve"> </w:t>
      </w:r>
      <w:r>
        <w:fldChar w:fldCharType="begin"/>
      </w:r>
      <w:r w:rsidRPr="00C86307">
        <w:rPr>
          <w:lang w:val="en-US"/>
        </w:rPr>
        <w:instrText>HYPERLINK "https://www.rts.ch/info/economie/14379498-les-marges-spectaculaires-des-grands-distributeurs-coop-et-migros.html"</w:instrText>
      </w:r>
      <w:r>
        <w:fldChar w:fldCharType="separate"/>
      </w:r>
      <w:r w:rsidRPr="001625E4">
        <w:rPr>
          <w:rStyle w:val="Lienhypertexte"/>
          <w:lang w:val="en-US"/>
        </w:rPr>
        <w:t>https://www.rts.ch/info/economie/14379498-les-marges-spectaculaires-des-grands-distributeurs-coop-et-migros.html</w:t>
      </w:r>
      <w:r>
        <w:fldChar w:fldCharType="end"/>
      </w:r>
      <w:r>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1764"/>
    <w:rsid w:val="0000307C"/>
    <w:rsid w:val="00012DD0"/>
    <w:rsid w:val="00014443"/>
    <w:rsid w:val="000166AF"/>
    <w:rsid w:val="000233AD"/>
    <w:rsid w:val="000259BE"/>
    <w:rsid w:val="000340CA"/>
    <w:rsid w:val="0007161F"/>
    <w:rsid w:val="00075FFF"/>
    <w:rsid w:val="00092DB5"/>
    <w:rsid w:val="000957F4"/>
    <w:rsid w:val="00097824"/>
    <w:rsid w:val="000A1964"/>
    <w:rsid w:val="000A3EB5"/>
    <w:rsid w:val="000B4794"/>
    <w:rsid w:val="000C20B8"/>
    <w:rsid w:val="000F1D1E"/>
    <w:rsid w:val="000F4C69"/>
    <w:rsid w:val="00115561"/>
    <w:rsid w:val="0012669B"/>
    <w:rsid w:val="0012738A"/>
    <w:rsid w:val="00137CCC"/>
    <w:rsid w:val="00143EF6"/>
    <w:rsid w:val="00155A77"/>
    <w:rsid w:val="00171C56"/>
    <w:rsid w:val="00190688"/>
    <w:rsid w:val="00196BC1"/>
    <w:rsid w:val="001A5211"/>
    <w:rsid w:val="001A5326"/>
    <w:rsid w:val="001A7212"/>
    <w:rsid w:val="001B22E1"/>
    <w:rsid w:val="001B2C57"/>
    <w:rsid w:val="001C24FA"/>
    <w:rsid w:val="001E42B1"/>
    <w:rsid w:val="001E6524"/>
    <w:rsid w:val="00223CBF"/>
    <w:rsid w:val="00230A8D"/>
    <w:rsid w:val="00234C9B"/>
    <w:rsid w:val="0024588A"/>
    <w:rsid w:val="002516BD"/>
    <w:rsid w:val="002644FF"/>
    <w:rsid w:val="00281FCA"/>
    <w:rsid w:val="00295847"/>
    <w:rsid w:val="002B302B"/>
    <w:rsid w:val="002B6FB4"/>
    <w:rsid w:val="002E37E1"/>
    <w:rsid w:val="002E6801"/>
    <w:rsid w:val="003051C7"/>
    <w:rsid w:val="003145C5"/>
    <w:rsid w:val="0032214C"/>
    <w:rsid w:val="00330145"/>
    <w:rsid w:val="00341512"/>
    <w:rsid w:val="00345D2C"/>
    <w:rsid w:val="00351431"/>
    <w:rsid w:val="003577A6"/>
    <w:rsid w:val="00362EE1"/>
    <w:rsid w:val="00365D58"/>
    <w:rsid w:val="00367A16"/>
    <w:rsid w:val="00374DB7"/>
    <w:rsid w:val="00374EE4"/>
    <w:rsid w:val="00376855"/>
    <w:rsid w:val="00395A91"/>
    <w:rsid w:val="003B2778"/>
    <w:rsid w:val="003C705A"/>
    <w:rsid w:val="003D17CD"/>
    <w:rsid w:val="003E1AB4"/>
    <w:rsid w:val="003E4351"/>
    <w:rsid w:val="003E64AA"/>
    <w:rsid w:val="003F65D8"/>
    <w:rsid w:val="0042672D"/>
    <w:rsid w:val="004304AD"/>
    <w:rsid w:val="004317D5"/>
    <w:rsid w:val="004417A5"/>
    <w:rsid w:val="00444C00"/>
    <w:rsid w:val="00451E92"/>
    <w:rsid w:val="00470CA7"/>
    <w:rsid w:val="004772A4"/>
    <w:rsid w:val="004B46A3"/>
    <w:rsid w:val="004B7B56"/>
    <w:rsid w:val="004C06E2"/>
    <w:rsid w:val="004C6BD4"/>
    <w:rsid w:val="004D6623"/>
    <w:rsid w:val="004D6AD9"/>
    <w:rsid w:val="004E308E"/>
    <w:rsid w:val="004E617C"/>
    <w:rsid w:val="004F14DE"/>
    <w:rsid w:val="004F24B3"/>
    <w:rsid w:val="004F583C"/>
    <w:rsid w:val="00505858"/>
    <w:rsid w:val="005153D1"/>
    <w:rsid w:val="0052034E"/>
    <w:rsid w:val="00530576"/>
    <w:rsid w:val="00531A14"/>
    <w:rsid w:val="00533033"/>
    <w:rsid w:val="005411B9"/>
    <w:rsid w:val="00554F3C"/>
    <w:rsid w:val="0057548B"/>
    <w:rsid w:val="0058130A"/>
    <w:rsid w:val="005877A1"/>
    <w:rsid w:val="00595F0E"/>
    <w:rsid w:val="005A2F79"/>
    <w:rsid w:val="005A6BD4"/>
    <w:rsid w:val="005B6498"/>
    <w:rsid w:val="005C4623"/>
    <w:rsid w:val="005C600E"/>
    <w:rsid w:val="005F3729"/>
    <w:rsid w:val="005F5B75"/>
    <w:rsid w:val="00601042"/>
    <w:rsid w:val="00611046"/>
    <w:rsid w:val="00617CDD"/>
    <w:rsid w:val="00625A05"/>
    <w:rsid w:val="006313A5"/>
    <w:rsid w:val="006457CF"/>
    <w:rsid w:val="006536DC"/>
    <w:rsid w:val="00660AF4"/>
    <w:rsid w:val="00661855"/>
    <w:rsid w:val="006751FA"/>
    <w:rsid w:val="006B0B95"/>
    <w:rsid w:val="006B167C"/>
    <w:rsid w:val="006E07E4"/>
    <w:rsid w:val="006F4A9E"/>
    <w:rsid w:val="0071064F"/>
    <w:rsid w:val="00710E8A"/>
    <w:rsid w:val="00723F4E"/>
    <w:rsid w:val="00727296"/>
    <w:rsid w:val="00734E09"/>
    <w:rsid w:val="00744192"/>
    <w:rsid w:val="007465F7"/>
    <w:rsid w:val="00747538"/>
    <w:rsid w:val="00760A60"/>
    <w:rsid w:val="007623AE"/>
    <w:rsid w:val="00766BC6"/>
    <w:rsid w:val="00785484"/>
    <w:rsid w:val="00795A39"/>
    <w:rsid w:val="00797B62"/>
    <w:rsid w:val="007A5B50"/>
    <w:rsid w:val="007A65E0"/>
    <w:rsid w:val="007B0599"/>
    <w:rsid w:val="007B1F6B"/>
    <w:rsid w:val="007C1001"/>
    <w:rsid w:val="007C2881"/>
    <w:rsid w:val="007C4BFE"/>
    <w:rsid w:val="007D40EB"/>
    <w:rsid w:val="007F2DA8"/>
    <w:rsid w:val="00800352"/>
    <w:rsid w:val="00805731"/>
    <w:rsid w:val="008141DF"/>
    <w:rsid w:val="0082344D"/>
    <w:rsid w:val="00835098"/>
    <w:rsid w:val="00835200"/>
    <w:rsid w:val="0084116B"/>
    <w:rsid w:val="008415D0"/>
    <w:rsid w:val="00851C11"/>
    <w:rsid w:val="008614C6"/>
    <w:rsid w:val="0086370E"/>
    <w:rsid w:val="008A6600"/>
    <w:rsid w:val="008D1618"/>
    <w:rsid w:val="008D4D65"/>
    <w:rsid w:val="008E109A"/>
    <w:rsid w:val="0092265D"/>
    <w:rsid w:val="0093727A"/>
    <w:rsid w:val="00951BCA"/>
    <w:rsid w:val="009529A2"/>
    <w:rsid w:val="009538D7"/>
    <w:rsid w:val="00957440"/>
    <w:rsid w:val="00957F4A"/>
    <w:rsid w:val="009720C9"/>
    <w:rsid w:val="009725E1"/>
    <w:rsid w:val="00973A99"/>
    <w:rsid w:val="00976096"/>
    <w:rsid w:val="009807FE"/>
    <w:rsid w:val="00984592"/>
    <w:rsid w:val="00987B34"/>
    <w:rsid w:val="009A0225"/>
    <w:rsid w:val="009A1F75"/>
    <w:rsid w:val="009B2543"/>
    <w:rsid w:val="009B6415"/>
    <w:rsid w:val="009C4A82"/>
    <w:rsid w:val="009D2E57"/>
    <w:rsid w:val="009D38B0"/>
    <w:rsid w:val="009E1D58"/>
    <w:rsid w:val="009E2899"/>
    <w:rsid w:val="009F39BC"/>
    <w:rsid w:val="009F47F8"/>
    <w:rsid w:val="00A1502D"/>
    <w:rsid w:val="00A20324"/>
    <w:rsid w:val="00A37CC7"/>
    <w:rsid w:val="00A41042"/>
    <w:rsid w:val="00A44345"/>
    <w:rsid w:val="00A47BD9"/>
    <w:rsid w:val="00A54AA6"/>
    <w:rsid w:val="00A81DA5"/>
    <w:rsid w:val="00A94032"/>
    <w:rsid w:val="00A95995"/>
    <w:rsid w:val="00A977E0"/>
    <w:rsid w:val="00AA3CEC"/>
    <w:rsid w:val="00AB1A05"/>
    <w:rsid w:val="00AB6362"/>
    <w:rsid w:val="00AC2D5F"/>
    <w:rsid w:val="00AC3DE0"/>
    <w:rsid w:val="00AD1A15"/>
    <w:rsid w:val="00AF3EEB"/>
    <w:rsid w:val="00AF4C7B"/>
    <w:rsid w:val="00AF66F5"/>
    <w:rsid w:val="00B02988"/>
    <w:rsid w:val="00B145AD"/>
    <w:rsid w:val="00B2443E"/>
    <w:rsid w:val="00B25AD4"/>
    <w:rsid w:val="00B3283F"/>
    <w:rsid w:val="00B464A8"/>
    <w:rsid w:val="00B5790D"/>
    <w:rsid w:val="00B700A9"/>
    <w:rsid w:val="00B70C7D"/>
    <w:rsid w:val="00B726CF"/>
    <w:rsid w:val="00B75A8D"/>
    <w:rsid w:val="00B84956"/>
    <w:rsid w:val="00BA338D"/>
    <w:rsid w:val="00BC1676"/>
    <w:rsid w:val="00BC64DD"/>
    <w:rsid w:val="00BD6014"/>
    <w:rsid w:val="00BE0CA2"/>
    <w:rsid w:val="00BF317D"/>
    <w:rsid w:val="00BF5280"/>
    <w:rsid w:val="00C044BD"/>
    <w:rsid w:val="00C17663"/>
    <w:rsid w:val="00C20063"/>
    <w:rsid w:val="00C208E6"/>
    <w:rsid w:val="00C27A7E"/>
    <w:rsid w:val="00C35F3B"/>
    <w:rsid w:val="00C570BE"/>
    <w:rsid w:val="00C841C2"/>
    <w:rsid w:val="00C86307"/>
    <w:rsid w:val="00C87B96"/>
    <w:rsid w:val="00CA670A"/>
    <w:rsid w:val="00CB706E"/>
    <w:rsid w:val="00CE6245"/>
    <w:rsid w:val="00CF16D5"/>
    <w:rsid w:val="00D06690"/>
    <w:rsid w:val="00D10F6C"/>
    <w:rsid w:val="00D22FC2"/>
    <w:rsid w:val="00D24519"/>
    <w:rsid w:val="00D266D1"/>
    <w:rsid w:val="00D2720F"/>
    <w:rsid w:val="00D31916"/>
    <w:rsid w:val="00D54014"/>
    <w:rsid w:val="00D56334"/>
    <w:rsid w:val="00D65FC2"/>
    <w:rsid w:val="00D708F9"/>
    <w:rsid w:val="00D70947"/>
    <w:rsid w:val="00D90320"/>
    <w:rsid w:val="00D9479F"/>
    <w:rsid w:val="00D97B8E"/>
    <w:rsid w:val="00DA2059"/>
    <w:rsid w:val="00DC67B1"/>
    <w:rsid w:val="00DD0F7F"/>
    <w:rsid w:val="00DD2D62"/>
    <w:rsid w:val="00DE219B"/>
    <w:rsid w:val="00DE3002"/>
    <w:rsid w:val="00E02A9F"/>
    <w:rsid w:val="00E0438E"/>
    <w:rsid w:val="00E12D4F"/>
    <w:rsid w:val="00E14A52"/>
    <w:rsid w:val="00E23A7B"/>
    <w:rsid w:val="00E33023"/>
    <w:rsid w:val="00E427EE"/>
    <w:rsid w:val="00E43F5C"/>
    <w:rsid w:val="00E46E24"/>
    <w:rsid w:val="00E50993"/>
    <w:rsid w:val="00E54D69"/>
    <w:rsid w:val="00E56851"/>
    <w:rsid w:val="00E67A87"/>
    <w:rsid w:val="00E71045"/>
    <w:rsid w:val="00E716A4"/>
    <w:rsid w:val="00E85829"/>
    <w:rsid w:val="00E96BB6"/>
    <w:rsid w:val="00EA6EF6"/>
    <w:rsid w:val="00EB01A0"/>
    <w:rsid w:val="00EB0B32"/>
    <w:rsid w:val="00EB26C4"/>
    <w:rsid w:val="00EF5C5B"/>
    <w:rsid w:val="00F121EC"/>
    <w:rsid w:val="00F30EDB"/>
    <w:rsid w:val="00F31C75"/>
    <w:rsid w:val="00F44AF7"/>
    <w:rsid w:val="00F516CC"/>
    <w:rsid w:val="00F55701"/>
    <w:rsid w:val="00F575D3"/>
    <w:rsid w:val="00F65685"/>
    <w:rsid w:val="00F86060"/>
    <w:rsid w:val="00FA2096"/>
    <w:rsid w:val="00FC6D1E"/>
    <w:rsid w:val="00FD583F"/>
    <w:rsid w:val="00FE209F"/>
    <w:rsid w:val="00FE4CA3"/>
    <w:rsid w:val="00FE7869"/>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 w:type="character" w:styleId="Lienhypertexte">
    <w:name w:val="Hyperlink"/>
    <w:basedOn w:val="Policepardfaut"/>
    <w:uiPriority w:val="99"/>
    <w:unhideWhenUsed/>
    <w:rsid w:val="002E37E1"/>
    <w:rPr>
      <w:color w:val="467886" w:themeColor="hyperlink"/>
      <w:u w:val="single"/>
    </w:rPr>
  </w:style>
  <w:style w:type="character" w:styleId="Mentionnonrsolue">
    <w:name w:val="Unresolved Mention"/>
    <w:basedOn w:val="Policepardfaut"/>
    <w:uiPriority w:val="99"/>
    <w:semiHidden/>
    <w:unhideWhenUsed/>
    <w:rsid w:val="002E3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2772</TotalTime>
  <Pages>11</Pages>
  <Words>14263</Words>
  <Characters>78451</Characters>
  <Application>Microsoft Office Word</Application>
  <DocSecurity>0</DocSecurity>
  <Lines>653</Lines>
  <Paragraphs>185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55</cp:revision>
  <cp:lastPrinted>2026-07-16T10:23:00Z</cp:lastPrinted>
  <dcterms:created xsi:type="dcterms:W3CDTF">2026-07-13T08:57:00Z</dcterms:created>
  <dcterms:modified xsi:type="dcterms:W3CDTF">2026-08-05T14:31:00Z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id="GSBh1CbJ"/&gt;&lt;style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