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r w:rsidRPr="00CF16D5">
        <w:rPr>
          <w:rStyle w:val="normaltextrun"/>
          <w:rFonts w:eastAsiaTheme="majorEastAsia"/>
        </w:rPr>
        <w:t>Celâl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3A8C6239"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 xml:space="preserve">In the context of more frequent supply shocks, we assess the factors behind the relative </w:t>
      </w:r>
      <w:r w:rsidR="00001764">
        <w:rPr>
          <w:rStyle w:val="eop"/>
          <w:rFonts w:eastAsiaTheme="majorEastAsia"/>
          <w:lang w:val="en-US"/>
        </w:rPr>
        <w:t>resistance of Switzerland to cost-push inflation</w:t>
      </w:r>
      <w:r>
        <w:rPr>
          <w:rStyle w:val="eop"/>
          <w:rFonts w:eastAsiaTheme="majorEastAsia"/>
          <w:lang w:val="en-US"/>
        </w:rPr>
        <w:t>.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w:t>
      </w:r>
      <w:r w:rsidR="00001764">
        <w:rPr>
          <w:rStyle w:val="eop"/>
          <w:rFonts w:eastAsiaTheme="majorEastAsia"/>
          <w:lang w:val="en-US"/>
        </w:rPr>
        <w:t>of</w:t>
      </w:r>
      <w:r>
        <w:rPr>
          <w:rStyle w:val="eop"/>
          <w:rFonts w:eastAsiaTheme="majorEastAsia"/>
          <w:lang w:val="en-US"/>
        </w:rPr>
        <w:t xml:space="preserve">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3D57364C" w14:textId="2C6F023E" w:rsidR="008A2D69"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w:t>
      </w:r>
      <w:r w:rsidR="008A2D69">
        <w:rPr>
          <w:rFonts w:ascii="Times New Roman" w:hAnsi="Times New Roman" w:cs="Times New Roman"/>
          <w:lang w:val="en-US"/>
        </w:rPr>
        <w:t xml:space="preserve">As shown in figure 1, Swiss headline inflation rates are consistently lower than the </w:t>
      </w:r>
      <w:r w:rsidR="001A6327">
        <w:rPr>
          <w:rFonts w:ascii="Times New Roman" w:hAnsi="Times New Roman" w:cs="Times New Roman"/>
          <w:lang w:val="en-US"/>
        </w:rPr>
        <w:t xml:space="preserve">OECD and the United States. Whereas the Swiss economy was still subject to high inflation during the 70s and 80s, </w:t>
      </w:r>
      <w:r w:rsidR="00FC6519">
        <w:rPr>
          <w:rFonts w:ascii="Times New Roman" w:hAnsi="Times New Roman" w:cs="Times New Roman"/>
          <w:lang w:val="en-US"/>
        </w:rPr>
        <w:t xml:space="preserve">the long run tendency is characterized by a trend toward strong price stability, even deflation. The latter was particularly </w:t>
      </w:r>
      <w:r w:rsidR="00FC6519">
        <w:rPr>
          <w:rFonts w:ascii="Times New Roman" w:hAnsi="Times New Roman" w:cs="Times New Roman"/>
          <w:lang w:val="en-US"/>
        </w:rPr>
        <w:lastRenderedPageBreak/>
        <w:t>important after the Great Recession and became a policy issue during the 2010s, so much that the Swiss National Bank (SNB) introduced several unconventional monetary policies to fight deflationary pressures on the Swiss franc (more about the so-called “taux plancher” below). Among rich economies, only Japan has displayed such comparable deflationary trends.</w:t>
      </w:r>
      <w:r w:rsidR="001A6327">
        <w:rPr>
          <w:rFonts w:ascii="Times New Roman" w:hAnsi="Times New Roman" w:cs="Times New Roman"/>
          <w:lang w:val="en-US"/>
        </w:rPr>
        <w:t xml:space="preserve"> </w:t>
      </w:r>
    </w:p>
    <w:p w14:paraId="3CC35674" w14:textId="4842C5C6" w:rsidR="00941504" w:rsidRPr="006F4A9E" w:rsidRDefault="00785484" w:rsidP="00014443">
      <w:pPr>
        <w:jc w:val="both"/>
        <w:rPr>
          <w:rFonts w:ascii="Times New Roman" w:hAnsi="Times New Roman" w:cs="Times New Roman"/>
          <w:lang w:val="en-US"/>
        </w:rPr>
      </w:pPr>
      <w:r w:rsidRPr="006F4A9E">
        <w:rPr>
          <w:rFonts w:ascii="Times New Roman" w:hAnsi="Times New Roman" w:cs="Times New Roman"/>
          <w:lang w:val="en-US"/>
        </w:rPr>
        <w:t>At the same time, Switzerland has one of the highest price level</w:t>
      </w:r>
      <w:r w:rsidR="00CE6245" w:rsidRPr="006F4A9E">
        <w:rPr>
          <w:rFonts w:ascii="Times New Roman" w:hAnsi="Times New Roman" w:cs="Times New Roman"/>
          <w:lang w:val="en-US"/>
        </w:rPr>
        <w:t>s</w:t>
      </w:r>
      <w:r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Pr="006F4A9E">
        <w:rPr>
          <w:rFonts w:ascii="Times New Roman" w:hAnsi="Times New Roman" w:cs="Times New Roman"/>
          <w:lang w:val="en-US"/>
        </w:rPr>
        <w:fldChar w:fldCharType="separate"/>
      </w:r>
      <w:r w:rsidR="00C35F3B" w:rsidRPr="00C35F3B">
        <w:rPr>
          <w:rFonts w:ascii="Aptos" w:hAnsi="Aptos"/>
          <w:lang w:val="en-US"/>
        </w:rPr>
        <w:t>(Albouy and Bordes 2026)</w:t>
      </w:r>
      <w:r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r w:rsidR="00941504">
        <w:rPr>
          <w:noProof/>
        </w:rPr>
        <mc:AlternateContent>
          <mc:Choice Requires="wps">
            <w:drawing>
              <wp:anchor distT="0" distB="0" distL="114300" distR="114300" simplePos="0" relativeHeight="251663360" behindDoc="0" locked="0" layoutInCell="1" allowOverlap="1" wp14:anchorId="091B58C0" wp14:editId="17533DF0">
                <wp:simplePos x="0" y="0"/>
                <wp:positionH relativeFrom="column">
                  <wp:posOffset>-2540</wp:posOffset>
                </wp:positionH>
                <wp:positionV relativeFrom="paragraph">
                  <wp:posOffset>5816600</wp:posOffset>
                </wp:positionV>
                <wp:extent cx="5760720" cy="635"/>
                <wp:effectExtent l="0" t="0" r="0" b="0"/>
                <wp:wrapSquare wrapText="bothSides"/>
                <wp:docPr id="30623121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9B6B3CC" w14:textId="15F94112" w:rsidR="00941504" w:rsidRPr="003044C6" w:rsidRDefault="00941504" w:rsidP="00941504">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1</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Headline inflation rates in Switzerland since the 1960s compared to overall OECD countries average, Japan and the United States. Source: OECD Economic Outlook.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1B58C0" id="_x0000_t202" coordsize="21600,21600" o:spt="202" path="m,l,21600r21600,l21600,xe">
                <v:stroke joinstyle="miter"/>
                <v:path gradientshapeok="t" o:connecttype="rect"/>
              </v:shapetype>
              <v:shape id="Zone de texte 1" o:spid="_x0000_s1026" type="#_x0000_t202" style="position:absolute;left:0;text-align:left;margin-left:-.2pt;margin-top:458pt;width:453.6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" stroked="f">
                <v:textbox style="mso-fit-shape-to-text:t" inset="0,0,0,0">
                  <w:txbxContent>
                    <w:p w14:paraId="49B6B3CC" w14:textId="15F94112" w:rsidR="00941504" w:rsidRPr="003044C6" w:rsidRDefault="00941504" w:rsidP="00941504">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1</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Headline inflation rates in Switzerland since the 1960s compared to overall OECD countries average, Japan and the United States. Source: OECD Economic Outlook.</w:t>
                      </w:r>
                    </w:p>
                  </w:txbxContent>
                </v:textbox>
                <w10:wrap type="square"/>
              </v:shape>
            </w:pict>
          </mc:Fallback>
        </mc:AlternateContent>
      </w:r>
      <w:r w:rsidR="00941504">
        <w:rPr>
          <w:rFonts w:ascii="Times New Roman" w:hAnsi="Times New Roman" w:cs="Times New Roman"/>
          <w:noProof/>
          <w:lang w:val="en-US"/>
        </w:rPr>
        <w:drawing>
          <wp:anchor distT="0" distB="0" distL="114300" distR="114300" simplePos="0" relativeHeight="251661312" behindDoc="0" locked="0" layoutInCell="1" allowOverlap="1" wp14:anchorId="02FAADB5" wp14:editId="08B986DE">
            <wp:simplePos x="0" y="0"/>
            <wp:positionH relativeFrom="column">
              <wp:posOffset>-2540</wp:posOffset>
            </wp:positionH>
            <wp:positionV relativeFrom="paragraph">
              <wp:posOffset>-1270</wp:posOffset>
            </wp:positionV>
            <wp:extent cx="5760720" cy="5760720"/>
            <wp:effectExtent l="0" t="0" r="0" b="0"/>
            <wp:wrapSquare wrapText="bothSides"/>
            <wp:docPr id="17971126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anchor>
        </w:drawing>
      </w:r>
    </w:p>
    <w:p w14:paraId="5845D9C2" w14:textId="0FBBF77F" w:rsidR="008E109A"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 xml:space="preserve">around the return of inflation through an assessment of the </w:t>
      </w:r>
      <w:r w:rsidR="00EA6EF6" w:rsidRPr="006F4A9E">
        <w:rPr>
          <w:rFonts w:ascii="Times New Roman" w:hAnsi="Times New Roman" w:cs="Times New Roman"/>
          <w:lang w:val="en-US"/>
        </w:rPr>
        <w:lastRenderedPageBreak/>
        <w:t>institutional characteristics of the Swiss socio-economic model as well as its policy instruments which make it robust to inflation.</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w:t>
      </w:r>
      <w:r w:rsidR="00001764">
        <w:rPr>
          <w:rFonts w:ascii="Times New Roman" w:hAnsi="Times New Roman" w:cs="Times New Roman"/>
          <w:lang w:val="en-US"/>
        </w:rPr>
        <w:t xml:space="preserve"> such as maintaining strategic reserves and implementing buffer stock systems to fight price fluctuations</w:t>
      </w:r>
      <w:r w:rsidR="00C35F3B">
        <w:rPr>
          <w:rFonts w:ascii="Times New Roman" w:hAnsi="Times New Roman" w:cs="Times New Roman"/>
          <w:lang w:val="en-US"/>
        </w:rPr>
        <w:t xml:space="preserve">.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FC6519">
        <w:rPr>
          <w:rFonts w:ascii="Times New Roman" w:hAnsi="Times New Roman" w:cs="Times New Roman"/>
          <w:lang w:val="en-US"/>
        </w:rPr>
        <w:t xml:space="preserve"> </w:t>
      </w:r>
      <w:r w:rsidR="00001764">
        <w:rPr>
          <w:rFonts w:ascii="Times New Roman" w:hAnsi="Times New Roman" w:cs="Times New Roman"/>
          <w:lang w:val="en-US"/>
        </w:rPr>
        <w:t xml:space="preserve">With respect to unconventional policies, the Swiss economy is a particularly compelling case study. Despite its very conservative and monetarist central bank, </w:t>
      </w:r>
      <w:r w:rsidR="008E109A">
        <w:rPr>
          <w:rFonts w:ascii="Times New Roman" w:hAnsi="Times New Roman" w:cs="Times New Roman"/>
          <w:lang w:val="en-US"/>
        </w:rPr>
        <w:t>the Swiss economy is characterized by its very high share of administered prices in key sectors such as energy and transport, a feature which is often interpreted as a proof of active price control policy by the Swiss government. Switzerland is also one of the few European countries which actively maintain strategic reserves for key commodities</w:t>
      </w:r>
      <w:r w:rsidR="00FE7869">
        <w:rPr>
          <w:rFonts w:ascii="Times New Roman" w:hAnsi="Times New Roman" w:cs="Times New Roman"/>
          <w:lang w:val="en-US"/>
        </w:rPr>
        <w:t xml:space="preserve">. </w:t>
      </w:r>
    </w:p>
    <w:p w14:paraId="6DEBA3C1" w14:textId="260D2AE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FC6519">
        <w:rPr>
          <w:rFonts w:ascii="Times New Roman" w:hAnsi="Times New Roman" w:cs="Times New Roman"/>
          <w:lang w:val="en-US"/>
        </w:rPr>
        <w:t>sectors of the Swiss economy where oligopolistic power an</w:t>
      </w:r>
      <w:r w:rsidR="00B011C3">
        <w:rPr>
          <w:rFonts w:ascii="Times New Roman" w:hAnsi="Times New Roman" w:cs="Times New Roman"/>
          <w:lang w:val="en-US"/>
        </w:rPr>
        <w:t>d/or systemically significant prices rule.</w:t>
      </w:r>
    </w:p>
    <w:p w14:paraId="5E5B3F24" w14:textId="107C1DD1" w:rsidR="007C1001" w:rsidRPr="007C1001" w:rsidRDefault="007C1001" w:rsidP="007C1001">
      <w:pPr>
        <w:pStyle w:val="Titre1"/>
        <w:rPr>
          <w:lang w:val="en-US"/>
        </w:rPr>
      </w:pPr>
      <w:r>
        <w:rPr>
          <w:lang w:val="en-US"/>
        </w:rPr>
        <w:t>Literature Review</w:t>
      </w:r>
    </w:p>
    <w:p w14:paraId="253F78DC" w14:textId="0560949F"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w:t>
      </w:r>
      <w:r w:rsidR="00FE7869">
        <w:rPr>
          <w:rFonts w:ascii="Times New Roman" w:hAnsi="Times New Roman" w:cs="Times New Roman"/>
          <w:lang w:val="en-US"/>
        </w:rPr>
        <w:t xml:space="preserve">relative lower </w:t>
      </w:r>
      <w:r>
        <w:rPr>
          <w:rFonts w:ascii="Times New Roman" w:hAnsi="Times New Roman" w:cs="Times New Roman"/>
          <w:lang w:val="en-US"/>
        </w:rPr>
        <w:t>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0BCE141D"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lastRenderedPageBreak/>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6F43AC">
        <w:rPr>
          <w:rFonts w:ascii="Times New Roman" w:hAnsi="Times New Roman" w:cs="Times New Roman"/>
          <w:lang w:val="en-US"/>
        </w:rPr>
        <w:instrText xml:space="preserve"> ADDIN ZOTERO_ITEM CSL_CITATION {"citationID":"yyYfnqAE","properties":{"formattedCitation":"(Kluser 2025)","plainCitation":"(Kluser 2025)","noteIndex":0},"citationItems":[{"id":"9Bglxtz0/zGmPs3Oi","uris":["http://zotero.org/groups/6311349/items/X2AZ3UIB"],"itemData":{"id":6639,"type":"article-journal","abstract":"Cross-border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“taux plancher”)</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FE7869">
        <w:rPr>
          <w:rFonts w:ascii="Times New Roman" w:hAnsi="Times New Roman" w:cs="Times New Roman"/>
          <w:lang w:val="en-US"/>
        </w:rPr>
        <w:t>prevent</w:t>
      </w:r>
      <w:r w:rsidR="00766BC6" w:rsidRPr="00766BC6">
        <w:rPr>
          <w:rFonts w:ascii="Times New Roman" w:hAnsi="Times New Roman" w:cs="Times New Roman"/>
          <w:lang w:val="en-US"/>
        </w:rPr>
        <w:t xml:space="preserve">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labour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w:t>
      </w:r>
      <w:r w:rsidR="008D1618">
        <w:rPr>
          <w:rFonts w:ascii="Times New Roman" w:hAnsi="Times New Roman" w:cs="Times New Roman"/>
          <w:lang w:val="en-US"/>
        </w:rPr>
        <w:lastRenderedPageBreak/>
        <w:t>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labour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363C5CB2"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FE7869">
        <w:rPr>
          <w:rFonts w:ascii="Times New Roman" w:hAnsi="Times New Roman" w:cs="Times New Roman"/>
          <w:lang w:val="en-US"/>
        </w:rPr>
        <w:t>U</w:t>
      </w:r>
      <w:r w:rsidR="008A6600" w:rsidRPr="008A6600">
        <w:rPr>
          <w:rFonts w:ascii="Times New Roman" w:hAnsi="Times New Roman" w:cs="Times New Roman"/>
          <w:lang w:val="en-US"/>
        </w:rPr>
        <w:t>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w:t>
      </w:r>
      <w:r w:rsidR="00FE7869">
        <w:rPr>
          <w:rFonts w:ascii="Times New Roman" w:hAnsi="Times New Roman" w:cs="Times New Roman"/>
          <w:lang w:val="en-US"/>
        </w:rPr>
        <w:t>other</w:t>
      </w:r>
      <w:r w:rsidR="008A6600" w:rsidRPr="008A6600">
        <w:rPr>
          <w:rFonts w:ascii="Times New Roman" w:hAnsi="Times New Roman" w:cs="Times New Roman"/>
          <w:lang w:val="en-US"/>
        </w:rPr>
        <w:t xml:space="preserv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w:t>
      </w:r>
      <w:r w:rsidR="00D266D1">
        <w:rPr>
          <w:rFonts w:ascii="Times New Roman" w:hAnsi="Times New Roman" w:cs="Times New Roman"/>
          <w:lang w:val="en-US"/>
        </w:rPr>
        <w:lastRenderedPageBreak/>
        <w:t xml:space="preserve">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46A68733" w:rsidR="008614C6" w:rsidRDefault="008614C6" w:rsidP="008614C6">
      <w:pPr>
        <w:pStyle w:val="Titre1"/>
        <w:rPr>
          <w:lang w:val="en-US"/>
        </w:rPr>
      </w:pPr>
      <w:r>
        <w:rPr>
          <w:lang w:val="en-US"/>
        </w:rPr>
        <w:t>The role of price administration</w:t>
      </w:r>
      <w:r w:rsidR="00265EFF">
        <w:rPr>
          <w:lang w:val="en-US"/>
        </w:rPr>
        <w:t xml:space="preserve"> </w:t>
      </w:r>
      <w:r>
        <w:rPr>
          <w:lang w:val="en-US"/>
        </w:rPr>
        <w:t>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The results of their simulations of price shocks identified petroleum &amp; coal, oil &amp; gas as the most systemically significant prices considering their price volatility for the period 2000-2022, followed by other items such as food, farming, chemicals, 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t>
      </w:r>
      <w:r w:rsidR="009A0225">
        <w:rPr>
          <w:rFonts w:ascii="Times New Roman" w:hAnsi="Times New Roman" w:cs="Times New Roman"/>
          <w:lang w:val="en-US"/>
        </w:rPr>
        <w:lastRenderedPageBreak/>
        <w:t xml:space="preserve">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shockflation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23BF9726" w:rsidR="00365D58" w:rsidRDefault="00941504" w:rsidP="00365D58">
      <w:pPr>
        <w:jc w:val="both"/>
        <w:rPr>
          <w:rFonts w:ascii="Times New Roman" w:hAnsi="Times New Roman" w:cs="Times New Roman"/>
          <w:lang w:val="en-US"/>
        </w:rPr>
      </w:pPr>
      <w:r>
        <w:rPr>
          <w:noProof/>
        </w:rPr>
        <mc:AlternateContent>
          <mc:Choice Requires="wps">
            <w:drawing>
              <wp:anchor distT="0" distB="0" distL="114300" distR="114300" simplePos="0" relativeHeight="251665408" behindDoc="0" locked="0" layoutInCell="1" allowOverlap="1" wp14:anchorId="0816465A" wp14:editId="343FE65E">
                <wp:simplePos x="0" y="0"/>
                <wp:positionH relativeFrom="column">
                  <wp:posOffset>635</wp:posOffset>
                </wp:positionH>
                <wp:positionV relativeFrom="paragraph">
                  <wp:posOffset>5863590</wp:posOffset>
                </wp:positionV>
                <wp:extent cx="5759450" cy="635"/>
                <wp:effectExtent l="0" t="0" r="0" b="0"/>
                <wp:wrapSquare wrapText="bothSides"/>
                <wp:docPr id="1043774006"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B57DF9D" w14:textId="1A946444" w:rsidR="00941504" w:rsidRPr="003044C6" w:rsidRDefault="00941504" w:rsidP="00941504">
                            <w:pPr>
                              <w:pStyle w:val="Lgende"/>
                              <w:rPr>
                                <w:rFonts w:ascii="Times New Roman" w:hAnsi="Times New Roman" w:cs="Times New Roman"/>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2</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xml:space="preserve">: Capture of annual inflation by profits and wages. Inflation is measured as percentage change in the gross value added (GVA) deflator (red line). Source: Author's own elaboration based </w:t>
                            </w:r>
                            <w:r w:rsidR="00BE7C70">
                              <w:rPr>
                                <w:rFonts w:ascii="Times New Roman" w:hAnsi="Times New Roman" w:cs="Times New Roman"/>
                                <w:sz w:val="24"/>
                                <w:szCs w:val="24"/>
                                <w:lang w:val="en-US"/>
                              </w:rPr>
                              <w:t xml:space="preserve">on data from the </w:t>
                            </w:r>
                            <w:r w:rsidRPr="003044C6">
                              <w:rPr>
                                <w:rFonts w:ascii="Times New Roman" w:hAnsi="Times New Roman" w:cs="Times New Roman"/>
                                <w:sz w:val="24"/>
                                <w:szCs w:val="24"/>
                                <w:lang w:val="en-US"/>
                              </w:rPr>
                              <w:t>Swiss Secretariat of Economic Affaire (SECO).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6465A" id="_x0000_s1027" type="#_x0000_t202" style="position:absolute;left:0;text-align:left;margin-left:.05pt;margin-top:461.7pt;width:45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" stroked="f">
                <v:textbox style="mso-fit-shape-to-text:t" inset="0,0,0,0">
                  <w:txbxContent>
                    <w:p w14:paraId="2B57DF9D" w14:textId="1A946444" w:rsidR="00941504" w:rsidRPr="003044C6" w:rsidRDefault="00941504" w:rsidP="00941504">
                      <w:pPr>
                        <w:pStyle w:val="Lgende"/>
                        <w:rPr>
                          <w:rFonts w:ascii="Times New Roman" w:hAnsi="Times New Roman" w:cs="Times New Roman"/>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2</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xml:space="preserve">: Capture of annual inflation by profits and wages. Inflation is measured as percentage change in the gross value added (GVA) deflator (red line). Source: Author's own elaboration based </w:t>
                      </w:r>
                      <w:r w:rsidR="00BE7C70">
                        <w:rPr>
                          <w:rFonts w:ascii="Times New Roman" w:hAnsi="Times New Roman" w:cs="Times New Roman"/>
                          <w:sz w:val="24"/>
                          <w:szCs w:val="24"/>
                          <w:lang w:val="en-US"/>
                        </w:rPr>
                        <w:t xml:space="preserve">on data from the </w:t>
                      </w:r>
                      <w:r w:rsidRPr="003044C6">
                        <w:rPr>
                          <w:rFonts w:ascii="Times New Roman" w:hAnsi="Times New Roman" w:cs="Times New Roman"/>
                          <w:sz w:val="24"/>
                          <w:szCs w:val="24"/>
                          <w:lang w:val="en-US"/>
                        </w:rPr>
                        <w:t>Swiss Secretariat of Economic Affaire (SECO).</w:t>
                      </w:r>
                    </w:p>
                  </w:txbxContent>
                </v:textbox>
                <w10:wrap type="square"/>
              </v:shape>
            </w:pict>
          </mc:Fallback>
        </mc:AlternateContent>
      </w:r>
      <w:r w:rsidR="00365D58">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sidR="00365D58">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28DD7777" w14:textId="43299FC1" w:rsidR="00062F62" w:rsidRDefault="00365D58" w:rsidP="00C044BD">
      <w:pPr>
        <w:jc w:val="both"/>
        <w:rPr>
          <w:rFonts w:ascii="Times New Roman" w:hAnsi="Times New Roman" w:cs="Times New Roman"/>
          <w:lang w:val="en-US"/>
        </w:rPr>
      </w:pPr>
      <w:r>
        <w:rPr>
          <w:rFonts w:ascii="Times New Roman" w:hAnsi="Times New Roman" w:cs="Times New Roman"/>
          <w:lang w:val="en-US"/>
        </w:rPr>
        <w:t xml:space="preserve">As shown </w:t>
      </w:r>
      <w:r w:rsidR="00265EFF">
        <w:rPr>
          <w:rFonts w:ascii="Times New Roman" w:hAnsi="Times New Roman" w:cs="Times New Roman"/>
          <w:lang w:val="en-US"/>
        </w:rPr>
        <w:t>in</w:t>
      </w:r>
      <w:r>
        <w:rPr>
          <w:rFonts w:ascii="Times New Roman" w:hAnsi="Times New Roman" w:cs="Times New Roman"/>
          <w:lang w:val="en-US"/>
        </w:rPr>
        <w:t xml:space="preserve"> </w:t>
      </w:r>
      <w:r w:rsidR="00265EFF">
        <w:rPr>
          <w:rFonts w:ascii="Times New Roman" w:hAnsi="Times New Roman" w:cs="Times New Roman"/>
          <w:lang w:val="en-US"/>
        </w:rPr>
        <w:t>figure 2</w:t>
      </w:r>
      <w:r>
        <w:rPr>
          <w:rFonts w:ascii="Times New Roman" w:hAnsi="Times New Roman" w:cs="Times New Roman"/>
          <w:lang w:val="en-US"/>
        </w:rPr>
        <w:t>,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w:t>
      </w:r>
      <w:r w:rsidR="007A65E0">
        <w:rPr>
          <w:rFonts w:ascii="Times New Roman" w:hAnsi="Times New Roman" w:cs="Times New Roman"/>
          <w:lang w:val="en-US"/>
        </w:rPr>
        <w:lastRenderedPageBreak/>
        <w:t>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w:t>
      </w:r>
      <w:r w:rsidR="00062F62">
        <w:rPr>
          <w:rFonts w:ascii="Times New Roman" w:hAnsi="Times New Roman" w:cs="Times New Roman"/>
          <w:lang w:val="en-US"/>
        </w:rPr>
        <w:t>Conversely, deflationary periods tend to be characterized by decreases in nominal profits and positive rate of increase of nominal compensation of employees, for instance in 2014-2017 and 2019-2020</w:t>
      </w:r>
      <w:r w:rsidR="00E54C50">
        <w:rPr>
          <w:rFonts w:ascii="Times New Roman" w:hAnsi="Times New Roman" w:cs="Times New Roman"/>
          <w:lang w:val="en-US"/>
        </w:rPr>
        <w:t xml:space="preserve">. </w:t>
      </w:r>
    </w:p>
    <w:p w14:paraId="43492061" w14:textId="2F6AA234" w:rsidR="00C044BD" w:rsidRDefault="00C044BD" w:rsidP="00C044BD">
      <w:pPr>
        <w:jc w:val="both"/>
        <w:rPr>
          <w:rFonts w:ascii="Times New Roman" w:hAnsi="Times New Roman" w:cs="Times New Roman"/>
          <w:lang w:val="en-US"/>
        </w:rPr>
      </w:pPr>
      <w:r>
        <w:rPr>
          <w:rFonts w:ascii="Times New Roman" w:hAnsi="Times New Roman" w:cs="Times New Roman"/>
          <w:lang w:val="en-US"/>
        </w:rPr>
        <w:t>This stands in sharp contrast to the economic crisis of the 1990s, when most of inflation was captured by increases in nominal wages</w:t>
      </w:r>
      <w:r w:rsidR="00062F62">
        <w:rPr>
          <w:rFonts w:ascii="Times New Roman" w:hAnsi="Times New Roman" w:cs="Times New Roman"/>
          <w:lang w:val="en-US"/>
        </w:rPr>
        <w:t xml:space="preserve">. </w:t>
      </w:r>
      <w:r>
        <w:rPr>
          <w:rFonts w:ascii="Times New Roman" w:hAnsi="Times New Roman" w:cs="Times New Roman"/>
          <w:lang w:val="en-US"/>
        </w:rPr>
        <w:t xml:space="preserve">As indicated by </w:t>
      </w:r>
      <w:r>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Pr>
          <w:rFonts w:ascii="Times New Roman" w:hAnsi="Times New Roman" w:cs="Times New Roman"/>
          <w:lang w:val="en-US"/>
        </w:rPr>
        <w:fldChar w:fldCharType="separate"/>
      </w:r>
      <w:r w:rsidRPr="00C044BD">
        <w:rPr>
          <w:rFonts w:ascii="Aptos" w:hAnsi="Aptos"/>
          <w:lang w:val="en-US"/>
        </w:rPr>
        <w:t xml:space="preserve">Leutert </w:t>
      </w:r>
      <w:r>
        <w:rPr>
          <w:rFonts w:ascii="Aptos" w:hAnsi="Aptos"/>
          <w:lang w:val="en-US"/>
        </w:rPr>
        <w:t>et</w:t>
      </w:r>
      <w:r w:rsidRPr="00C044BD">
        <w:rPr>
          <w:rFonts w:ascii="Aptos" w:hAnsi="Aptos"/>
          <w:lang w:val="en-US"/>
        </w:rPr>
        <w:t xml:space="preserve"> al. </w:t>
      </w:r>
      <w:r>
        <w:rPr>
          <w:rFonts w:ascii="Aptos" w:hAnsi="Aptos"/>
          <w:lang w:val="en-US"/>
        </w:rPr>
        <w:t>(</w:t>
      </w:r>
      <w:r w:rsidRPr="00C044BD">
        <w:rPr>
          <w:rFonts w:ascii="Aptos" w:hAnsi="Aptos"/>
          <w:lang w:val="en-US"/>
        </w:rPr>
        <w:t>2026</w:t>
      </w:r>
      <w:r>
        <w:rPr>
          <w:rFonts w:ascii="Aptos" w:hAnsi="Aptos"/>
          <w:lang w:val="en-US"/>
        </w:rPr>
        <w:t>, 13</w:t>
      </w:r>
      <w:r w:rsidRPr="00C044BD">
        <w:rPr>
          <w:rFonts w:ascii="Aptos" w:hAnsi="Aptos"/>
          <w:lang w:val="en-US"/>
        </w:rPr>
        <w:t>)</w:t>
      </w:r>
      <w:r>
        <w:rPr>
          <w:rFonts w:ascii="Times New Roman" w:hAnsi="Times New Roman" w:cs="Times New Roman"/>
          <w:lang w:val="en-US"/>
        </w:rPr>
        <w:fldChar w:fldCharType="end"/>
      </w:r>
      <w:r>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A8DF396" w:rsidR="00734E09" w:rsidRDefault="005626C0" w:rsidP="00C044BD">
      <w:pPr>
        <w:jc w:val="both"/>
        <w:rPr>
          <w:rFonts w:ascii="Times New Roman" w:hAnsi="Times New Roman" w:cs="Times New Roman"/>
          <w:lang w:val="en-US"/>
        </w:rPr>
      </w:pPr>
      <w:r>
        <w:rPr>
          <w:noProof/>
        </w:rPr>
        <mc:AlternateContent>
          <mc:Choice Requires="wps">
            <w:drawing>
              <wp:anchor distT="0" distB="0" distL="114300" distR="114300" simplePos="0" relativeHeight="251675648" behindDoc="0" locked="0" layoutInCell="1" allowOverlap="1" wp14:anchorId="234CD19C" wp14:editId="53AD38B7">
                <wp:simplePos x="0" y="0"/>
                <wp:positionH relativeFrom="column">
                  <wp:posOffset>-29845</wp:posOffset>
                </wp:positionH>
                <wp:positionV relativeFrom="paragraph">
                  <wp:posOffset>5153660</wp:posOffset>
                </wp:positionV>
                <wp:extent cx="5759450" cy="635"/>
                <wp:effectExtent l="0" t="0" r="0" b="0"/>
                <wp:wrapSquare wrapText="bothSides"/>
                <wp:docPr id="48348022"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5B2405E" w14:textId="3B7D8A43" w:rsidR="005626C0" w:rsidRPr="005626C0" w:rsidRDefault="005626C0" w:rsidP="005626C0">
                            <w:pPr>
                              <w:pStyle w:val="Lgende"/>
                              <w:rPr>
                                <w:rFonts w:ascii="Times New Roman" w:hAnsi="Times New Roman" w:cs="Times New Roman"/>
                                <w:noProof/>
                                <w:sz w:val="24"/>
                                <w:szCs w:val="24"/>
                                <w:lang w:val="en-US"/>
                              </w:rPr>
                            </w:pPr>
                            <w:r w:rsidRPr="005626C0">
                              <w:rPr>
                                <w:rFonts w:ascii="Times New Roman" w:hAnsi="Times New Roman" w:cs="Times New Roman"/>
                                <w:sz w:val="24"/>
                                <w:szCs w:val="24"/>
                                <w:lang w:val="en-US"/>
                              </w:rPr>
                              <w:t xml:space="preserve">Figure </w:t>
                            </w:r>
                            <w:r w:rsidRPr="005626C0">
                              <w:rPr>
                                <w:rFonts w:ascii="Times New Roman" w:hAnsi="Times New Roman" w:cs="Times New Roman"/>
                                <w:sz w:val="24"/>
                                <w:szCs w:val="24"/>
                              </w:rPr>
                              <w:fldChar w:fldCharType="begin"/>
                            </w:r>
                            <w:r w:rsidRPr="005626C0">
                              <w:rPr>
                                <w:rFonts w:ascii="Times New Roman" w:hAnsi="Times New Roman" w:cs="Times New Roman"/>
                                <w:sz w:val="24"/>
                                <w:szCs w:val="24"/>
                                <w:lang w:val="en-US"/>
                              </w:rPr>
                              <w:instrText xml:space="preserve"> SEQ Figure \* ARABIC </w:instrText>
                            </w:r>
                            <w:r w:rsidRPr="005626C0">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3</w:t>
                            </w:r>
                            <w:r w:rsidRPr="005626C0">
                              <w:rPr>
                                <w:rFonts w:ascii="Times New Roman" w:hAnsi="Times New Roman" w:cs="Times New Roman"/>
                                <w:sz w:val="24"/>
                                <w:szCs w:val="24"/>
                              </w:rPr>
                              <w:fldChar w:fldCharType="end"/>
                            </w:r>
                            <w:r w:rsidRPr="005626C0">
                              <w:rPr>
                                <w:rFonts w:ascii="Times New Roman" w:hAnsi="Times New Roman" w:cs="Times New Roman"/>
                                <w:sz w:val="24"/>
                                <w:szCs w:val="24"/>
                                <w:lang w:val="en-US"/>
                              </w:rPr>
                              <w:t xml:space="preserve">: Forward and backward linkages for each sector. Point size represents the magnitude of the weight of each sector in a synthetic CPI computed from data on household </w:t>
                            </w:r>
                            <w:r w:rsidR="00A16BCD">
                              <w:rPr>
                                <w:rFonts w:ascii="Times New Roman" w:hAnsi="Times New Roman" w:cs="Times New Roman"/>
                                <w:sz w:val="24"/>
                                <w:szCs w:val="24"/>
                                <w:lang w:val="en-US"/>
                              </w:rPr>
                              <w:t xml:space="preserve">final consumption </w:t>
                            </w:r>
                            <w:r w:rsidRPr="005626C0">
                              <w:rPr>
                                <w:rFonts w:ascii="Times New Roman" w:hAnsi="Times New Roman" w:cs="Times New Roman"/>
                                <w:sz w:val="24"/>
                                <w:szCs w:val="24"/>
                                <w:lang w:val="en-US"/>
                              </w:rPr>
                              <w:t>expenditure</w:t>
                            </w:r>
                            <w:r w:rsidR="00A16BCD">
                              <w:rPr>
                                <w:rFonts w:ascii="Times New Roman" w:hAnsi="Times New Roman" w:cs="Times New Roman"/>
                                <w:sz w:val="24"/>
                                <w:szCs w:val="24"/>
                                <w:lang w:val="en-US"/>
                              </w:rPr>
                              <w:t xml:space="preserve"> (HFCE)</w:t>
                            </w:r>
                            <w:r w:rsidRPr="005626C0">
                              <w:rPr>
                                <w:rFonts w:ascii="Times New Roman" w:hAnsi="Times New Roman" w:cs="Times New Roman"/>
                                <w:sz w:val="24"/>
                                <w:szCs w:val="24"/>
                                <w:lang w:val="en-US"/>
                              </w:rPr>
                              <w:t xml:space="preserve"> available in the input-output table. Data</w:t>
                            </w:r>
                            <w:r w:rsidRPr="005626C0">
                              <w:rPr>
                                <w:rFonts w:ascii="Times New Roman" w:hAnsi="Times New Roman" w:cs="Times New Roman"/>
                                <w:noProof/>
                                <w:sz w:val="24"/>
                                <w:szCs w:val="24"/>
                                <w:lang w:val="en-US"/>
                              </w:rPr>
                              <w:t xml:space="preserve"> source: FSO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CD19C" id="_x0000_s1028" type="#_x0000_t202" style="position:absolute;left:0;text-align:left;margin-left:-2.35pt;margin-top:405.8pt;width:453.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55FGgIAAD8EAAAOAAAAZHJzL2Uyb0RvYy54bWysU8Fu2zAMvQ/YPwi6L06ype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" stroked="f">
                <v:textbox style="mso-fit-shape-to-text:t" inset="0,0,0,0">
                  <w:txbxContent>
                    <w:p w14:paraId="05B2405E" w14:textId="3B7D8A43" w:rsidR="005626C0" w:rsidRPr="005626C0" w:rsidRDefault="005626C0" w:rsidP="005626C0">
                      <w:pPr>
                        <w:pStyle w:val="Lgende"/>
                        <w:rPr>
                          <w:rFonts w:ascii="Times New Roman" w:hAnsi="Times New Roman" w:cs="Times New Roman"/>
                          <w:noProof/>
                          <w:sz w:val="24"/>
                          <w:szCs w:val="24"/>
                          <w:lang w:val="en-US"/>
                        </w:rPr>
                      </w:pPr>
                      <w:r w:rsidRPr="005626C0">
                        <w:rPr>
                          <w:rFonts w:ascii="Times New Roman" w:hAnsi="Times New Roman" w:cs="Times New Roman"/>
                          <w:sz w:val="24"/>
                          <w:szCs w:val="24"/>
                          <w:lang w:val="en-US"/>
                        </w:rPr>
                        <w:t xml:space="preserve">Figure </w:t>
                      </w:r>
                      <w:r w:rsidRPr="005626C0">
                        <w:rPr>
                          <w:rFonts w:ascii="Times New Roman" w:hAnsi="Times New Roman" w:cs="Times New Roman"/>
                          <w:sz w:val="24"/>
                          <w:szCs w:val="24"/>
                        </w:rPr>
                        <w:fldChar w:fldCharType="begin"/>
                      </w:r>
                      <w:r w:rsidRPr="005626C0">
                        <w:rPr>
                          <w:rFonts w:ascii="Times New Roman" w:hAnsi="Times New Roman" w:cs="Times New Roman"/>
                          <w:sz w:val="24"/>
                          <w:szCs w:val="24"/>
                          <w:lang w:val="en-US"/>
                        </w:rPr>
                        <w:instrText xml:space="preserve"> SEQ Figure \* ARABIC </w:instrText>
                      </w:r>
                      <w:r w:rsidRPr="005626C0">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3</w:t>
                      </w:r>
                      <w:r w:rsidRPr="005626C0">
                        <w:rPr>
                          <w:rFonts w:ascii="Times New Roman" w:hAnsi="Times New Roman" w:cs="Times New Roman"/>
                          <w:sz w:val="24"/>
                          <w:szCs w:val="24"/>
                        </w:rPr>
                        <w:fldChar w:fldCharType="end"/>
                      </w:r>
                      <w:r w:rsidRPr="005626C0">
                        <w:rPr>
                          <w:rFonts w:ascii="Times New Roman" w:hAnsi="Times New Roman" w:cs="Times New Roman"/>
                          <w:sz w:val="24"/>
                          <w:szCs w:val="24"/>
                          <w:lang w:val="en-US"/>
                        </w:rPr>
                        <w:t xml:space="preserve">: Forward and backward linkages for each sector. Point size represents the magnitude of the weight of each sector in a synthetic CPI computed from data on household </w:t>
                      </w:r>
                      <w:r w:rsidR="00A16BCD">
                        <w:rPr>
                          <w:rFonts w:ascii="Times New Roman" w:hAnsi="Times New Roman" w:cs="Times New Roman"/>
                          <w:sz w:val="24"/>
                          <w:szCs w:val="24"/>
                          <w:lang w:val="en-US"/>
                        </w:rPr>
                        <w:t xml:space="preserve">final consumption </w:t>
                      </w:r>
                      <w:r w:rsidRPr="005626C0">
                        <w:rPr>
                          <w:rFonts w:ascii="Times New Roman" w:hAnsi="Times New Roman" w:cs="Times New Roman"/>
                          <w:sz w:val="24"/>
                          <w:szCs w:val="24"/>
                          <w:lang w:val="en-US"/>
                        </w:rPr>
                        <w:t>expenditure</w:t>
                      </w:r>
                      <w:r w:rsidR="00A16BCD">
                        <w:rPr>
                          <w:rFonts w:ascii="Times New Roman" w:hAnsi="Times New Roman" w:cs="Times New Roman"/>
                          <w:sz w:val="24"/>
                          <w:szCs w:val="24"/>
                          <w:lang w:val="en-US"/>
                        </w:rPr>
                        <w:t xml:space="preserve"> (HFCE)</w:t>
                      </w:r>
                      <w:r w:rsidRPr="005626C0">
                        <w:rPr>
                          <w:rFonts w:ascii="Times New Roman" w:hAnsi="Times New Roman" w:cs="Times New Roman"/>
                          <w:sz w:val="24"/>
                          <w:szCs w:val="24"/>
                          <w:lang w:val="en-US"/>
                        </w:rPr>
                        <w:t xml:space="preserve"> available in the input-output table. Data</w:t>
                      </w:r>
                      <w:r w:rsidRPr="005626C0">
                        <w:rPr>
                          <w:rFonts w:ascii="Times New Roman" w:hAnsi="Times New Roman" w:cs="Times New Roman"/>
                          <w:noProof/>
                          <w:sz w:val="24"/>
                          <w:szCs w:val="24"/>
                          <w:lang w:val="en-US"/>
                        </w:rPr>
                        <w:t xml:space="preserve"> source: FSO</w:t>
                      </w:r>
                    </w:p>
                  </w:txbxContent>
                </v:textbox>
                <w10:wrap type="square"/>
              </v:shape>
            </w:pict>
          </mc:Fallback>
        </mc:AlternateContent>
      </w:r>
      <w:r>
        <w:rPr>
          <w:rFonts w:ascii="Times New Roman" w:hAnsi="Times New Roman" w:cs="Times New Roman"/>
          <w:noProof/>
          <w:lang w:val="en-US"/>
        </w:rPr>
        <w:drawing>
          <wp:anchor distT="0" distB="0" distL="114300" distR="114300" simplePos="0" relativeHeight="251673600" behindDoc="0" locked="0" layoutInCell="1" allowOverlap="1" wp14:anchorId="4C1AF3AF" wp14:editId="16B8FBE4">
            <wp:simplePos x="0" y="0"/>
            <wp:positionH relativeFrom="column">
              <wp:posOffset>-30275</wp:posOffset>
            </wp:positionH>
            <wp:positionV relativeFrom="paragraph">
              <wp:posOffset>1063051</wp:posOffset>
            </wp:positionV>
            <wp:extent cx="5759450" cy="4033520"/>
            <wp:effectExtent l="0" t="0" r="0" b="5080"/>
            <wp:wrapSquare wrapText="bothSides"/>
            <wp:docPr id="5950175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4033520"/>
                    </a:xfrm>
                    <a:prstGeom prst="rect">
                      <a:avLst/>
                    </a:prstGeom>
                    <a:noFill/>
                    <a:ln>
                      <a:noFill/>
                    </a:ln>
                  </pic:spPr>
                </pic:pic>
              </a:graphicData>
            </a:graphic>
          </wp:anchor>
        </w:drawing>
      </w:r>
      <w:r w:rsidR="00941504">
        <w:rPr>
          <w:noProof/>
        </w:rPr>
        <mc:AlternateContent>
          <mc:Choice Requires="wps">
            <w:drawing>
              <wp:anchor distT="0" distB="0" distL="114300" distR="114300" simplePos="0" relativeHeight="251667456" behindDoc="0" locked="0" layoutInCell="1" allowOverlap="1" wp14:anchorId="2D56C022" wp14:editId="57910721">
                <wp:simplePos x="0" y="0"/>
                <wp:positionH relativeFrom="margin">
                  <wp:align>right</wp:align>
                </wp:positionH>
                <wp:positionV relativeFrom="paragraph">
                  <wp:posOffset>4422775</wp:posOffset>
                </wp:positionV>
                <wp:extent cx="5760720" cy="565785"/>
                <wp:effectExtent l="0" t="0" r="0" b="5715"/>
                <wp:wrapSquare wrapText="bothSides"/>
                <wp:docPr id="1601529708" name="Zone de texte 1"/>
                <wp:cNvGraphicFramePr/>
                <a:graphic xmlns:a="http://schemas.openxmlformats.org/drawingml/2006/main">
                  <a:graphicData uri="http://schemas.microsoft.com/office/word/2010/wordprocessingShape">
                    <wps:wsp>
                      <wps:cNvSpPr txBox="1"/>
                      <wps:spPr>
                        <a:xfrm>
                          <a:off x="0" y="0"/>
                          <a:ext cx="5760720" cy="565785"/>
                        </a:xfrm>
                        <a:prstGeom prst="rect">
                          <a:avLst/>
                        </a:prstGeom>
                        <a:solidFill>
                          <a:prstClr val="white"/>
                        </a:solidFill>
                        <a:ln>
                          <a:noFill/>
                        </a:ln>
                      </wps:spPr>
                      <wps:txbx>
                        <w:txbxContent>
                          <w:p w14:paraId="59AF5409" w14:textId="56F3E290" w:rsidR="00941504" w:rsidRPr="003044C6" w:rsidRDefault="00941504" w:rsidP="00941504">
                            <w:pPr>
                              <w:pStyle w:val="Lgende"/>
                              <w:rPr>
                                <w:rFonts w:ascii="Times New Roman" w:hAnsi="Times New Roman" w:cs="Times New Roman"/>
                                <w:noProof/>
                                <w:sz w:val="24"/>
                                <w:szCs w:val="24"/>
                                <w:lang w:val="en-US"/>
                              </w:rPr>
                            </w:pPr>
                            <w:r w:rsidRPr="003044C6">
                              <w:rPr>
                                <w:sz w:val="24"/>
                                <w:szCs w:val="24"/>
                                <w:lang w:val="en-US"/>
                              </w:rPr>
                              <w:t xml:space="preserve">Figure </w:t>
                            </w:r>
                            <w:r w:rsidRPr="003044C6">
                              <w:rPr>
                                <w:sz w:val="24"/>
                                <w:szCs w:val="24"/>
                              </w:rPr>
                              <w:fldChar w:fldCharType="begin"/>
                            </w:r>
                            <w:r w:rsidRPr="003044C6">
                              <w:rPr>
                                <w:sz w:val="24"/>
                                <w:szCs w:val="24"/>
                                <w:lang w:val="en-US"/>
                              </w:rPr>
                              <w:instrText xml:space="preserve"> SEQ Figure \* ARABIC </w:instrText>
                            </w:r>
                            <w:r w:rsidRPr="003044C6">
                              <w:rPr>
                                <w:sz w:val="24"/>
                                <w:szCs w:val="24"/>
                              </w:rPr>
                              <w:fldChar w:fldCharType="separate"/>
                            </w:r>
                            <w:r w:rsidR="00E54C50">
                              <w:rPr>
                                <w:noProof/>
                                <w:sz w:val="24"/>
                                <w:szCs w:val="24"/>
                                <w:lang w:val="en-US"/>
                              </w:rPr>
                              <w:t>4</w:t>
                            </w:r>
                            <w:r w:rsidRPr="003044C6">
                              <w:rPr>
                                <w:sz w:val="24"/>
                                <w:szCs w:val="24"/>
                              </w:rPr>
                              <w:fldChar w:fldCharType="end"/>
                            </w:r>
                            <w:r w:rsidRPr="003044C6">
                              <w:rPr>
                                <w:sz w:val="24"/>
                                <w:szCs w:val="24"/>
                                <w:lang w:val="en-US"/>
                              </w:rPr>
                              <w:t xml:space="preserve">:  Systemically significant sectors </w:t>
                            </w:r>
                            <w:r w:rsidR="00B061ED" w:rsidRPr="003044C6">
                              <w:rPr>
                                <w:sz w:val="24"/>
                                <w:szCs w:val="24"/>
                                <w:lang w:val="en-US"/>
                              </w:rPr>
                              <w:t xml:space="preserve">for price stability in Switzerland. </w:t>
                            </w:r>
                            <w:r w:rsidRPr="003044C6">
                              <w:rPr>
                                <w:sz w:val="24"/>
                                <w:szCs w:val="24"/>
                                <w:lang w:val="en-US"/>
                              </w:rPr>
                              <w:t>On the left (a)</w:t>
                            </w:r>
                            <w:r w:rsidR="00B061ED" w:rsidRPr="003044C6">
                              <w:rPr>
                                <w:sz w:val="24"/>
                                <w:szCs w:val="24"/>
                                <w:lang w:val="en-US"/>
                              </w:rPr>
                              <w:t xml:space="preserve">: </w:t>
                            </w:r>
                            <w:r w:rsidRPr="003044C6">
                              <w:rPr>
                                <w:sz w:val="24"/>
                                <w:szCs w:val="24"/>
                                <w:lang w:val="en-US"/>
                              </w:rPr>
                              <w:t>effect</w:t>
                            </w:r>
                            <w:r w:rsidR="00B061ED" w:rsidRPr="003044C6">
                              <w:rPr>
                                <w:sz w:val="24"/>
                                <w:szCs w:val="24"/>
                                <w:lang w:val="en-US"/>
                              </w:rPr>
                              <w:t>s</w:t>
                            </w:r>
                            <w:r w:rsidRPr="003044C6">
                              <w:rPr>
                                <w:sz w:val="24"/>
                                <w:szCs w:val="24"/>
                                <w:lang w:val="en-US"/>
                              </w:rPr>
                              <w:t xml:space="preserve"> of a sectoral unit price increase on a synthetic Swiss consumer price index. On the right (b): forward linkages and CPI inflation impact of sectoral unit price shocks in the Swiss economy. </w:t>
                            </w:r>
                            <w:r w:rsidRPr="003044C6">
                              <w:rPr>
                                <w:sz w:val="24"/>
                                <w:szCs w:val="24"/>
                              </w:rPr>
                              <w:t>Data source: OECD input-output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6C022" id="_x0000_s1029" type="#_x0000_t202" style="position:absolute;left:0;text-align:left;margin-left:402.4pt;margin-top:348.25pt;width:453.6pt;height:44.5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" stroked="f">
                <v:textbox inset="0,0,0,0">
                  <w:txbxContent>
                    <w:p w14:paraId="59AF5409" w14:textId="56F3E290" w:rsidR="00941504" w:rsidRPr="003044C6" w:rsidRDefault="00941504" w:rsidP="00941504">
                      <w:pPr>
                        <w:pStyle w:val="Lgende"/>
                        <w:rPr>
                          <w:rFonts w:ascii="Times New Roman" w:hAnsi="Times New Roman" w:cs="Times New Roman"/>
                          <w:noProof/>
                          <w:sz w:val="24"/>
                          <w:szCs w:val="24"/>
                          <w:lang w:val="en-US"/>
                        </w:rPr>
                      </w:pPr>
                      <w:r w:rsidRPr="003044C6">
                        <w:rPr>
                          <w:sz w:val="24"/>
                          <w:szCs w:val="24"/>
                          <w:lang w:val="en-US"/>
                        </w:rPr>
                        <w:t xml:space="preserve">Figure </w:t>
                      </w:r>
                      <w:r w:rsidRPr="003044C6">
                        <w:rPr>
                          <w:sz w:val="24"/>
                          <w:szCs w:val="24"/>
                        </w:rPr>
                        <w:fldChar w:fldCharType="begin"/>
                      </w:r>
                      <w:r w:rsidRPr="003044C6">
                        <w:rPr>
                          <w:sz w:val="24"/>
                          <w:szCs w:val="24"/>
                          <w:lang w:val="en-US"/>
                        </w:rPr>
                        <w:instrText xml:space="preserve"> SEQ Figure \* ARABIC </w:instrText>
                      </w:r>
                      <w:r w:rsidRPr="003044C6">
                        <w:rPr>
                          <w:sz w:val="24"/>
                          <w:szCs w:val="24"/>
                        </w:rPr>
                        <w:fldChar w:fldCharType="separate"/>
                      </w:r>
                      <w:r w:rsidR="00E54C50">
                        <w:rPr>
                          <w:noProof/>
                          <w:sz w:val="24"/>
                          <w:szCs w:val="24"/>
                          <w:lang w:val="en-US"/>
                        </w:rPr>
                        <w:t>4</w:t>
                      </w:r>
                      <w:r w:rsidRPr="003044C6">
                        <w:rPr>
                          <w:sz w:val="24"/>
                          <w:szCs w:val="24"/>
                        </w:rPr>
                        <w:fldChar w:fldCharType="end"/>
                      </w:r>
                      <w:r w:rsidRPr="003044C6">
                        <w:rPr>
                          <w:sz w:val="24"/>
                          <w:szCs w:val="24"/>
                          <w:lang w:val="en-US"/>
                        </w:rPr>
                        <w:t xml:space="preserve">:  Systemically significant sectors </w:t>
                      </w:r>
                      <w:r w:rsidR="00B061ED" w:rsidRPr="003044C6">
                        <w:rPr>
                          <w:sz w:val="24"/>
                          <w:szCs w:val="24"/>
                          <w:lang w:val="en-US"/>
                        </w:rPr>
                        <w:t xml:space="preserve">for price stability in Switzerland. </w:t>
                      </w:r>
                      <w:r w:rsidRPr="003044C6">
                        <w:rPr>
                          <w:sz w:val="24"/>
                          <w:szCs w:val="24"/>
                          <w:lang w:val="en-US"/>
                        </w:rPr>
                        <w:t>On the left (a)</w:t>
                      </w:r>
                      <w:r w:rsidR="00B061ED" w:rsidRPr="003044C6">
                        <w:rPr>
                          <w:sz w:val="24"/>
                          <w:szCs w:val="24"/>
                          <w:lang w:val="en-US"/>
                        </w:rPr>
                        <w:t xml:space="preserve">: </w:t>
                      </w:r>
                      <w:r w:rsidRPr="003044C6">
                        <w:rPr>
                          <w:sz w:val="24"/>
                          <w:szCs w:val="24"/>
                          <w:lang w:val="en-US"/>
                        </w:rPr>
                        <w:t>effect</w:t>
                      </w:r>
                      <w:r w:rsidR="00B061ED" w:rsidRPr="003044C6">
                        <w:rPr>
                          <w:sz w:val="24"/>
                          <w:szCs w:val="24"/>
                          <w:lang w:val="en-US"/>
                        </w:rPr>
                        <w:t>s</w:t>
                      </w:r>
                      <w:r w:rsidRPr="003044C6">
                        <w:rPr>
                          <w:sz w:val="24"/>
                          <w:szCs w:val="24"/>
                          <w:lang w:val="en-US"/>
                        </w:rPr>
                        <w:t xml:space="preserve"> of a sectoral unit price increase on a synthetic Swiss consumer price index. On the right (b): forward linkages and CPI inflation impact of sectoral unit price shocks in the Swiss economy. </w:t>
                      </w:r>
                      <w:r w:rsidRPr="003044C6">
                        <w:rPr>
                          <w:sz w:val="24"/>
                          <w:szCs w:val="24"/>
                        </w:rPr>
                        <w:t>Data source: OECD input-output tables.</w:t>
                      </w:r>
                    </w:p>
                  </w:txbxContent>
                </v:textbox>
                <w10:wrap type="square" anchorx="margin"/>
              </v:shape>
            </w:pict>
          </mc:Fallback>
        </mc:AlternateContent>
      </w:r>
      <w:r w:rsidR="00734E09">
        <w:rPr>
          <w:rFonts w:ascii="Times New Roman" w:hAnsi="Times New Roman" w:cs="Times New Roman"/>
          <w:lang w:val="en-US"/>
        </w:rPr>
        <w:t xml:space="preserve">We test this hypothesis by </w:t>
      </w:r>
      <w:r w:rsidR="009F1C97">
        <w:rPr>
          <w:rFonts w:ascii="Times New Roman" w:hAnsi="Times New Roman" w:cs="Times New Roman"/>
          <w:lang w:val="en-US"/>
        </w:rPr>
        <w:t>applying a Leontief price model on the 2017 Swiss input output</w:t>
      </w:r>
      <w:r w:rsidR="00A16BCD">
        <w:rPr>
          <w:rFonts w:ascii="Times New Roman" w:hAnsi="Times New Roman" w:cs="Times New Roman"/>
          <w:lang w:val="en-US"/>
        </w:rPr>
        <w:t xml:space="preserve"> (IO)</w:t>
      </w:r>
      <w:r w:rsidR="009F1C97">
        <w:rPr>
          <w:rFonts w:ascii="Times New Roman" w:hAnsi="Times New Roman" w:cs="Times New Roman"/>
          <w:lang w:val="en-US"/>
        </w:rPr>
        <w:t xml:space="preserve"> table provided by the Federal Statistical Office (FSO) </w:t>
      </w:r>
      <w:r w:rsidR="00901F0D">
        <w:rPr>
          <w:rFonts w:ascii="Times New Roman" w:hAnsi="Times New Roman" w:cs="Times New Roman"/>
          <w:lang w:val="en-US"/>
        </w:rPr>
        <w:t>which is the most recent publicly available table and contains information on 50 industries. We first compute the Leontief matrix and sum the rows and columns of its inverse to estimate forward linkages (FL) and backward linkages (BL) for each sector</w:t>
      </w:r>
      <w:r w:rsidR="00A16BCD">
        <w:rPr>
          <w:rFonts w:ascii="Times New Roman" w:hAnsi="Times New Roman" w:cs="Times New Roman"/>
          <w:lang w:val="en-US"/>
        </w:rPr>
        <w:t xml:space="preserve"> which are shown in figure 3.</w:t>
      </w:r>
    </w:p>
    <w:p w14:paraId="119A2B55" w14:textId="47056809" w:rsidR="00A16BCD" w:rsidRDefault="00423C6B" w:rsidP="00C044BD">
      <w:pPr>
        <w:jc w:val="both"/>
        <w:rPr>
          <w:rFonts w:ascii="Times New Roman" w:hAnsi="Times New Roman" w:cs="Times New Roman"/>
          <w:lang w:val="en-US"/>
        </w:rPr>
      </w:pPr>
      <w:r>
        <w:rPr>
          <w:rFonts w:ascii="Times New Roman" w:hAnsi="Times New Roman" w:cs="Times New Roman"/>
          <w:lang w:val="en-US"/>
        </w:rPr>
        <w:t xml:space="preserve">From figure 3, we can identify the following categories of sectors. On the bottom-left quadrant, we have sectors which are independent from inter-industry linkages due to their low FL and </w:t>
      </w:r>
      <w:r w:rsidR="00235C91">
        <w:rPr>
          <w:rFonts w:ascii="Times New Roman" w:hAnsi="Times New Roman" w:cs="Times New Roman"/>
          <w:lang w:val="en-US"/>
        </w:rPr>
        <w:t xml:space="preserve">BL </w:t>
      </w:r>
      <w:r w:rsidR="00235C91">
        <w:rPr>
          <w:rFonts w:ascii="Times New Roman" w:hAnsi="Times New Roman" w:cs="Times New Roman"/>
          <w:lang w:val="en-US"/>
        </w:rPr>
        <w:lastRenderedPageBreak/>
        <w:t>but</w:t>
      </w:r>
      <w:r>
        <w:rPr>
          <w:rFonts w:ascii="Times New Roman" w:hAnsi="Times New Roman" w:cs="Times New Roman"/>
          <w:lang w:val="en-US"/>
        </w:rPr>
        <w:t xml:space="preserve"> are key for price stability since they represent a high share of consumers’ expenditures. Such independent but key sectors are real estate activities (20% </w:t>
      </w:r>
      <w:r w:rsidR="00750DE9">
        <w:rPr>
          <w:rFonts w:ascii="Times New Roman" w:hAnsi="Times New Roman" w:cs="Times New Roman"/>
          <w:lang w:val="en-US"/>
        </w:rPr>
        <w:t>of synthetic CPI weight</w:t>
      </w:r>
      <w:r>
        <w:rPr>
          <w:rFonts w:ascii="Times New Roman" w:hAnsi="Times New Roman" w:cs="Times New Roman"/>
          <w:lang w:val="en-US"/>
        </w:rPr>
        <w:t>), human health activities (15%), insurance (10%) and retail trade (10%)</w:t>
      </w:r>
      <w:r w:rsidR="004B2A90">
        <w:rPr>
          <w:rFonts w:ascii="Times New Roman" w:hAnsi="Times New Roman" w:cs="Times New Roman"/>
          <w:lang w:val="en-US"/>
        </w:rPr>
        <w:t>. On the upper-right quadrant, we have key sectors with high FL and BL, which include the electricity and gas sector and transport. Taken together, they represent around 10% of the synthetic CPI’s weight. It is therefore interesting to note that the sectors which are crucial for Swiss price stability due to their high share in consumers’ expenditure are relatively independent from inter-industry linkages</w:t>
      </w:r>
      <w:r w:rsidR="00750DE9">
        <w:rPr>
          <w:rFonts w:ascii="Times New Roman" w:hAnsi="Times New Roman" w:cs="Times New Roman"/>
          <w:lang w:val="en-US"/>
        </w:rPr>
        <w:t xml:space="preserve">. </w:t>
      </w:r>
      <w:r w:rsidR="007C5DE0">
        <w:rPr>
          <w:rFonts w:ascii="Times New Roman" w:hAnsi="Times New Roman" w:cs="Times New Roman"/>
          <w:lang w:val="en-US"/>
        </w:rPr>
        <w:t>Food manufacturing is also an important sector with high BL and high weight in the CPI.</w:t>
      </w:r>
    </w:p>
    <w:p w14:paraId="2822D067" w14:textId="235A7DD1" w:rsidR="007C5DE0" w:rsidRPr="007C5DE0" w:rsidRDefault="00235C91" w:rsidP="007C5DE0">
      <w:pPr>
        <w:jc w:val="both"/>
        <w:rPr>
          <w:rFonts w:ascii="Times New Roman" w:hAnsi="Times New Roman" w:cs="Times New Roman"/>
          <w:lang w:val="en-US"/>
        </w:rPr>
      </w:pPr>
      <w:r>
        <w:rPr>
          <w:noProof/>
        </w:rPr>
        <mc:AlternateContent>
          <mc:Choice Requires="wps">
            <w:drawing>
              <wp:anchor distT="0" distB="0" distL="114300" distR="114300" simplePos="0" relativeHeight="251678720" behindDoc="0" locked="0" layoutInCell="1" allowOverlap="1" wp14:anchorId="2B9BE4C6" wp14:editId="1C9F90EE">
                <wp:simplePos x="0" y="0"/>
                <wp:positionH relativeFrom="column">
                  <wp:posOffset>1270</wp:posOffset>
                </wp:positionH>
                <wp:positionV relativeFrom="paragraph">
                  <wp:posOffset>4671060</wp:posOffset>
                </wp:positionV>
                <wp:extent cx="5758180" cy="635"/>
                <wp:effectExtent l="0" t="0" r="0" b="0"/>
                <wp:wrapSquare wrapText="bothSides"/>
                <wp:docPr id="690157125" name="Zone de texte 1"/>
                <wp:cNvGraphicFramePr/>
                <a:graphic xmlns:a="http://schemas.openxmlformats.org/drawingml/2006/main">
                  <a:graphicData uri="http://schemas.microsoft.com/office/word/2010/wordprocessingShape">
                    <wps:wsp>
                      <wps:cNvSpPr txBox="1"/>
                      <wps:spPr>
                        <a:xfrm>
                          <a:off x="0" y="0"/>
                          <a:ext cx="5758180" cy="635"/>
                        </a:xfrm>
                        <a:prstGeom prst="rect">
                          <a:avLst/>
                        </a:prstGeom>
                        <a:solidFill>
                          <a:prstClr val="white"/>
                        </a:solidFill>
                        <a:ln>
                          <a:noFill/>
                        </a:ln>
                      </wps:spPr>
                      <wps:txbx>
                        <w:txbxContent>
                          <w:p w14:paraId="136E8801" w14:textId="0CA67705" w:rsidR="00235C91" w:rsidRPr="00235C91" w:rsidRDefault="00235C91" w:rsidP="00235C91">
                            <w:pPr>
                              <w:pStyle w:val="Lgende"/>
                              <w:rPr>
                                <w:rFonts w:ascii="Times New Roman" w:hAnsi="Times New Roman" w:cs="Times New Roman"/>
                                <w:noProof/>
                                <w:sz w:val="24"/>
                                <w:szCs w:val="24"/>
                                <w:lang w:val="en-US"/>
                              </w:rPr>
                            </w:pPr>
                            <w:r w:rsidRPr="00235C91">
                              <w:rPr>
                                <w:rFonts w:ascii="Times New Roman" w:hAnsi="Times New Roman" w:cs="Times New Roman"/>
                                <w:sz w:val="24"/>
                                <w:szCs w:val="24"/>
                                <w:lang w:val="en-US"/>
                              </w:rPr>
                              <w:t xml:space="preserve">Figure </w:t>
                            </w:r>
                            <w:r w:rsidRPr="00235C91">
                              <w:rPr>
                                <w:rFonts w:ascii="Times New Roman" w:hAnsi="Times New Roman" w:cs="Times New Roman"/>
                                <w:sz w:val="24"/>
                                <w:szCs w:val="24"/>
                              </w:rPr>
                              <w:fldChar w:fldCharType="begin"/>
                            </w:r>
                            <w:r w:rsidRPr="00235C91">
                              <w:rPr>
                                <w:rFonts w:ascii="Times New Roman" w:hAnsi="Times New Roman" w:cs="Times New Roman"/>
                                <w:sz w:val="24"/>
                                <w:szCs w:val="24"/>
                                <w:lang w:val="en-US"/>
                              </w:rPr>
                              <w:instrText xml:space="preserve"> SEQ Figure \* ARABIC </w:instrText>
                            </w:r>
                            <w:r w:rsidRPr="00235C91">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5</w:t>
                            </w:r>
                            <w:r w:rsidRPr="00235C91">
                              <w:rPr>
                                <w:rFonts w:ascii="Times New Roman" w:hAnsi="Times New Roman" w:cs="Times New Roman"/>
                                <w:sz w:val="24"/>
                                <w:szCs w:val="24"/>
                              </w:rPr>
                              <w:fldChar w:fldCharType="end"/>
                            </w:r>
                            <w:r w:rsidRPr="00235C91">
                              <w:rPr>
                                <w:rFonts w:ascii="Times New Roman" w:hAnsi="Times New Roman" w:cs="Times New Roman"/>
                                <w:sz w:val="24"/>
                                <w:szCs w:val="24"/>
                                <w:lang w:val="en-US"/>
                              </w:rPr>
                              <w:t>. Inflation impact from price-shock simulations for the top 15 sectors using a Leontief price model. The magnitude of the price shocks</w:t>
                            </w:r>
                            <w:r w:rsidR="00E7798D">
                              <w:rPr>
                                <w:rFonts w:ascii="Times New Roman" w:hAnsi="Times New Roman" w:cs="Times New Roman"/>
                                <w:sz w:val="24"/>
                                <w:szCs w:val="24"/>
                                <w:lang w:val="en-US"/>
                              </w:rPr>
                              <w:t xml:space="preserve"> (green dots)</w:t>
                            </w:r>
                            <w:r w:rsidRPr="00235C91">
                              <w:rPr>
                                <w:rFonts w:ascii="Times New Roman" w:hAnsi="Times New Roman" w:cs="Times New Roman"/>
                                <w:sz w:val="24"/>
                                <w:szCs w:val="24"/>
                                <w:lang w:val="en-US"/>
                              </w:rPr>
                              <w:t xml:space="preserve"> correspond</w:t>
                            </w:r>
                            <w:r w:rsidR="00E7798D">
                              <w:rPr>
                                <w:rFonts w:ascii="Times New Roman" w:hAnsi="Times New Roman" w:cs="Times New Roman"/>
                                <w:sz w:val="24"/>
                                <w:szCs w:val="24"/>
                                <w:lang w:val="en-US"/>
                              </w:rPr>
                              <w:t>s</w:t>
                            </w:r>
                            <w:r w:rsidRPr="00235C91">
                              <w:rPr>
                                <w:rFonts w:ascii="Times New Roman" w:hAnsi="Times New Roman" w:cs="Times New Roman"/>
                                <w:sz w:val="24"/>
                                <w:szCs w:val="24"/>
                                <w:lang w:val="en-US"/>
                              </w:rPr>
                              <w:t xml:space="preserve"> to the sector's average price volatility over the period 2004-2025. </w:t>
                            </w:r>
                            <w:r w:rsidRPr="00E7798D">
                              <w:rPr>
                                <w:rFonts w:ascii="Times New Roman" w:hAnsi="Times New Roman" w:cs="Times New Roman"/>
                                <w:sz w:val="24"/>
                                <w:szCs w:val="24"/>
                                <w:lang w:val="en-US"/>
                              </w:rPr>
                              <w:t>Data source: FSO, Eurostat.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9BE4C6" id="_x0000_s1030" type="#_x0000_t202" style="position:absolute;left:0;text-align:left;margin-left:.1pt;margin-top:367.8pt;width:45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" stroked="f">
                <v:textbox style="mso-fit-shape-to-text:t" inset="0,0,0,0">
                  <w:txbxContent>
                    <w:p w14:paraId="136E8801" w14:textId="0CA67705" w:rsidR="00235C91" w:rsidRPr="00235C91" w:rsidRDefault="00235C91" w:rsidP="00235C91">
                      <w:pPr>
                        <w:pStyle w:val="Lgende"/>
                        <w:rPr>
                          <w:rFonts w:ascii="Times New Roman" w:hAnsi="Times New Roman" w:cs="Times New Roman"/>
                          <w:noProof/>
                          <w:sz w:val="24"/>
                          <w:szCs w:val="24"/>
                          <w:lang w:val="en-US"/>
                        </w:rPr>
                      </w:pPr>
                      <w:r w:rsidRPr="00235C91">
                        <w:rPr>
                          <w:rFonts w:ascii="Times New Roman" w:hAnsi="Times New Roman" w:cs="Times New Roman"/>
                          <w:sz w:val="24"/>
                          <w:szCs w:val="24"/>
                          <w:lang w:val="en-US"/>
                        </w:rPr>
                        <w:t xml:space="preserve">Figure </w:t>
                      </w:r>
                      <w:r w:rsidRPr="00235C91">
                        <w:rPr>
                          <w:rFonts w:ascii="Times New Roman" w:hAnsi="Times New Roman" w:cs="Times New Roman"/>
                          <w:sz w:val="24"/>
                          <w:szCs w:val="24"/>
                        </w:rPr>
                        <w:fldChar w:fldCharType="begin"/>
                      </w:r>
                      <w:r w:rsidRPr="00235C91">
                        <w:rPr>
                          <w:rFonts w:ascii="Times New Roman" w:hAnsi="Times New Roman" w:cs="Times New Roman"/>
                          <w:sz w:val="24"/>
                          <w:szCs w:val="24"/>
                          <w:lang w:val="en-US"/>
                        </w:rPr>
                        <w:instrText xml:space="preserve"> SEQ Figure \* ARABIC </w:instrText>
                      </w:r>
                      <w:r w:rsidRPr="00235C91">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5</w:t>
                      </w:r>
                      <w:r w:rsidRPr="00235C91">
                        <w:rPr>
                          <w:rFonts w:ascii="Times New Roman" w:hAnsi="Times New Roman" w:cs="Times New Roman"/>
                          <w:sz w:val="24"/>
                          <w:szCs w:val="24"/>
                        </w:rPr>
                        <w:fldChar w:fldCharType="end"/>
                      </w:r>
                      <w:r w:rsidRPr="00235C91">
                        <w:rPr>
                          <w:rFonts w:ascii="Times New Roman" w:hAnsi="Times New Roman" w:cs="Times New Roman"/>
                          <w:sz w:val="24"/>
                          <w:szCs w:val="24"/>
                          <w:lang w:val="en-US"/>
                        </w:rPr>
                        <w:t>. Inflation impact from price-shock simulations for the top 15 sectors using a Leontief price model. The magnitude of the price shocks</w:t>
                      </w:r>
                      <w:r w:rsidR="00E7798D">
                        <w:rPr>
                          <w:rFonts w:ascii="Times New Roman" w:hAnsi="Times New Roman" w:cs="Times New Roman"/>
                          <w:sz w:val="24"/>
                          <w:szCs w:val="24"/>
                          <w:lang w:val="en-US"/>
                        </w:rPr>
                        <w:t xml:space="preserve"> (green dots)</w:t>
                      </w:r>
                      <w:r w:rsidRPr="00235C91">
                        <w:rPr>
                          <w:rFonts w:ascii="Times New Roman" w:hAnsi="Times New Roman" w:cs="Times New Roman"/>
                          <w:sz w:val="24"/>
                          <w:szCs w:val="24"/>
                          <w:lang w:val="en-US"/>
                        </w:rPr>
                        <w:t xml:space="preserve"> correspond</w:t>
                      </w:r>
                      <w:r w:rsidR="00E7798D">
                        <w:rPr>
                          <w:rFonts w:ascii="Times New Roman" w:hAnsi="Times New Roman" w:cs="Times New Roman"/>
                          <w:sz w:val="24"/>
                          <w:szCs w:val="24"/>
                          <w:lang w:val="en-US"/>
                        </w:rPr>
                        <w:t>s</w:t>
                      </w:r>
                      <w:r w:rsidRPr="00235C91">
                        <w:rPr>
                          <w:rFonts w:ascii="Times New Roman" w:hAnsi="Times New Roman" w:cs="Times New Roman"/>
                          <w:sz w:val="24"/>
                          <w:szCs w:val="24"/>
                          <w:lang w:val="en-US"/>
                        </w:rPr>
                        <w:t xml:space="preserve"> to the sector's average price volatility over the period 2004-2025. </w:t>
                      </w:r>
                      <w:r w:rsidRPr="00E7798D">
                        <w:rPr>
                          <w:rFonts w:ascii="Times New Roman" w:hAnsi="Times New Roman" w:cs="Times New Roman"/>
                          <w:sz w:val="24"/>
                          <w:szCs w:val="24"/>
                          <w:lang w:val="en-US"/>
                        </w:rPr>
                        <w:t>Data source: FSO, Eurostat.</w:t>
                      </w:r>
                    </w:p>
                  </w:txbxContent>
                </v:textbox>
                <w10:wrap type="square"/>
              </v:shape>
            </w:pict>
          </mc:Fallback>
        </mc:AlternateContent>
      </w:r>
      <w:r w:rsidR="00750DE9">
        <w:rPr>
          <w:rFonts w:ascii="Times New Roman" w:hAnsi="Times New Roman" w:cs="Times New Roman"/>
          <w:noProof/>
          <w:lang w:val="en-US"/>
        </w:rPr>
        <w:drawing>
          <wp:anchor distT="0" distB="0" distL="114300" distR="114300" simplePos="0" relativeHeight="251676672" behindDoc="0" locked="0" layoutInCell="1" allowOverlap="1" wp14:anchorId="7360EA50" wp14:editId="155648E2">
            <wp:simplePos x="0" y="0"/>
            <wp:positionH relativeFrom="column">
              <wp:posOffset>1353</wp:posOffset>
            </wp:positionH>
            <wp:positionV relativeFrom="paragraph">
              <wp:posOffset>1988</wp:posOffset>
            </wp:positionV>
            <wp:extent cx="5758180" cy="4612005"/>
            <wp:effectExtent l="0" t="0" r="0" b="0"/>
            <wp:wrapSquare wrapText="bothSides"/>
            <wp:docPr id="202865034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8180" cy="4612005"/>
                    </a:xfrm>
                    <a:prstGeom prst="rect">
                      <a:avLst/>
                    </a:prstGeom>
                    <a:noFill/>
                    <a:ln>
                      <a:noFill/>
                    </a:ln>
                  </pic:spPr>
                </pic:pic>
              </a:graphicData>
            </a:graphic>
          </wp:anchor>
        </w:drawing>
      </w:r>
      <w:r>
        <w:rPr>
          <w:rFonts w:ascii="Times New Roman" w:hAnsi="Times New Roman" w:cs="Times New Roman"/>
          <w:lang w:val="en-US"/>
        </w:rPr>
        <w:t>As in Weber et al. (2024), we simulate the impact of a price increase in each sector on a synthetic CPI using sector average price volatility, defined as the standard deviation of a given sector’s yearly percent price change. We use Swiss price data from Eurostat’s harmonized consumer price index (HCPI) for the period 2004-2025. The results are shown in figure 4</w:t>
      </w:r>
      <w:r w:rsidR="00E7798D">
        <w:rPr>
          <w:rFonts w:ascii="Times New Roman" w:hAnsi="Times New Roman" w:cs="Times New Roman"/>
          <w:lang w:val="en-US"/>
        </w:rPr>
        <w:t xml:space="preserve">. Price shock </w:t>
      </w:r>
      <w:r w:rsidR="001B44EC">
        <w:rPr>
          <w:rFonts w:ascii="Times New Roman" w:hAnsi="Times New Roman" w:cs="Times New Roman"/>
          <w:lang w:val="en-US"/>
        </w:rPr>
        <w:t>in</w:t>
      </w:r>
      <w:r w:rsidR="00E7798D">
        <w:rPr>
          <w:rFonts w:ascii="Times New Roman" w:hAnsi="Times New Roman" w:cs="Times New Roman"/>
          <w:lang w:val="en-US"/>
        </w:rPr>
        <w:t xml:space="preserve"> the real estate activities sector is by far the most important, followed by transport, food manufacturing and electricity and gas. The substantial inflationary effect of a shock to real estate activities can be explained by the very large share of rents in Swiss consumers’ expenditure</w:t>
      </w:r>
      <w:r w:rsidR="006F43AC">
        <w:rPr>
          <w:rFonts w:ascii="Times New Roman" w:hAnsi="Times New Roman" w:cs="Times New Roman"/>
          <w:lang w:val="en-US"/>
        </w:rPr>
        <w:t>s</w:t>
      </w:r>
      <w:r w:rsidR="00E7798D">
        <w:rPr>
          <w:rFonts w:ascii="Times New Roman" w:hAnsi="Times New Roman" w:cs="Times New Roman"/>
          <w:lang w:val="en-US"/>
        </w:rPr>
        <w:t xml:space="preserve"> </w:t>
      </w:r>
      <w:r w:rsidR="006F43AC" w:rsidRPr="006F43AC">
        <w:rPr>
          <w:rFonts w:ascii="Times New Roman" w:hAnsi="Times New Roman" w:cs="Times New Roman"/>
          <w:lang w:val="en-US"/>
        </w:rPr>
        <w:t>due to the general upward trend in rents</w:t>
      </w:r>
      <w:r w:rsidR="006F43AC">
        <w:rPr>
          <w:rFonts w:ascii="Times New Roman" w:hAnsi="Times New Roman" w:cs="Times New Roman"/>
          <w:lang w:val="en-US"/>
        </w:rPr>
        <w:t>. The Swiss housing market suffers</w:t>
      </w:r>
      <w:r w:rsidR="007A323E">
        <w:rPr>
          <w:rFonts w:ascii="Times New Roman" w:hAnsi="Times New Roman" w:cs="Times New Roman"/>
          <w:lang w:val="en-US"/>
        </w:rPr>
        <w:t xml:space="preserve"> in </w:t>
      </w:r>
      <w:r w:rsidR="007A323E">
        <w:rPr>
          <w:rFonts w:ascii="Times New Roman" w:hAnsi="Times New Roman" w:cs="Times New Roman"/>
          <w:lang w:val="en-US"/>
        </w:rPr>
        <w:lastRenderedPageBreak/>
        <w:t>effect</w:t>
      </w:r>
      <w:r w:rsidR="006F43AC">
        <w:rPr>
          <w:rFonts w:ascii="Times New Roman" w:hAnsi="Times New Roman" w:cs="Times New Roman"/>
          <w:lang w:val="en-US"/>
        </w:rPr>
        <w:t xml:space="preserve"> from excessive demand and a housing shortage as illustrated by the country’s very low vacancy rate of 1%, which is even lower in Urban centers such as Geneva (0,34%) and Zurich (0,48%) </w:t>
      </w:r>
      <w:r w:rsidR="006F43AC">
        <w:rPr>
          <w:rFonts w:ascii="Times New Roman" w:hAnsi="Times New Roman" w:cs="Times New Roman"/>
          <w:lang w:val="en-US"/>
        </w:rPr>
        <w:fldChar w:fldCharType="begin"/>
      </w:r>
      <w:r w:rsidR="006F43AC">
        <w:rPr>
          <w:rFonts w:ascii="Times New Roman" w:hAnsi="Times New Roman" w:cs="Times New Roman"/>
          <w:lang w:val="en-US"/>
        </w:rPr>
        <w:instrText xml:space="preserve"> ADDIN ZOTERO_ITEM CSL_CITATION {"citationID":"5CYQPWNO","properties":{"formattedCitation":"(Tschirren 2026)","plainCitation":"(Tschirren 2026)","noteIndex":0},"citationItems":[{"id":6857,"uris":["http://zotero.org/groups/6311349/items/RHZIXZKM"],"itemData":{"id":6857,"type":"post-weblog","abstract":"La pénurie de logements s’est poursuivie en 2025. Au cours des cinq dernières années, le taux de log...","container-title":"La Vie économiques","language":"fr-FR","title":"La pénurie de logements se poursuit","URL":"https://dievolkswirtschaft.ch/fr/2026/03/la-penurie-de-logements-se-poursuit/","author":[{"family":"Tschirren","given":"Martin"}],"accessed":{"date-parts":[["2026",8,11]]},"issued":{"date-parts":[["2026"]]}}}],"schema":"https://github.com/citation-style-language/schema/raw/master/csl-citation.json"} </w:instrText>
      </w:r>
      <w:r w:rsidR="006F43AC">
        <w:rPr>
          <w:rFonts w:ascii="Times New Roman" w:hAnsi="Times New Roman" w:cs="Times New Roman"/>
          <w:lang w:val="en-US"/>
        </w:rPr>
        <w:fldChar w:fldCharType="separate"/>
      </w:r>
      <w:r w:rsidR="006F43AC" w:rsidRPr="006F43AC">
        <w:rPr>
          <w:rFonts w:ascii="Aptos" w:hAnsi="Aptos"/>
          <w:lang w:val="en-US"/>
        </w:rPr>
        <w:t>(Tschirren 2026)</w:t>
      </w:r>
      <w:r w:rsidR="006F43AC">
        <w:rPr>
          <w:rFonts w:ascii="Times New Roman" w:hAnsi="Times New Roman" w:cs="Times New Roman"/>
          <w:lang w:val="en-US"/>
        </w:rPr>
        <w:fldChar w:fldCharType="end"/>
      </w:r>
      <w:r w:rsidR="006F43AC">
        <w:rPr>
          <w:rFonts w:ascii="Times New Roman" w:hAnsi="Times New Roman" w:cs="Times New Roman"/>
          <w:lang w:val="en-US"/>
        </w:rPr>
        <w:t>.</w:t>
      </w:r>
      <w:r w:rsidR="007A323E">
        <w:rPr>
          <w:rFonts w:ascii="Times New Roman" w:hAnsi="Times New Roman" w:cs="Times New Roman"/>
          <w:lang w:val="en-US"/>
        </w:rPr>
        <w:t xml:space="preserve"> </w:t>
      </w:r>
      <w:r w:rsidR="00384875">
        <w:rPr>
          <w:rFonts w:ascii="Times New Roman" w:hAnsi="Times New Roman" w:cs="Times New Roman"/>
          <w:lang w:val="en-US"/>
        </w:rPr>
        <w:t xml:space="preserve">Between 2000 and 2024, residential rents increased by 38% according to the Swiss consumer price index, the large share of which is explained by demand-side factors. </w:t>
      </w:r>
      <w:r w:rsidR="00617F2A">
        <w:rPr>
          <w:rFonts w:ascii="Times New Roman" w:hAnsi="Times New Roman" w:cs="Times New Roman"/>
          <w:lang w:val="en-US"/>
        </w:rPr>
        <w:t xml:space="preserve">Whereas rents are determined by supply and demand, the Swiss housing market is considered by the Swiss Secretariat of Economic Affairs (SECO) as a market whose prices are indirectly administered due to several </w:t>
      </w:r>
      <w:r w:rsidR="008C4E6A">
        <w:rPr>
          <w:rFonts w:ascii="Times New Roman" w:hAnsi="Times New Roman" w:cs="Times New Roman"/>
          <w:lang w:val="en-US"/>
        </w:rPr>
        <w:t xml:space="preserve">regulations </w:t>
      </w:r>
      <w:r w:rsidR="00617F2A">
        <w:rPr>
          <w:rFonts w:ascii="Times New Roman" w:hAnsi="Times New Roman" w:cs="Times New Roman"/>
          <w:lang w:val="en-US"/>
        </w:rPr>
        <w:t xml:space="preserve">on the supply-side </w:t>
      </w:r>
      <w:r w:rsidR="009F06D4">
        <w:rPr>
          <w:rFonts w:ascii="Times New Roman" w:hAnsi="Times New Roman" w:cs="Times New Roman"/>
          <w:lang w:val="en-US"/>
        </w:rPr>
        <w:fldChar w:fldCharType="begin"/>
      </w:r>
      <w:r w:rsidR="009F06D4">
        <w:rPr>
          <w:rFonts w:ascii="Times New Roman" w:hAnsi="Times New Roman" w:cs="Times New Roman"/>
          <w:lang w:val="en-US"/>
        </w:rPr>
        <w:instrText xml:space="preserve"> ADDIN ZOTERO_ITEM CSL_CITATION {"citationID":"700pGt9A","properties":{"formattedCitation":"(Mergele et al. 2026)","plainCitation":"(Mergele et al. 2026)","noteIndex":0},"citationItems":[{"id":6665,"uris":["http://zotero.org/groups/6311349/items/EEFFBZEW"],"itemData":{"id":6665,"type":"article-journal","container-title":"Grundlagen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9F06D4">
        <w:rPr>
          <w:rFonts w:ascii="Times New Roman" w:hAnsi="Times New Roman" w:cs="Times New Roman"/>
          <w:lang w:val="en-US"/>
        </w:rPr>
        <w:fldChar w:fldCharType="separate"/>
      </w:r>
      <w:r w:rsidR="009F06D4" w:rsidRPr="009F06D4">
        <w:rPr>
          <w:rFonts w:ascii="Aptos" w:hAnsi="Aptos"/>
          <w:lang w:val="en-US"/>
        </w:rPr>
        <w:t>(Mergele et al. 2026)</w:t>
      </w:r>
      <w:r w:rsidR="009F06D4">
        <w:rPr>
          <w:rFonts w:ascii="Times New Roman" w:hAnsi="Times New Roman" w:cs="Times New Roman"/>
          <w:lang w:val="en-US"/>
        </w:rPr>
        <w:fldChar w:fldCharType="end"/>
      </w:r>
      <w:r w:rsidR="00617F2A">
        <w:rPr>
          <w:rFonts w:ascii="Times New Roman" w:hAnsi="Times New Roman" w:cs="Times New Roman"/>
          <w:lang w:val="en-US"/>
        </w:rPr>
        <w:t>.</w:t>
      </w:r>
      <w:r w:rsidR="009F06D4">
        <w:rPr>
          <w:rFonts w:ascii="Times New Roman" w:hAnsi="Times New Roman" w:cs="Times New Roman"/>
          <w:lang w:val="en-US"/>
        </w:rPr>
        <w:t xml:space="preserve"> </w:t>
      </w:r>
      <w:r w:rsidR="00A11A22">
        <w:rPr>
          <w:rFonts w:ascii="Times New Roman" w:hAnsi="Times New Roman" w:cs="Times New Roman"/>
          <w:lang w:val="en-US"/>
        </w:rPr>
        <w:t xml:space="preserve">Transport and electricity prices are on the other hand directly administered by public institutions at the federal, cantonal and even communal levels. Price administration thus plays a key role in regulating prices in key sectors for inflation as well as in sector whose consumption share in the CPI is large such as insurance and health activities (as explained above for health products). </w:t>
      </w:r>
      <w:r w:rsidR="008C4E6A">
        <w:rPr>
          <w:rFonts w:ascii="Times New Roman" w:hAnsi="Times New Roman" w:cs="Times New Roman"/>
          <w:lang w:val="en-US"/>
        </w:rPr>
        <w:t>Regarding food manufacturing, the price of food products is influenced by two factors: the strong degree of protection of the domestic agricultural sector and the importance of a particular duopoly in the Swiss domestic economy which originally formed in the retail sector: that of Coop and Migros.</w:t>
      </w:r>
    </w:p>
    <w:p w14:paraId="05414D34" w14:textId="115A4170" w:rsidR="00AB1A05" w:rsidRDefault="00AB1A05" w:rsidP="00AB1A05">
      <w:pPr>
        <w:pStyle w:val="Titre2"/>
        <w:rPr>
          <w:lang w:val="en-US"/>
        </w:rPr>
      </w:pPr>
      <w:r>
        <w:rPr>
          <w:lang w:val="en-US"/>
        </w:rPr>
        <w:t xml:space="preserve">The Swiss </w:t>
      </w:r>
      <w:r w:rsidR="009658C5">
        <w:rPr>
          <w:lang w:val="en-US"/>
        </w:rPr>
        <w:t>wholesale</w:t>
      </w:r>
      <w:r w:rsidR="008C4E6A">
        <w:rPr>
          <w:lang w:val="en-US"/>
        </w:rPr>
        <w:t>, retail and agricultural sectors</w:t>
      </w:r>
    </w:p>
    <w:p w14:paraId="220C9E6D" w14:textId="23392DD0" w:rsidR="005702AA" w:rsidRDefault="007A5B50" w:rsidP="00451E92">
      <w:pPr>
        <w:jc w:val="both"/>
        <w:rPr>
          <w:rFonts w:ascii="Times New Roman" w:hAnsi="Times New Roman" w:cs="Times New Roman"/>
          <w:lang w:val="en-US"/>
        </w:rPr>
      </w:pPr>
      <w:r>
        <w:rPr>
          <w:rFonts w:ascii="Times New Roman" w:hAnsi="Times New Roman" w:cs="Times New Roman"/>
          <w:lang w:val="en-US"/>
        </w:rPr>
        <w:t xml:space="preserve">Whereas Switzerland is widely known for its multinationals specialized in </w:t>
      </w:r>
      <w:r w:rsidR="008D4D65">
        <w:rPr>
          <w:rFonts w:ascii="Times New Roman" w:hAnsi="Times New Roman" w:cs="Times New Roman"/>
          <w:lang w:val="en-US"/>
        </w:rPr>
        <w:t>international commodity trading such as Glencore and Trafigura</w:t>
      </w:r>
      <w:r w:rsidR="00625A05">
        <w:rPr>
          <w:rFonts w:ascii="Times New Roman" w:hAnsi="Times New Roman" w:cs="Times New Roman"/>
          <w:lang w:val="en-US"/>
        </w:rPr>
        <w:t>; its pharmaceuticals or chemicals industries,</w:t>
      </w:r>
      <w:r w:rsidR="008D4D65">
        <w:rPr>
          <w:rFonts w:ascii="Times New Roman" w:hAnsi="Times New Roman" w:cs="Times New Roman"/>
          <w:lang w:val="en-US"/>
        </w:rPr>
        <w:t xml:space="preserve">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w:t>
      </w:r>
      <w:r w:rsidR="00625A05">
        <w:rPr>
          <w:rFonts w:ascii="Times New Roman" w:hAnsi="Times New Roman" w:cs="Times New Roman"/>
          <w:lang w:val="en-US"/>
        </w:rPr>
        <w:t xml:space="preserve"> which have a firm hand on the Swiss market</w:t>
      </w:r>
      <w:r w:rsidR="006B167C">
        <w:rPr>
          <w:rFonts w:ascii="Times New Roman" w:hAnsi="Times New Roman" w:cs="Times New Roman"/>
          <w:lang w:val="en-US"/>
        </w:rPr>
        <w:t xml:space="preserve">.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p>
    <w:p w14:paraId="36B5ED14" w14:textId="77777777" w:rsidR="005702AA" w:rsidRDefault="00E85829" w:rsidP="00451E92">
      <w:pPr>
        <w:jc w:val="both"/>
        <w:rPr>
          <w:rFonts w:ascii="Times New Roman" w:hAnsi="Times New Roman" w:cs="Times New Roman"/>
          <w:lang w:val="en-US"/>
        </w:rPr>
      </w:pPr>
      <w:r w:rsidRPr="00E85829">
        <w:rPr>
          <w:rFonts w:ascii="Times New Roman" w:hAnsi="Times New Roman" w:cs="Times New Roman"/>
          <w:lang w:val="en-US"/>
        </w:rPr>
        <w:t>In addition to its activities in food retail, the Migros Group also owns numerous subsidiaries operating in non-food retail, healthcare, tourism, as well as in the banking and education sectors</w:t>
      </w:r>
      <w:r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 xml:space="preserve">n </w:t>
      </w:r>
      <w:r w:rsidR="000259BE">
        <w:rPr>
          <w:rFonts w:ascii="Times New Roman" w:hAnsi="Times New Roman" w:cs="Times New Roman"/>
          <w:lang w:val="en-US"/>
        </w:rPr>
        <w:t>the production sector</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(“Klubschule” or “École-club</w:t>
      </w:r>
      <w:r w:rsidR="000259BE">
        <w:rPr>
          <w:rFonts w:ascii="Times New Roman" w:hAnsi="Times New Roman" w:cs="Times New Roman"/>
          <w:lang w:val="en-US"/>
        </w:rPr>
        <w:t xml:space="preserve"> Migros</w:t>
      </w:r>
      <w:r w:rsidR="00F516CC">
        <w:rPr>
          <w:rFonts w:ascii="Times New Roman" w:hAnsi="Times New Roman" w:cs="Times New Roman"/>
          <w:lang w:val="en-US"/>
        </w:rPr>
        <w:t>”)</w:t>
      </w:r>
      <w:r w:rsidR="000259BE">
        <w:rPr>
          <w:rFonts w:ascii="Times New Roman" w:hAnsi="Times New Roman" w:cs="Times New Roman"/>
          <w:lang w:val="en-US"/>
        </w:rPr>
        <w:t xml:space="preserve"> </w:t>
      </w:r>
      <w:r w:rsidR="00F516CC">
        <w:rPr>
          <w:rFonts w:ascii="Times New Roman" w:hAnsi="Times New Roman" w:cs="Times New Roman"/>
          <w:lang w:val="en-US"/>
        </w:rPr>
        <w:t xml:space="preserve">at around 50 different locations throughout Switzerland, </w:t>
      </w:r>
      <w:r w:rsidR="00F516CC" w:rsidRPr="00F516CC">
        <w:rPr>
          <w:rFonts w:ascii="Times New Roman" w:hAnsi="Times New Roman" w:cs="Times New Roman"/>
          <w:lang w:val="en-US"/>
        </w:rPr>
        <w:t xml:space="preserve">courses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5"/>
      </w:r>
      <w:r w:rsidR="00FE4CA3" w:rsidRPr="00FE4CA3">
        <w:rPr>
          <w:rFonts w:ascii="Times New Roman" w:hAnsi="Times New Roman" w:cs="Times New Roman"/>
          <w:lang w:val="en-US"/>
        </w:rPr>
        <w:t xml:space="preserve"> as part of a strategic refocusing effort, particularly toward e-commerce, driven by the success of Digitec Galaxus, its online retail subsidiary, which has 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p>
    <w:p w14:paraId="4E51D451" w14:textId="59268B2C" w:rsidR="000259BE" w:rsidRDefault="000259BE" w:rsidP="00451E92">
      <w:pPr>
        <w:jc w:val="both"/>
        <w:rPr>
          <w:rFonts w:ascii="Times New Roman" w:hAnsi="Times New Roman" w:cs="Times New Roman"/>
          <w:lang w:val="en-US"/>
        </w:rPr>
      </w:pPr>
      <w:r>
        <w:rPr>
          <w:rFonts w:ascii="Times New Roman" w:hAnsi="Times New Roman" w:cs="Times New Roman"/>
          <w:lang w:val="en-US"/>
        </w:rPr>
        <w:lastRenderedPageBreak/>
        <w:t xml:space="preserve"> </w:t>
      </w:r>
      <w:r w:rsidR="009B2543" w:rsidRPr="009B2543">
        <w:rPr>
          <w:rFonts w:ascii="Times New Roman" w:hAnsi="Times New Roman" w:cs="Times New Roman"/>
          <w:lang w:val="en-US"/>
        </w:rPr>
        <w:t>Coop is the other historic giant of Swiss retail and Migros’s main competitor in the domestic market</w:t>
      </w:r>
      <w:r w:rsidR="009B2543">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w:t>
      </w:r>
      <w:r w:rsidR="00A977E0">
        <w:rPr>
          <w:rFonts w:ascii="Times New Roman" w:hAnsi="Times New Roman" w:cs="Times New Roman"/>
          <w:lang w:val="en-US"/>
        </w:rPr>
        <w:t xml:space="preserve"> Swiss</w:t>
      </w:r>
      <w:r w:rsidR="00451E92">
        <w:rPr>
          <w:rFonts w:ascii="Times New Roman" w:hAnsi="Times New Roman" w:cs="Times New Roman"/>
          <w:lang w:val="en-US"/>
        </w:rPr>
        <w:t xml:space="preserve">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similar to </w:t>
      </w:r>
      <w:r>
        <w:rPr>
          <w:rFonts w:ascii="Times New Roman" w:hAnsi="Times New Roman" w:cs="Times New Roman"/>
          <w:lang w:val="en-US"/>
        </w:rPr>
        <w:t>those</w:t>
      </w:r>
      <w:r w:rsidR="00451E92" w:rsidRPr="00451E92">
        <w:rPr>
          <w:rFonts w:ascii="Times New Roman" w:hAnsi="Times New Roman" w:cs="Times New Roman"/>
          <w:lang w:val="en-US"/>
        </w:rPr>
        <w:t xml:space="preserve"> of Migros, with a few notable differences: Coop has become more heavily involved in wholesale trade following its acquisition of Transgourmet, one of Europe's leading foodservice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r w:rsidR="002516BD">
        <w:rPr>
          <w:rFonts w:ascii="Times New Roman" w:hAnsi="Times New Roman" w:cs="Times New Roman"/>
          <w:lang w:val="en-US"/>
        </w:rPr>
        <w:t xml:space="preserve"> I</w:t>
      </w:r>
      <w:r>
        <w:rPr>
          <w:rFonts w:ascii="Times New Roman" w:hAnsi="Times New Roman" w:cs="Times New Roman"/>
          <w:lang w:val="en-US"/>
        </w:rPr>
        <w:t>t is thus not surprising that the most significant sector of the Swiss economy is Wholesale &amp; retail trade.</w:t>
      </w:r>
    </w:p>
    <w:p w14:paraId="0AD4B1B2" w14:textId="792A9EEE" w:rsidR="00E56851" w:rsidRDefault="009F39BC" w:rsidP="00451E92">
      <w:pPr>
        <w:jc w:val="both"/>
        <w:rPr>
          <w:rFonts w:ascii="Times New Roman" w:hAnsi="Times New Roman" w:cs="Times New Roman"/>
          <w:lang w:val="en-US"/>
        </w:rPr>
      </w:pPr>
      <w:r>
        <w:rPr>
          <w:rFonts w:ascii="Times New Roman" w:hAnsi="Times New Roman" w:cs="Times New Roman"/>
          <w:lang w:val="en-US"/>
        </w:rPr>
        <w:t xml:space="preserve">What is the effect of this duopoly on Swiss price dynamics? </w:t>
      </w:r>
      <w:r w:rsidR="00E56851" w:rsidRPr="00E56851">
        <w:rPr>
          <w:rFonts w:ascii="Times New Roman" w:hAnsi="Times New Roman" w:cs="Times New Roman"/>
          <w:lang w:val="en-US"/>
        </w:rPr>
        <w:t xml:space="preserve">On the one hand, Coop and Migros have been criticized for allegedly excessive margins that they are able to extract </w:t>
      </w:r>
      <w:r w:rsidR="00E56851">
        <w:rPr>
          <w:rFonts w:ascii="Times New Roman" w:hAnsi="Times New Roman" w:cs="Times New Roman"/>
          <w:lang w:val="en-US"/>
        </w:rPr>
        <w:t>thanks to</w:t>
      </w:r>
      <w:r w:rsidR="00E56851" w:rsidRPr="00E56851">
        <w:rPr>
          <w:rFonts w:ascii="Times New Roman" w:hAnsi="Times New Roman" w:cs="Times New Roman"/>
          <w:lang w:val="en-US"/>
        </w:rPr>
        <w:t xml:space="preserve"> their </w:t>
      </w:r>
      <w:r w:rsidR="000A3EB5">
        <w:rPr>
          <w:rFonts w:ascii="Times New Roman" w:hAnsi="Times New Roman" w:cs="Times New Roman"/>
          <w:lang w:val="en-US"/>
        </w:rPr>
        <w:t>oligopolistic power</w:t>
      </w:r>
      <w:r w:rsidR="00E56851" w:rsidRPr="00E56851">
        <w:rPr>
          <w:rFonts w:ascii="Times New Roman" w:hAnsi="Times New Roman" w:cs="Times New Roman"/>
          <w:lang w:val="en-US"/>
        </w:rPr>
        <w:t>. By controlling both processing and distribution, they enjoy significant leverage in negotiations, particularly regarding the prices of agricultural products, which has fueled dissatisfaction among Swiss farmers. These farmers, politically represented by the Swiss Farmers’ Union (SFU), have been joined in their criticism by other stakeholders, including the Fédération Romande des Consommateurs (</w:t>
      </w:r>
      <w:r w:rsidR="00957F4A">
        <w:rPr>
          <w:rFonts w:ascii="Times New Roman" w:hAnsi="Times New Roman" w:cs="Times New Roman"/>
          <w:lang w:val="en-US"/>
        </w:rPr>
        <w:t>Romandie</w:t>
      </w:r>
      <w:r w:rsidR="00E56851" w:rsidRPr="00E56851">
        <w:rPr>
          <w:rFonts w:ascii="Times New Roman" w:hAnsi="Times New Roman" w:cs="Times New Roman"/>
          <w:lang w:val="en-US"/>
        </w:rPr>
        <w:t xml:space="preserve"> Consumers’ Federation), the press, and the national public broadcaster RTS. RTS, for its part, has sought to assess directly the margins of the two major retailers through numerous investigations conducted in recent years.</w:t>
      </w:r>
      <w:r w:rsidR="00E56851">
        <w:rPr>
          <w:rFonts w:ascii="Times New Roman" w:hAnsi="Times New Roman" w:cs="Times New Roman"/>
          <w:lang w:val="en-US"/>
        </w:rPr>
        <w:t xml:space="preserve"> </w:t>
      </w:r>
      <w:r w:rsidR="00E56851" w:rsidRPr="00E56851">
        <w:rPr>
          <w:rFonts w:ascii="Times New Roman" w:hAnsi="Times New Roman" w:cs="Times New Roman"/>
          <w:lang w:val="en-US"/>
        </w:rPr>
        <w:t>One investigation published in 2023 highlighted what it described as “sometimes staggering price gaps between the prices paid by Coop and Migros and the prices charged on store shelves”</w:t>
      </w:r>
      <w:r w:rsidR="00E56851">
        <w:rPr>
          <w:rFonts w:ascii="Times New Roman" w:hAnsi="Times New Roman" w:cs="Times New Roman"/>
          <w:lang w:val="en-US"/>
        </w:rPr>
        <w:t>,</w:t>
      </w:r>
      <w:r w:rsidR="00E56851" w:rsidRPr="00E56851">
        <w:rPr>
          <w:rFonts w:ascii="Times New Roman" w:hAnsi="Times New Roman" w:cs="Times New Roman"/>
          <w:lang w:val="en-US"/>
        </w:rPr>
        <w:t xml:space="preserve"> with gross margins on food products reportedly ranging from 50% and 80% to as much as 110%</w:t>
      </w:r>
      <w:r w:rsidR="00E56851">
        <w:rPr>
          <w:rStyle w:val="Appelnotedebasdep"/>
          <w:rFonts w:ascii="Times New Roman" w:hAnsi="Times New Roman" w:cs="Times New Roman"/>
          <w:lang w:val="en-US"/>
        </w:rPr>
        <w:footnoteReference w:id="6"/>
      </w:r>
      <w:r w:rsidR="00E56851" w:rsidRPr="00E56851">
        <w:rPr>
          <w:rFonts w:ascii="Times New Roman" w:hAnsi="Times New Roman" w:cs="Times New Roman"/>
          <w:lang w:val="en-US"/>
        </w:rPr>
        <w:t xml:space="preserve">. </w:t>
      </w:r>
    </w:p>
    <w:p w14:paraId="4D2AD3F2" w14:textId="0BC64096" w:rsidR="001A5211" w:rsidRPr="00E56851" w:rsidRDefault="00E56851" w:rsidP="00451E92">
      <w:pPr>
        <w:jc w:val="both"/>
        <w:rPr>
          <w:rFonts w:ascii="Times New Roman" w:hAnsi="Times New Roman" w:cs="Times New Roman"/>
          <w:lang w:val="en-US"/>
        </w:rPr>
      </w:pPr>
      <w:r w:rsidRPr="00E56851">
        <w:rPr>
          <w:rFonts w:ascii="Times New Roman" w:hAnsi="Times New Roman" w:cs="Times New Roman"/>
          <w:lang w:val="en-US"/>
        </w:rPr>
        <w:t xml:space="preserve">This substantial market power enjoyed by Migros and Coop is the result of a long tradition of </w:t>
      </w:r>
      <w:r>
        <w:rPr>
          <w:rFonts w:ascii="Times New Roman" w:hAnsi="Times New Roman" w:cs="Times New Roman"/>
          <w:lang w:val="en-US"/>
        </w:rPr>
        <w:t>protection of</w:t>
      </w:r>
      <w:r w:rsidRPr="00E56851">
        <w:rPr>
          <w:rFonts w:ascii="Times New Roman" w:hAnsi="Times New Roman" w:cs="Times New Roman"/>
          <w:lang w:val="en-US"/>
        </w:rPr>
        <w:t xml:space="preserve"> the Swiss domestic </w:t>
      </w:r>
      <w:r>
        <w:rPr>
          <w:rFonts w:ascii="Times New Roman" w:hAnsi="Times New Roman" w:cs="Times New Roman"/>
          <w:lang w:val="en-US"/>
        </w:rPr>
        <w:t>sectors</w:t>
      </w:r>
      <w:r w:rsidRPr="00E56851">
        <w:rPr>
          <w:rFonts w:ascii="Times New Roman" w:hAnsi="Times New Roman" w:cs="Times New Roman"/>
          <w:lang w:val="en-US"/>
        </w:rPr>
        <w:t>.</w:t>
      </w:r>
      <w:r>
        <w:rPr>
          <w:rFonts w:ascii="Times New Roman" w:hAnsi="Times New Roman" w:cs="Times New Roman"/>
          <w:lang w:val="en-US"/>
        </w:rPr>
        <w:t xml:space="preserve"> </w:t>
      </w:r>
      <w:r w:rsidR="000340CA" w:rsidRPr="000340CA">
        <w:rPr>
          <w:rFonts w:ascii="Times New Roman" w:hAnsi="Times New Roman" w:cs="Times New Roman"/>
          <w:lang w:val="en-US"/>
        </w:rPr>
        <w:t>The Swiss regulatory framework of its retail sector has l</w:t>
      </w:r>
      <w:r w:rsidR="000340CA">
        <w:rPr>
          <w:rFonts w:ascii="Times New Roman" w:hAnsi="Times New Roman" w:cs="Times New Roman"/>
          <w:lang w:val="en-US"/>
        </w:rPr>
        <w:t>ong protected Coop and Migros from foreign competition: Swiss law restricts the opening of large stores above 10’000 sqft; food safety and packaging regulations are very restrictive; direct democracy also allows citizen to oppose any planned openings and thus the latter can be refused or take a long time. The three languages</w:t>
      </w:r>
      <w:r w:rsidR="009725E1">
        <w:rPr>
          <w:rFonts w:ascii="Times New Roman" w:hAnsi="Times New Roman" w:cs="Times New Roman"/>
          <w:lang w:val="en-US"/>
        </w:rPr>
        <w:t xml:space="preserve"> of the country</w:t>
      </w:r>
      <w:r w:rsidR="000340CA">
        <w:rPr>
          <w:rFonts w:ascii="Times New Roman" w:hAnsi="Times New Roman" w:cs="Times New Roman"/>
          <w:lang w:val="en-US"/>
        </w:rPr>
        <w:t xml:space="preserve">: French, German and Italian; and the strong federalist structure of Switzerland’s political institutions as well as its strong decentralization into 26 different cantons each having its own </w:t>
      </w:r>
      <w:r w:rsidR="009725E1">
        <w:rPr>
          <w:rFonts w:ascii="Times New Roman" w:hAnsi="Times New Roman" w:cs="Times New Roman"/>
          <w:lang w:val="en-US"/>
        </w:rPr>
        <w:t xml:space="preserve">laws </w:t>
      </w:r>
      <w:r w:rsidR="009720C9">
        <w:rPr>
          <w:rFonts w:ascii="Times New Roman" w:hAnsi="Times New Roman" w:cs="Times New Roman"/>
          <w:lang w:val="en-US"/>
        </w:rPr>
        <w:t>are additional administrative barriers which deter potential foreign competitors to Coop and Migros</w:t>
      </w:r>
      <w:r w:rsidR="009725E1">
        <w:rPr>
          <w:rFonts w:ascii="Times New Roman" w:hAnsi="Times New Roman" w:cs="Times New Roman"/>
          <w:lang w:val="en-US"/>
        </w:rPr>
        <w:t xml:space="preserve"> </w:t>
      </w:r>
      <w:r w:rsidR="009725E1">
        <w:rPr>
          <w:rFonts w:ascii="Times New Roman" w:hAnsi="Times New Roman" w:cs="Times New Roman"/>
          <w:lang w:val="en-US"/>
        </w:rPr>
        <w:fldChar w:fldCharType="begin"/>
      </w:r>
      <w:r w:rsidR="009725E1">
        <w:rPr>
          <w:rFonts w:ascii="Times New Roman" w:hAnsi="Times New Roman" w:cs="Times New Roman"/>
          <w:lang w:val="en-US"/>
        </w:rPr>
        <w:instrText xml:space="preserve"> ADDIN ZOTERO_ITEM CSL_CITATION {"citationID":"scN62gjd","properties":{"formattedCitation":"(Morschett et al. 2009)","plainCitation":"(Morschett et al. 2009)","noteIndex":0},"citationItems":[{"id":6564,"uris":["http://zotero.org/groups/6311349/items/849ZCK48"],"itemData":{"id":6564,"type":"article-journal","container-title":"European Retail Research","issue":"2","page":"163-190","title":"Retailing in Switzerland - Player, Strategies and Developments","volume":"23","author":[{"family":"Morschett","given":"Dirk"},{"family":"Rudolph","given":"Thomas"},{"family":"Bauer","given":"Johannes"},{"family":"Donnath","given":"Annett"},{"family":"Meise","given":"Niklas"}],"issued":{"date-parts":[["2009"]]}}}],"schema":"https://github.com/citation-style-language/schema/raw/master/csl-citation.json"} </w:instrText>
      </w:r>
      <w:r w:rsidR="009725E1">
        <w:rPr>
          <w:rFonts w:ascii="Times New Roman" w:hAnsi="Times New Roman" w:cs="Times New Roman"/>
          <w:lang w:val="en-US"/>
        </w:rPr>
        <w:fldChar w:fldCharType="separate"/>
      </w:r>
      <w:r w:rsidR="009725E1" w:rsidRPr="009725E1">
        <w:rPr>
          <w:rFonts w:ascii="Aptos" w:hAnsi="Aptos"/>
          <w:lang w:val="en-US"/>
        </w:rPr>
        <w:t>(Morschett et al. 2009)</w:t>
      </w:r>
      <w:r w:rsidR="009725E1">
        <w:rPr>
          <w:rFonts w:ascii="Times New Roman" w:hAnsi="Times New Roman" w:cs="Times New Roman"/>
          <w:lang w:val="en-US"/>
        </w:rPr>
        <w:fldChar w:fldCharType="end"/>
      </w:r>
      <w:r w:rsidR="009720C9">
        <w:rPr>
          <w:rFonts w:ascii="Times New Roman" w:hAnsi="Times New Roman" w:cs="Times New Roman"/>
          <w:lang w:val="en-US"/>
        </w:rPr>
        <w:t>.</w:t>
      </w:r>
    </w:p>
    <w:p w14:paraId="5B3BFD92" w14:textId="77777777" w:rsidR="003044C6" w:rsidRDefault="00E56851" w:rsidP="00C570BE">
      <w:pPr>
        <w:jc w:val="both"/>
        <w:rPr>
          <w:rFonts w:ascii="Times New Roman" w:hAnsi="Times New Roman" w:cs="Times New Roman"/>
          <w:lang w:val="en-US"/>
        </w:rPr>
      </w:pPr>
      <w:r w:rsidRPr="00E56851">
        <w:rPr>
          <w:rFonts w:ascii="Times New Roman" w:hAnsi="Times New Roman" w:cs="Times New Roman"/>
          <w:lang w:val="en-US"/>
        </w:rPr>
        <w:t>The agricultural sector</w:t>
      </w:r>
      <w:r w:rsidR="009D2E57">
        <w:rPr>
          <w:rFonts w:ascii="Times New Roman" w:hAnsi="Times New Roman" w:cs="Times New Roman"/>
          <w:lang w:val="en-US"/>
        </w:rPr>
        <w:t xml:space="preserve"> which </w:t>
      </w:r>
      <w:r w:rsidR="00973A99">
        <w:rPr>
          <w:rFonts w:ascii="Times New Roman" w:hAnsi="Times New Roman" w:cs="Times New Roman"/>
          <w:lang w:val="en-US"/>
        </w:rPr>
        <w:t>frequently denounces</w:t>
      </w:r>
      <w:r w:rsidR="009D2E57">
        <w:rPr>
          <w:rFonts w:ascii="Times New Roman" w:hAnsi="Times New Roman" w:cs="Times New Roman"/>
          <w:lang w:val="en-US"/>
        </w:rPr>
        <w:t xml:space="preserve"> the margins of the Coop-Migros duopoly</w:t>
      </w:r>
      <w:r w:rsidRPr="00E56851">
        <w:rPr>
          <w:rFonts w:ascii="Times New Roman" w:hAnsi="Times New Roman" w:cs="Times New Roman"/>
          <w:lang w:val="en-US"/>
        </w:rPr>
        <w:t xml:space="preserve"> is itself also heavily protected and regulated</w:t>
      </w:r>
      <w:r>
        <w:rPr>
          <w:rFonts w:ascii="Times New Roman" w:hAnsi="Times New Roman" w:cs="Times New Roman"/>
          <w:lang w:val="en-US"/>
        </w:rPr>
        <w:t xml:space="preserve">. </w:t>
      </w:r>
      <w:r w:rsidR="00155A77" w:rsidRPr="00155A77">
        <w:rPr>
          <w:rFonts w:ascii="Times New Roman" w:hAnsi="Times New Roman" w:cs="Times New Roman"/>
          <w:lang w:val="en-US"/>
        </w:rPr>
        <w:t xml:space="preserve">Swiss agriculture </w:t>
      </w:r>
      <w:r w:rsidR="00155A77">
        <w:rPr>
          <w:rFonts w:ascii="Times New Roman" w:hAnsi="Times New Roman" w:cs="Times New Roman"/>
          <w:lang w:val="en-US"/>
        </w:rPr>
        <w:t>would indeed not survive without the federal agricultural policy whose budget allocation for agriculture amounts to 3,4 billion francs per year, making Swiss agriculture one of the most subsidized among OECD economies. Swiss agriculture is also strongly protected from foreign competition</w:t>
      </w:r>
      <w:r w:rsidR="005F3729">
        <w:rPr>
          <w:rFonts w:ascii="Times New Roman" w:hAnsi="Times New Roman" w:cs="Times New Roman"/>
          <w:lang w:val="en-US"/>
        </w:rPr>
        <w:t>: the average most-</w:t>
      </w:r>
      <w:r w:rsidR="00F121EC">
        <w:rPr>
          <w:rFonts w:ascii="Times New Roman" w:hAnsi="Times New Roman" w:cs="Times New Roman"/>
          <w:lang w:val="en-US"/>
        </w:rPr>
        <w:t>favored</w:t>
      </w:r>
      <w:r w:rsidR="005F3729">
        <w:rPr>
          <w:rFonts w:ascii="Times New Roman" w:hAnsi="Times New Roman" w:cs="Times New Roman"/>
          <w:lang w:val="en-US"/>
        </w:rPr>
        <w:t>-nation tariff on agricultural imports in 2023 was</w:t>
      </w:r>
      <w:r w:rsidR="00C841C2">
        <w:rPr>
          <w:rFonts w:ascii="Times New Roman" w:hAnsi="Times New Roman" w:cs="Times New Roman"/>
          <w:lang w:val="en-US"/>
        </w:rPr>
        <w:t xml:space="preserve"> according to the World Trade </w:t>
      </w:r>
      <w:r w:rsidR="00C841C2">
        <w:rPr>
          <w:rFonts w:ascii="Times New Roman" w:hAnsi="Times New Roman" w:cs="Times New Roman"/>
          <w:lang w:val="en-US"/>
        </w:rPr>
        <w:lastRenderedPageBreak/>
        <w:t>Organization (WTO)</w:t>
      </w:r>
      <w:r w:rsidR="005F3729">
        <w:rPr>
          <w:rFonts w:ascii="Times New Roman" w:hAnsi="Times New Roman" w:cs="Times New Roman"/>
          <w:lang w:val="en-US"/>
        </w:rPr>
        <w:t xml:space="preserve"> at 28,5% whereas it was at 1,3% for non-agricultural products</w:t>
      </w:r>
      <w:r w:rsidR="00C841C2">
        <w:rPr>
          <w:rFonts w:ascii="Times New Roman" w:hAnsi="Times New Roman" w:cs="Times New Roman"/>
          <w:lang w:val="en-US"/>
        </w:rPr>
        <w:t xml:space="preserve"> in 2023</w:t>
      </w:r>
      <w:r w:rsidR="00D56334">
        <w:rPr>
          <w:rFonts w:ascii="Times New Roman" w:hAnsi="Times New Roman" w:cs="Times New Roman"/>
          <w:lang w:val="en-US"/>
        </w:rPr>
        <w:t xml:space="preserve">. Tariffs on agricultural products </w:t>
      </w:r>
      <w:r w:rsidR="00C841C2">
        <w:rPr>
          <w:rFonts w:ascii="Times New Roman" w:hAnsi="Times New Roman" w:cs="Times New Roman"/>
          <w:lang w:val="en-US"/>
        </w:rPr>
        <w:t>were</w:t>
      </w:r>
      <w:r w:rsidR="00D56334">
        <w:rPr>
          <w:rFonts w:ascii="Times New Roman" w:hAnsi="Times New Roman" w:cs="Times New Roman"/>
          <w:lang w:val="en-US"/>
        </w:rPr>
        <w:t xml:space="preserve"> particularly high for live animals and meat (97,7%) and for dairy products (129%) </w:t>
      </w:r>
      <w:r w:rsidR="00D56334">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{"citationID":"6uNFj1zs","properties":{"formattedCitation":"(WTO 2024)","plainCitation":"(WTO 2024)","dontUpdate":true,"noteIndex":0},"citationItems":[{"id":6757,"uris":["http://zotero.org/groups/6311349/items/L8M8WMME"],"itemData":{"id":6757,"type":"book","abstract":"World Tariff Profiles 2024 provides comprehensive information on the tariffs and non-tariff measures imposed by over 170 countries and customs territories. The publication starts with a breakdown of the tariffs imposed by these economies. Tariff data are presented in comparative tables and in one-page profiles for each economy. A summary table on selected indicators on the imports and exports profile for these economies is also presented. Statistics on non tariff measures by economy and by product group complement the data on tariffs. This special topic deals with “Tariffs on critical minerals in the electric vehicle value chain”. The publication is jointly prepared by the World Trade Organization, the UN Trade and Development (UNCTAD) and the International Trade Centre (ITC).","DOI":"10.30875/9789287076519","ISBN":"978-92-870-7651-9","language":"en","note":"DOI: 10.30875/9789287076519","publisher":"WTO iLibrary","source":"www.wto-ilibrary.org","title":"World Tariff Profiles 2024","URL":"https://www.wto-ilibrary.org/content/books/9789287076519","author":[{"family":"WTO","given":""}],"accessed":{"date-parts":[["2026",8,4]]},"issued":{"date-parts":[["2024",6,30]]}}}],"schema":"https://github.com/citation-style-language/schema/raw/master/csl-citation.json"} </w:instrText>
      </w:r>
      <w:r w:rsidR="00D56334">
        <w:rPr>
          <w:rFonts w:ascii="Times New Roman" w:hAnsi="Times New Roman" w:cs="Times New Roman"/>
          <w:lang w:val="en-US"/>
        </w:rPr>
        <w:fldChar w:fldCharType="separate"/>
      </w:r>
      <w:r w:rsidR="00D56334" w:rsidRPr="00D56334">
        <w:rPr>
          <w:rFonts w:ascii="Aptos" w:hAnsi="Aptos"/>
          <w:lang w:val="en-US"/>
        </w:rPr>
        <w:t>(WTO 2024</w:t>
      </w:r>
      <w:r w:rsidR="00D56334">
        <w:rPr>
          <w:rFonts w:ascii="Aptos" w:hAnsi="Aptos"/>
          <w:lang w:val="en-US"/>
        </w:rPr>
        <w:t>, 173</w:t>
      </w:r>
      <w:r w:rsidR="00D56334" w:rsidRPr="00D56334">
        <w:rPr>
          <w:rFonts w:ascii="Aptos" w:hAnsi="Aptos"/>
          <w:lang w:val="en-US"/>
        </w:rPr>
        <w:t>)</w:t>
      </w:r>
      <w:r w:rsidR="00D56334">
        <w:rPr>
          <w:rFonts w:ascii="Times New Roman" w:hAnsi="Times New Roman" w:cs="Times New Roman"/>
          <w:lang w:val="en-US"/>
        </w:rPr>
        <w:fldChar w:fldCharType="end"/>
      </w:r>
      <w:r w:rsidR="00D56334">
        <w:rPr>
          <w:rFonts w:ascii="Times New Roman" w:hAnsi="Times New Roman" w:cs="Times New Roman"/>
          <w:lang w:val="en-US"/>
        </w:rPr>
        <w:t>.</w:t>
      </w:r>
    </w:p>
    <w:p w14:paraId="15009E00" w14:textId="5CD46538" w:rsidR="00C570BE" w:rsidRDefault="005C4623" w:rsidP="00C570BE">
      <w:pPr>
        <w:jc w:val="both"/>
        <w:rPr>
          <w:rFonts w:ascii="Times New Roman" w:hAnsi="Times New Roman" w:cs="Times New Roman"/>
          <w:lang w:val="en-US"/>
        </w:rPr>
      </w:pPr>
      <w:r>
        <w:rPr>
          <w:rFonts w:ascii="Times New Roman" w:hAnsi="Times New Roman" w:cs="Times New Roman"/>
          <w:lang w:val="en-US"/>
        </w:rPr>
        <w:t xml:space="preserve"> Switzerland has indeed a long tradition of strong border protection for agricultural products through import quotas. After the Uruguay Round, (seasonal) tariff rate quotas</w:t>
      </w:r>
      <w:r w:rsidR="005C600E">
        <w:rPr>
          <w:rFonts w:ascii="Times New Roman" w:hAnsi="Times New Roman" w:cs="Times New Roman"/>
          <w:lang w:val="en-US"/>
        </w:rPr>
        <w:t xml:space="preserve"> (TRQs)</w:t>
      </w:r>
      <w:r>
        <w:rPr>
          <w:rFonts w:ascii="Times New Roman" w:hAnsi="Times New Roman" w:cs="Times New Roman"/>
          <w:lang w:val="en-US"/>
        </w:rPr>
        <w:t xml:space="preserve"> have become the main import protection tool to support farm income by keeping domestic producer prices high and to ensure domestic food supply.</w:t>
      </w:r>
      <w:r w:rsidR="005C600E">
        <w:rPr>
          <w:rFonts w:ascii="Times New Roman" w:hAnsi="Times New Roman" w:cs="Times New Roman"/>
          <w:lang w:val="en-US"/>
        </w:rPr>
        <w:t xml:space="preserve"> </w:t>
      </w:r>
      <w:r w:rsidR="004F14DE">
        <w:rPr>
          <w:rFonts w:ascii="Times New Roman" w:hAnsi="Times New Roman" w:cs="Times New Roman"/>
          <w:lang w:val="en-US"/>
        </w:rPr>
        <w:t xml:space="preserve">As a result, the OECD considers the level of price distortion of the Swiss agricultural sector to be one of the highest among OECD economies with a producer nominal protection of 1,56, meaning that Swiss farmers receive prices that are overall 56% above international market level </w:t>
      </w:r>
      <w:r w:rsidR="004F14DE">
        <w:rPr>
          <w:rFonts w:ascii="Times New Roman" w:hAnsi="Times New Roman" w:cs="Times New Roman"/>
          <w:lang w:val="en-US"/>
        </w:rPr>
        <w:fldChar w:fldCharType="begin"/>
      </w:r>
      <w:r w:rsidR="004F14DE">
        <w:rPr>
          <w:rFonts w:ascii="Times New Roman" w:hAnsi="Times New Roman" w:cs="Times New Roman"/>
          <w:lang w:val="en-US"/>
        </w:rPr>
        <w:instrText xml:space="preserve"> ADDIN ZOTERO_ITEM CSL_CITATION {"citationID":"2dMUOHYA","properties":{"formattedCitation":"(OECD 2025)","plainCitation":"(OECD 2025)","noteIndex":0},"citationItems":[{"id":6755,"uris":["http://zotero.org/groups/6311349/items/A7QTRLDP"],"itemData":{"id":6755,"type":"article-journal","abstract":"This annual report reviews agricultural policies in 54 countries, including the 38 OECD Member countries, five non‑OECD EU Member States, and 11 emerging economies. It finds that overall support to agriculture in 2022-24 remains well above pre-COVID levels. While nominal transfers to farmers have increased, expenditures benefitting consumers have declined. Support for innovation and other services is falling relative to the sector’s size, which, together with persistent trade distortions, threatens global food security.Marking 30 years since the WTO Agreement on Agriculture and the first UN Climate Change Conference, this year’s report focuses on policies at the nexus of agro-food trade and the environment. Agricultural and food trade has grown faster than production, with products increasingly moving through global value chains. Yet, agro-food products still face higher tariffs and trade barriers than other sectors, and market price support remains common.Governments are also doing more to address agriculture's environmental impacts, including its role in greenhouse gas emissions. The report offers guidance on designing better policies that align trade and environmental objectives, to help agriculture sustainably feed a growing world population.","container-title":"Agricultural Policy Monitoring and Evaluation","DOI":"10.1787/a80ac398-en","language":"en","publisher":"OECD Publishing","source":"www.oecd.org","title":"Agricultural Policy Monitoring and Evaluation 2025: Making the Most of the Trade and Environment Nexus in Agriculture","title-short":"Agricultural Policy Monitoring and Evaluation 2025","URL":"https://www.oecd.org/en/publications/agricultural-policy-monitoring-and-evaluation-2025_a80ac398-en.html","volume":"2025","author":[{"family":"OECD","given":""}],"accessed":{"date-parts":[["2026",8,4]]},"issued":{"date-parts":[["2025",10,30]]}}}],"schema":"https://github.com/citation-style-language/schema/raw/master/csl-citation.json"} </w:instrText>
      </w:r>
      <w:r w:rsidR="004F14DE">
        <w:rPr>
          <w:rFonts w:ascii="Times New Roman" w:hAnsi="Times New Roman" w:cs="Times New Roman"/>
          <w:lang w:val="en-US"/>
        </w:rPr>
        <w:fldChar w:fldCharType="separate"/>
      </w:r>
      <w:r w:rsidR="004F14DE" w:rsidRPr="004F14DE">
        <w:rPr>
          <w:rFonts w:ascii="Aptos" w:hAnsi="Aptos"/>
          <w:lang w:val="en-US"/>
        </w:rPr>
        <w:t>(OECD 2025)</w:t>
      </w:r>
      <w:r w:rsidR="004F14DE">
        <w:rPr>
          <w:rFonts w:ascii="Times New Roman" w:hAnsi="Times New Roman" w:cs="Times New Roman"/>
          <w:lang w:val="en-US"/>
        </w:rPr>
        <w:fldChar w:fldCharType="end"/>
      </w:r>
      <w:r w:rsidR="004F14DE">
        <w:rPr>
          <w:rFonts w:ascii="Times New Roman" w:hAnsi="Times New Roman" w:cs="Times New Roman"/>
          <w:lang w:val="en-US"/>
        </w:rPr>
        <w:t>.</w:t>
      </w:r>
      <w:r w:rsidR="005C600E">
        <w:rPr>
          <w:rFonts w:ascii="Times New Roman" w:hAnsi="Times New Roman" w:cs="Times New Roman"/>
          <w:lang w:val="en-US"/>
        </w:rPr>
        <w:t xml:space="preserve"> A study by Judith Hillen on tomato prices under seasonal TRQs suggests that this system guarantees high but stable prices for vegetables products, but generates </w:t>
      </w:r>
      <w:r w:rsidR="004C06E2">
        <w:rPr>
          <w:rFonts w:ascii="Times New Roman" w:hAnsi="Times New Roman" w:cs="Times New Roman"/>
          <w:lang w:val="en-US"/>
        </w:rPr>
        <w:t xml:space="preserve">quota </w:t>
      </w:r>
      <w:r w:rsidR="005C600E">
        <w:rPr>
          <w:rFonts w:ascii="Times New Roman" w:hAnsi="Times New Roman" w:cs="Times New Roman"/>
          <w:lang w:val="en-US"/>
        </w:rPr>
        <w:t xml:space="preserve">rents which are most likely captured by the large retail companies (Coop and Migros) as they are the holders of import quotas </w:t>
      </w:r>
      <w:r w:rsidR="005C600E">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{"citationID":"qMnpI0FI","properties":{"formattedCitation":"(Hillen 2019)","plainCitation":"(Hillen 2019)","dontUpdate":true,"noteIndex":0},"citationItems":[{"id":6760,"uris":["http://zotero.org/groups/6311349/items/QTMRB68F"],"itemData":{"id":6760,"type":"article-journal","abstract":"Switzerland applies seasonal tariff rate quotas (TRQs) for the import of many fruits and vegetables during the domestic harvest season. We examine how this system affects the relationship between Italian and Swiss tomato prices and test for physical market integration and spatial equilibrium conditions over time. We use detailed, transaction-based data on trade flows and trade costs and estimate an extended parity bounds model, following Barrett and Li (2002). We confirm that in the summer season, when TRQs are in place, markets are inefficient. While quota holders receive positive rents, the marginal rents for importers without quota shares are negative. This inhibits trade flows above the in-quota import quantity allowed by TRQs. Hence, despite leading to inefficiencies and creating rents for importers, seasonal TRQs are effective in protecting domestic production against competing imports.","container-title":"Journal of Agricultural Economics","DOI":"10.1111/1477-9552.12355","ISSN":"1477-9552","issue":"3","language":"en","license":"© 2019 The Authors. Journal of Agricultural Economics published by John Wiley &amp; Sons Ltd on behalf of Agricultural Economics Society.","page":"859-873","source":"Wiley Online Library","title":"Market Integration and Market Efficiency under Seasonal Tariff Rate Quotas","volume":"70","author":[{"family":"Hillen","given":"Judith"}],"issued":{"date-parts":[["2019"]]}}}],"schema":"https://github.com/citation-style-language/schema/raw/master/csl-citation.json"} </w:instrText>
      </w:r>
      <w:r w:rsidR="005C600E">
        <w:rPr>
          <w:rFonts w:ascii="Times New Roman" w:hAnsi="Times New Roman" w:cs="Times New Roman"/>
          <w:lang w:val="en-US"/>
        </w:rPr>
        <w:fldChar w:fldCharType="separate"/>
      </w:r>
      <w:r w:rsidR="005C600E" w:rsidRPr="005C600E">
        <w:rPr>
          <w:rFonts w:ascii="Aptos" w:hAnsi="Aptos"/>
          <w:lang w:val="en-US"/>
        </w:rPr>
        <w:t>(Hillen 2019</w:t>
      </w:r>
      <w:r w:rsidR="005C600E">
        <w:rPr>
          <w:rFonts w:ascii="Aptos" w:hAnsi="Aptos"/>
          <w:lang w:val="en-US"/>
        </w:rPr>
        <w:t>, 871</w:t>
      </w:r>
      <w:r w:rsidR="005C600E" w:rsidRPr="005C600E">
        <w:rPr>
          <w:rFonts w:ascii="Aptos" w:hAnsi="Aptos"/>
          <w:lang w:val="en-US"/>
        </w:rPr>
        <w:t>)</w:t>
      </w:r>
      <w:r w:rsidR="005C600E">
        <w:rPr>
          <w:rFonts w:ascii="Times New Roman" w:hAnsi="Times New Roman" w:cs="Times New Roman"/>
          <w:lang w:val="en-US"/>
        </w:rPr>
        <w:fldChar w:fldCharType="end"/>
      </w:r>
      <w:r w:rsidR="00E716A4">
        <w:rPr>
          <w:rFonts w:ascii="Times New Roman" w:hAnsi="Times New Roman" w:cs="Times New Roman"/>
          <w:lang w:val="en-US"/>
        </w:rPr>
        <w:t xml:space="preserve">. </w:t>
      </w:r>
    </w:p>
    <w:p w14:paraId="6026BB02" w14:textId="77777777" w:rsidR="005702AA" w:rsidRDefault="007F2DA8" w:rsidP="009B2543">
      <w:pPr>
        <w:jc w:val="both"/>
        <w:rPr>
          <w:rFonts w:ascii="Times New Roman" w:hAnsi="Times New Roman" w:cs="Times New Roman"/>
          <w:lang w:val="en-US"/>
        </w:rPr>
      </w:pPr>
      <w:r>
        <w:rPr>
          <w:rFonts w:ascii="Times New Roman" w:hAnsi="Times New Roman" w:cs="Times New Roman"/>
          <w:lang w:val="en-US"/>
        </w:rPr>
        <w:t>In response to th</w:t>
      </w:r>
      <w:r w:rsidR="00AF4C7B">
        <w:rPr>
          <w:rFonts w:ascii="Times New Roman" w:hAnsi="Times New Roman" w:cs="Times New Roman"/>
          <w:lang w:val="en-US"/>
        </w:rPr>
        <w:t>ese accusations, Coop and Migros have put forward their cooperative structure</w:t>
      </w:r>
      <w:r w:rsidR="00DE3002">
        <w:rPr>
          <w:rFonts w:ascii="Times New Roman" w:hAnsi="Times New Roman" w:cs="Times New Roman"/>
          <w:lang w:val="en-US"/>
        </w:rPr>
        <w:t xml:space="preserve"> which impede the two giants from generating profits and allegedly encourage them to pursue the interests of Swiss consumers</w:t>
      </w:r>
      <w:r w:rsidR="00E716A4">
        <w:rPr>
          <w:rFonts w:ascii="Times New Roman" w:hAnsi="Times New Roman" w:cs="Times New Roman"/>
          <w:lang w:val="en-US"/>
        </w:rPr>
        <w:t xml:space="preserve">. </w:t>
      </w:r>
      <w:r w:rsidR="00C570BE" w:rsidRPr="00C570BE">
        <w:rPr>
          <w:rFonts w:ascii="Times New Roman" w:hAnsi="Times New Roman" w:cs="Times New Roman"/>
          <w:lang w:val="en-US"/>
        </w:rPr>
        <w:t>In their communication strategies, Coop and Migros</w:t>
      </w:r>
      <w:r w:rsidR="00DE3002">
        <w:rPr>
          <w:rFonts w:ascii="Times New Roman" w:hAnsi="Times New Roman" w:cs="Times New Roman"/>
          <w:lang w:val="en-US"/>
        </w:rPr>
        <w:t xml:space="preserve"> furthermore</w:t>
      </w:r>
      <w:r w:rsidR="00C570BE" w:rsidRPr="00C570BE">
        <w:rPr>
          <w:rFonts w:ascii="Times New Roman" w:hAnsi="Times New Roman" w:cs="Times New Roman"/>
          <w:lang w:val="en-US"/>
        </w:rPr>
        <w:t xml:space="preserve"> claim to be engaged in "price wars" in order to remain attractive in the face of the two discount outsiders, Aldi and Lidl</w:t>
      </w:r>
      <w:r w:rsidR="00C570BE">
        <w:rPr>
          <w:rFonts w:ascii="Times New Roman" w:hAnsi="Times New Roman" w:cs="Times New Roman"/>
          <w:lang w:val="en-US"/>
        </w:rPr>
        <w:t xml:space="preserve">. </w:t>
      </w:r>
      <w:r w:rsidR="00C570BE" w:rsidRPr="00C570BE">
        <w:rPr>
          <w:rFonts w:ascii="Times New Roman" w:hAnsi="Times New Roman" w:cs="Times New Roman"/>
          <w:lang w:val="en-US"/>
        </w:rPr>
        <w:t>They a</w:t>
      </w:r>
      <w:r w:rsidR="00C570BE">
        <w:rPr>
          <w:rFonts w:ascii="Times New Roman" w:hAnsi="Times New Roman" w:cs="Times New Roman"/>
          <w:lang w:val="en-US"/>
        </w:rPr>
        <w:t xml:space="preserve">llegedly </w:t>
      </w:r>
      <w:r w:rsidR="00C570BE" w:rsidRPr="00C570BE">
        <w:rPr>
          <w:rFonts w:ascii="Times New Roman" w:hAnsi="Times New Roman" w:cs="Times New Roman"/>
          <w:lang w:val="en-US"/>
        </w:rPr>
        <w:t xml:space="preserve">claim that price </w:t>
      </w:r>
      <w:r w:rsidR="00AF4C7B">
        <w:rPr>
          <w:rFonts w:ascii="Times New Roman" w:hAnsi="Times New Roman" w:cs="Times New Roman"/>
          <w:lang w:val="en-US"/>
        </w:rPr>
        <w:t>reductions</w:t>
      </w:r>
      <w:r w:rsidR="00C570BE" w:rsidRPr="00C570BE">
        <w:rPr>
          <w:rFonts w:ascii="Times New Roman" w:hAnsi="Times New Roman" w:cs="Times New Roman"/>
          <w:lang w:val="en-US"/>
        </w:rPr>
        <w:t xml:space="preserve"> are regularly implemented across hundreds of products, and that these reductions are absorbed through lower margins on their side rather than at the expense of producers</w:t>
      </w:r>
      <w:r w:rsidR="00C570BE">
        <w:rPr>
          <w:rFonts w:ascii="Times New Roman" w:hAnsi="Times New Roman" w:cs="Times New Roman"/>
          <w:lang w:val="en-US"/>
        </w:rPr>
        <w:t>.</w:t>
      </w:r>
      <w:r w:rsidR="009C4A82">
        <w:rPr>
          <w:rFonts w:ascii="Times New Roman" w:hAnsi="Times New Roman" w:cs="Times New Roman"/>
          <w:lang w:val="en-US"/>
        </w:rPr>
        <w:t xml:space="preserve"> </w:t>
      </w:r>
    </w:p>
    <w:p w14:paraId="159B659D" w14:textId="7C54E6CA" w:rsidR="009B2543" w:rsidRDefault="009C4A82" w:rsidP="009B2543">
      <w:pPr>
        <w:jc w:val="both"/>
        <w:rPr>
          <w:rFonts w:ascii="Times New Roman" w:hAnsi="Times New Roman" w:cs="Times New Roman"/>
          <w:lang w:val="en-US"/>
        </w:rPr>
      </w:pPr>
      <w:r>
        <w:rPr>
          <w:rFonts w:ascii="Times New Roman" w:hAnsi="Times New Roman" w:cs="Times New Roman"/>
          <w:lang w:val="en-US"/>
        </w:rPr>
        <w:t xml:space="preserve">As shown by </w:t>
      </w:r>
      <w:r>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{"citationID":"XbXe1nq6","properties":{"formattedCitation":"(Fischer et al. 2021)","plainCitation":"(Fischer et al. 2021)","dontUpdate":true,"noteIndex":0},"citationItems":[{"id":6774,"uris":["http://zotero.org/groups/6311349/items/9EMSZ2RT"],"itemData":{"id":6774,"type":"document","publisher":"BAK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Pr>
          <w:rFonts w:ascii="Times New Roman" w:hAnsi="Times New Roman" w:cs="Times New Roman"/>
          <w:lang w:val="en-US"/>
        </w:rPr>
        <w:fldChar w:fldCharType="separate"/>
      </w:r>
      <w:r w:rsidRPr="009C4A82">
        <w:rPr>
          <w:rFonts w:ascii="Aptos" w:hAnsi="Aptos"/>
          <w:lang w:val="en-US"/>
        </w:rPr>
        <w:t xml:space="preserve">Fischer et al. </w:t>
      </w:r>
      <w:r>
        <w:rPr>
          <w:rFonts w:ascii="Aptos" w:hAnsi="Aptos"/>
          <w:lang w:val="en-US"/>
        </w:rPr>
        <w:t>(</w:t>
      </w:r>
      <w:r w:rsidRPr="009C4A82">
        <w:rPr>
          <w:rFonts w:ascii="Aptos" w:hAnsi="Aptos"/>
          <w:lang w:val="en-US"/>
        </w:rPr>
        <w:t>2021)</w:t>
      </w:r>
      <w:r>
        <w:rPr>
          <w:rFonts w:ascii="Times New Roman" w:hAnsi="Times New Roman" w:cs="Times New Roman"/>
          <w:lang w:val="en-US"/>
        </w:rPr>
        <w:fldChar w:fldCharType="end"/>
      </w:r>
      <w:r>
        <w:rPr>
          <w:rFonts w:ascii="Times New Roman" w:hAnsi="Times New Roman" w:cs="Times New Roman"/>
          <w:lang w:val="en-US"/>
        </w:rPr>
        <w:t xml:space="preserve">, </w:t>
      </w:r>
      <w:r w:rsidR="00987B34">
        <w:rPr>
          <w:rFonts w:ascii="Times New Roman" w:hAnsi="Times New Roman" w:cs="Times New Roman"/>
          <w:lang w:val="en-US"/>
        </w:rPr>
        <w:t xml:space="preserve">it is true that </w:t>
      </w:r>
      <w:r>
        <w:rPr>
          <w:rFonts w:ascii="Times New Roman" w:hAnsi="Times New Roman" w:cs="Times New Roman"/>
          <w:lang w:val="en-US"/>
        </w:rPr>
        <w:t>the Swiss retail sector has experienced an important decline in its price level</w:t>
      </w:r>
      <w:r w:rsidR="00987B34">
        <w:rPr>
          <w:rFonts w:ascii="Times New Roman" w:hAnsi="Times New Roman" w:cs="Times New Roman"/>
          <w:lang w:val="en-US"/>
        </w:rPr>
        <w:t xml:space="preserve"> at least</w:t>
      </w:r>
      <w:r>
        <w:rPr>
          <w:rFonts w:ascii="Times New Roman" w:hAnsi="Times New Roman" w:cs="Times New Roman"/>
          <w:lang w:val="en-US"/>
        </w:rPr>
        <w:t xml:space="preserve"> between 1994 and 2019 as the price of a representative retail shopping basket decreased by 27,5% during this period.</w:t>
      </w:r>
      <w:r w:rsidR="00D10F6C">
        <w:rPr>
          <w:rFonts w:ascii="Times New Roman" w:hAnsi="Times New Roman" w:cs="Times New Roman"/>
          <w:lang w:val="en-US"/>
        </w:rPr>
        <w:t xml:space="preserve"> But</w:t>
      </w:r>
      <w:r>
        <w:rPr>
          <w:rFonts w:ascii="Times New Roman" w:hAnsi="Times New Roman" w:cs="Times New Roman"/>
          <w:lang w:val="en-US"/>
        </w:rPr>
        <w:t xml:space="preserve"> </w:t>
      </w:r>
      <w:r w:rsidR="00D10F6C">
        <w:rPr>
          <w:rFonts w:ascii="Times New Roman" w:hAnsi="Times New Roman" w:cs="Times New Roman"/>
          <w:lang w:val="en-US"/>
        </w:rPr>
        <w:t>t</w:t>
      </w:r>
      <w:r>
        <w:rPr>
          <w:rFonts w:ascii="Times New Roman" w:hAnsi="Times New Roman" w:cs="Times New Roman"/>
          <w:lang w:val="en-US"/>
        </w:rPr>
        <w:t xml:space="preserve">his decline is mainly driven by falling prices in non-food products </w:t>
      </w:r>
      <w:r w:rsidR="00987B34">
        <w:rPr>
          <w:rFonts w:ascii="Times New Roman" w:hAnsi="Times New Roman" w:cs="Times New Roman"/>
          <w:lang w:val="en-US"/>
        </w:rPr>
        <w:t>as the same price index excluding food products nearly halved over the same period</w:t>
      </w:r>
      <w:r w:rsidR="00C20063">
        <w:rPr>
          <w:rFonts w:ascii="Times New Roman" w:hAnsi="Times New Roman" w:cs="Times New Roman"/>
          <w:lang w:val="en-US"/>
        </w:rPr>
        <w:t xml:space="preserve"> while </w:t>
      </w:r>
      <w:r w:rsidR="00DC1EF6">
        <w:rPr>
          <w:rFonts w:ascii="Times New Roman" w:hAnsi="Times New Roman" w:cs="Times New Roman"/>
          <w:lang w:val="en-US"/>
        </w:rPr>
        <w:t>the food-only index increased by 19%</w:t>
      </w:r>
      <w:r w:rsidR="00DC1EF6">
        <w:rPr>
          <w:rStyle w:val="Appelnotedebasdep"/>
          <w:rFonts w:ascii="Times New Roman" w:hAnsi="Times New Roman" w:cs="Times New Roman"/>
          <w:lang w:val="en-US"/>
        </w:rPr>
        <w:footnoteReference w:id="7"/>
      </w:r>
      <w:r w:rsidR="00C20063">
        <w:rPr>
          <w:rFonts w:ascii="Times New Roman" w:hAnsi="Times New Roman" w:cs="Times New Roman"/>
          <w:lang w:val="en-US"/>
        </w:rPr>
        <w:t>.</w:t>
      </w:r>
      <w:r w:rsidR="005B6498">
        <w:rPr>
          <w:rFonts w:ascii="Times New Roman" w:hAnsi="Times New Roman" w:cs="Times New Roman"/>
          <w:lang w:val="en-US"/>
        </w:rPr>
        <w:t xml:space="preserve"> </w:t>
      </w:r>
      <w:r w:rsidR="007F2DA8">
        <w:rPr>
          <w:rFonts w:ascii="Times New Roman" w:hAnsi="Times New Roman" w:cs="Times New Roman"/>
          <w:lang w:val="en-US"/>
        </w:rPr>
        <w:t>D</w:t>
      </w:r>
      <w:r w:rsidR="00C570BE" w:rsidRPr="00E716A4">
        <w:rPr>
          <w:rFonts w:ascii="Times New Roman" w:hAnsi="Times New Roman" w:cs="Times New Roman"/>
          <w:lang w:val="en-US"/>
        </w:rPr>
        <w:t>ue to lack of information on</w:t>
      </w:r>
      <w:r w:rsidR="005B6498">
        <w:rPr>
          <w:rFonts w:ascii="Times New Roman" w:hAnsi="Times New Roman" w:cs="Times New Roman"/>
          <w:lang w:val="en-US"/>
        </w:rPr>
        <w:t xml:space="preserve"> Swiss firms</w:t>
      </w:r>
      <w:r w:rsidR="001B22E1">
        <w:rPr>
          <w:rFonts w:ascii="Times New Roman" w:hAnsi="Times New Roman" w:cs="Times New Roman"/>
          <w:lang w:val="en-US"/>
        </w:rPr>
        <w:t>’</w:t>
      </w:r>
      <w:r w:rsidR="00C570BE">
        <w:rPr>
          <w:rFonts w:ascii="Times New Roman" w:hAnsi="Times New Roman" w:cs="Times New Roman"/>
          <w:lang w:val="en-US"/>
        </w:rPr>
        <w:t xml:space="preserve"> margins and markups, it is </w:t>
      </w:r>
      <w:r w:rsidR="00374402">
        <w:rPr>
          <w:rFonts w:ascii="Times New Roman" w:hAnsi="Times New Roman" w:cs="Times New Roman"/>
          <w:lang w:val="en-US"/>
        </w:rPr>
        <w:t>however</w:t>
      </w:r>
      <w:r w:rsidR="007F2DA8">
        <w:rPr>
          <w:rFonts w:ascii="Times New Roman" w:hAnsi="Times New Roman" w:cs="Times New Roman"/>
          <w:lang w:val="en-US"/>
        </w:rPr>
        <w:t xml:space="preserve"> </w:t>
      </w:r>
      <w:r w:rsidR="00C570BE">
        <w:rPr>
          <w:rFonts w:ascii="Times New Roman" w:hAnsi="Times New Roman" w:cs="Times New Roman"/>
          <w:lang w:val="en-US"/>
        </w:rPr>
        <w:t xml:space="preserve">not possible to assess </w:t>
      </w:r>
      <w:r w:rsidR="005B6498">
        <w:rPr>
          <w:rFonts w:ascii="Times New Roman" w:hAnsi="Times New Roman" w:cs="Times New Roman"/>
          <w:lang w:val="en-US"/>
        </w:rPr>
        <w:t>how the costs of retail price decreases are distributed between producers and retailers</w:t>
      </w:r>
      <w:r w:rsidR="00AF4C7B">
        <w:rPr>
          <w:rFonts w:ascii="Times New Roman" w:hAnsi="Times New Roman" w:cs="Times New Roman"/>
          <w:lang w:val="en-US"/>
        </w:rPr>
        <w:t>.</w:t>
      </w:r>
      <w:r w:rsidR="00617CDD">
        <w:rPr>
          <w:rFonts w:ascii="Times New Roman" w:hAnsi="Times New Roman" w:cs="Times New Roman"/>
          <w:lang w:val="en-US"/>
        </w:rPr>
        <w:t xml:space="preserve"> What can be asserted </w:t>
      </w:r>
      <w:r w:rsidR="005A2F79">
        <w:rPr>
          <w:rFonts w:ascii="Times New Roman" w:hAnsi="Times New Roman" w:cs="Times New Roman"/>
          <w:lang w:val="en-US"/>
        </w:rPr>
        <w:t>with certainty</w:t>
      </w:r>
      <w:r w:rsidR="00617CDD">
        <w:rPr>
          <w:rFonts w:ascii="Times New Roman" w:hAnsi="Times New Roman" w:cs="Times New Roman"/>
          <w:lang w:val="en-US"/>
        </w:rPr>
        <w:t xml:space="preserve"> is that the strong degree of regulation and protection of the retail and agricultural sectors outlined above contribute </w:t>
      </w:r>
      <w:r w:rsidR="004C6BD4">
        <w:rPr>
          <w:rFonts w:ascii="Times New Roman" w:hAnsi="Times New Roman" w:cs="Times New Roman"/>
          <w:lang w:val="en-US"/>
        </w:rPr>
        <w:t>to Swiss food price stability by isolating the latter from international price fluctuations at the expense of very high domestic prices.</w:t>
      </w:r>
      <w:r>
        <w:rPr>
          <w:rFonts w:ascii="Times New Roman" w:hAnsi="Times New Roman" w:cs="Times New Roman"/>
          <w:lang w:val="en-US"/>
        </w:rPr>
        <w:t xml:space="preserve"> </w:t>
      </w:r>
    </w:p>
    <w:p w14:paraId="5FD01D35" w14:textId="4DC53CC6" w:rsidR="00AB1A05" w:rsidRDefault="00AB1A05" w:rsidP="00AB1A05">
      <w:pPr>
        <w:pStyle w:val="Titre2"/>
        <w:rPr>
          <w:lang w:val="en-US"/>
        </w:rPr>
      </w:pPr>
      <w:r>
        <w:rPr>
          <w:lang w:val="en-US"/>
        </w:rPr>
        <w:lastRenderedPageBreak/>
        <w:t>Energy sector</w:t>
      </w:r>
    </w:p>
    <w:p w14:paraId="7E4D3B26" w14:textId="435FE752" w:rsidR="00AD7EDD" w:rsidRDefault="003044C6" w:rsidP="00CB706E">
      <w:pPr>
        <w:jc w:val="both"/>
        <w:rPr>
          <w:rFonts w:ascii="Times New Roman" w:hAnsi="Times New Roman" w:cs="Times New Roman"/>
          <w:lang w:val="en-US"/>
        </w:rPr>
      </w:pPr>
      <w:r>
        <w:rPr>
          <w:noProof/>
        </w:rPr>
        <mc:AlternateContent>
          <mc:Choice Requires="wps">
            <w:drawing>
              <wp:anchor distT="0" distB="0" distL="114300" distR="114300" simplePos="0" relativeHeight="251669504" behindDoc="0" locked="0" layoutInCell="1" allowOverlap="1" wp14:anchorId="306973DC" wp14:editId="51D146C1">
                <wp:simplePos x="0" y="0"/>
                <wp:positionH relativeFrom="margin">
                  <wp:align>center</wp:align>
                </wp:positionH>
                <wp:positionV relativeFrom="paragraph">
                  <wp:posOffset>5272697</wp:posOffset>
                </wp:positionV>
                <wp:extent cx="5527040" cy="635"/>
                <wp:effectExtent l="0" t="0" r="0" b="0"/>
                <wp:wrapSquare wrapText="bothSides"/>
                <wp:docPr id="153271882" name="Zone de texte 1"/>
                <wp:cNvGraphicFramePr/>
                <a:graphic xmlns:a="http://schemas.openxmlformats.org/drawingml/2006/main">
                  <a:graphicData uri="http://schemas.microsoft.com/office/word/2010/wordprocessingShape">
                    <wps:wsp>
                      <wps:cNvSpPr txBox="1"/>
                      <wps:spPr>
                        <a:xfrm>
                          <a:off x="0" y="0"/>
                          <a:ext cx="5527040" cy="635"/>
                        </a:xfrm>
                        <a:prstGeom prst="rect">
                          <a:avLst/>
                        </a:prstGeom>
                        <a:solidFill>
                          <a:prstClr val="white"/>
                        </a:solidFill>
                        <a:ln>
                          <a:noFill/>
                        </a:ln>
                      </wps:spPr>
                      <wps:txbx>
                        <w:txbxContent>
                          <w:p w14:paraId="69F4D29D" w14:textId="2A810A93" w:rsidR="00394E9D" w:rsidRPr="003044C6" w:rsidRDefault="00394E9D" w:rsidP="00394E9D">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6</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Share of primary energy use by source in Switzerland (measured as a percentage of total energy supply). Data source: Our World in Data, Energy Institute.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6973DC" id="_x0000_s1031" type="#_x0000_t202" style="position:absolute;left:0;text-align:left;margin-left:0;margin-top:415.15pt;width:435.2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4aAGQ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XKxmH+cfiCXJN/N+0X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" stroked="f">
                <v:textbox style="mso-fit-shape-to-text:t" inset="0,0,0,0">
                  <w:txbxContent>
                    <w:p w14:paraId="69F4D29D" w14:textId="2A810A93" w:rsidR="00394E9D" w:rsidRPr="003044C6" w:rsidRDefault="00394E9D" w:rsidP="00394E9D">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6</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Share of primary energy use by source in Switzerland (measured as a percentage of total energy supply). Data source: Our World in Data, Energy Institute.</w:t>
                      </w:r>
                    </w:p>
                  </w:txbxContent>
                </v:textbox>
                <w10:wrap type="square" anchorx="margin"/>
              </v:shape>
            </w:pict>
          </mc:Fallback>
        </mc:AlternateContent>
      </w:r>
      <w:r w:rsidR="00AD7EDD">
        <w:rPr>
          <w:rFonts w:ascii="Times New Roman" w:hAnsi="Times New Roman" w:cs="Times New Roman"/>
          <w:noProof/>
          <w:lang w:val="en-US"/>
        </w:rPr>
        <w:drawing>
          <wp:anchor distT="0" distB="0" distL="114300" distR="114300" simplePos="0" relativeHeight="251660288" behindDoc="0" locked="0" layoutInCell="1" allowOverlap="1" wp14:anchorId="72E75845" wp14:editId="68394547">
            <wp:simplePos x="0" y="0"/>
            <wp:positionH relativeFrom="margin">
              <wp:align>left</wp:align>
            </wp:positionH>
            <wp:positionV relativeFrom="paragraph">
              <wp:posOffset>843915</wp:posOffset>
            </wp:positionV>
            <wp:extent cx="5527040" cy="4550410"/>
            <wp:effectExtent l="0" t="0" r="0" b="2540"/>
            <wp:wrapSquare wrapText="bothSides"/>
            <wp:docPr id="1468408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7040" cy="4550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6307">
        <w:rPr>
          <w:rFonts w:ascii="Times New Roman" w:hAnsi="Times New Roman" w:cs="Times New Roman"/>
          <w:lang w:val="en-US"/>
        </w:rPr>
        <w:t xml:space="preserve">Another systemically significant sector which deserves close attention is the Electricity </w:t>
      </w:r>
      <w:r w:rsidR="00AB1A05">
        <w:rPr>
          <w:rFonts w:ascii="Times New Roman" w:hAnsi="Times New Roman" w:cs="Times New Roman"/>
          <w:lang w:val="en-US"/>
        </w:rPr>
        <w:t>&amp;</w:t>
      </w:r>
      <w:r w:rsidR="00C86307">
        <w:rPr>
          <w:rFonts w:ascii="Times New Roman" w:hAnsi="Times New Roman" w:cs="Times New Roman"/>
          <w:lang w:val="en-US"/>
        </w:rPr>
        <w:t xml:space="preserve"> Gas sector</w:t>
      </w:r>
      <w:r w:rsidR="00AB1A05">
        <w:rPr>
          <w:rFonts w:ascii="Times New Roman" w:hAnsi="Times New Roman" w:cs="Times New Roman"/>
          <w:lang w:val="en-US"/>
        </w:rPr>
        <w:t xml:space="preserve"> and more generally the energy sector</w:t>
      </w:r>
      <w:r w:rsidR="00760A60">
        <w:rPr>
          <w:rFonts w:ascii="Times New Roman" w:hAnsi="Times New Roman" w:cs="Times New Roman"/>
          <w:lang w:val="en-US"/>
        </w:rPr>
        <w:t xml:space="preserve">. </w:t>
      </w:r>
      <w:r w:rsidR="003A0B35">
        <w:rPr>
          <w:rFonts w:ascii="Times New Roman" w:hAnsi="Times New Roman" w:cs="Times New Roman"/>
          <w:lang w:val="en-US"/>
        </w:rPr>
        <w:t>In terms of energy source, Switzerland is characterized by a well-diversified energy mix which makes the country relatively less dependent on fossil energy sources compared to other countries.</w:t>
      </w:r>
    </w:p>
    <w:p w14:paraId="512D1114" w14:textId="7904ACA3" w:rsidR="003044C6" w:rsidRDefault="00AD7EDD" w:rsidP="001372AC">
      <w:pPr>
        <w:jc w:val="both"/>
        <w:rPr>
          <w:rFonts w:ascii="Times New Roman" w:hAnsi="Times New Roman" w:cs="Times New Roman"/>
          <w:lang w:val="en-US"/>
        </w:rPr>
      </w:pPr>
      <w:r>
        <w:rPr>
          <w:rFonts w:ascii="Times New Roman" w:hAnsi="Times New Roman" w:cs="Times New Roman"/>
          <w:lang w:val="en-US"/>
        </w:rPr>
        <w:t xml:space="preserve">Figure </w:t>
      </w:r>
      <w:r w:rsidR="00394E9D">
        <w:rPr>
          <w:rFonts w:ascii="Times New Roman" w:hAnsi="Times New Roman" w:cs="Times New Roman"/>
          <w:lang w:val="en-US"/>
        </w:rPr>
        <w:t xml:space="preserve">4 </w:t>
      </w:r>
      <w:r>
        <w:rPr>
          <w:rFonts w:ascii="Times New Roman" w:hAnsi="Times New Roman" w:cs="Times New Roman"/>
          <w:lang w:val="en-US"/>
        </w:rPr>
        <w:t xml:space="preserve">shows Switzerland’s share of energy consumption by source, measured in percentage of </w:t>
      </w:r>
      <w:r w:rsidR="00394E9D">
        <w:rPr>
          <w:rFonts w:ascii="Times New Roman" w:hAnsi="Times New Roman" w:cs="Times New Roman"/>
          <w:lang w:val="en-US"/>
        </w:rPr>
        <w:t>total energy supply</w:t>
      </w:r>
      <w:r>
        <w:rPr>
          <w:rFonts w:ascii="Times New Roman" w:hAnsi="Times New Roman" w:cs="Times New Roman"/>
          <w:lang w:val="en-US"/>
        </w:rPr>
        <w:t xml:space="preserve">. Even though Switzerland’s main energy source comes from oil, its share </w:t>
      </w:r>
      <w:r w:rsidR="0030213F">
        <w:rPr>
          <w:rFonts w:ascii="Times New Roman" w:hAnsi="Times New Roman" w:cs="Times New Roman"/>
          <w:lang w:val="en-US"/>
        </w:rPr>
        <w:t>in terms of total primary energy consumption has declined substantially in the last decades, so much that hydropower has become since 2024 the country’s principal energy source.</w:t>
      </w:r>
      <w:r w:rsidR="002575E2">
        <w:rPr>
          <w:rFonts w:ascii="Times New Roman" w:hAnsi="Times New Roman" w:cs="Times New Roman"/>
          <w:lang w:val="en-US"/>
        </w:rPr>
        <w:t xml:space="preserve"> </w:t>
      </w:r>
      <w:r w:rsidR="00D75457">
        <w:rPr>
          <w:rFonts w:ascii="Times New Roman" w:hAnsi="Times New Roman" w:cs="Times New Roman"/>
          <w:lang w:val="en-US"/>
        </w:rPr>
        <w:t>While Switzerland is often regarded as a country deprived of any natural resources, it benefits from abundant water resources which represent a key indigenous asset</w:t>
      </w:r>
      <w:r w:rsidR="00A029AF">
        <w:rPr>
          <w:rFonts w:ascii="Times New Roman" w:hAnsi="Times New Roman" w:cs="Times New Roman"/>
          <w:lang w:val="en-US"/>
        </w:rPr>
        <w:t xml:space="preserve">. The </w:t>
      </w:r>
      <w:r w:rsidR="0047020D">
        <w:rPr>
          <w:rFonts w:ascii="Times New Roman" w:hAnsi="Times New Roman" w:cs="Times New Roman"/>
          <w:lang w:val="en-US"/>
        </w:rPr>
        <w:t xml:space="preserve">use of water as a power resource </w:t>
      </w:r>
      <w:r w:rsidR="007B1570">
        <w:rPr>
          <w:rFonts w:ascii="Times New Roman" w:hAnsi="Times New Roman" w:cs="Times New Roman"/>
          <w:lang w:val="en-US"/>
        </w:rPr>
        <w:t xml:space="preserve">dates back to the first industrial revolution, when hydropower was preferred over the steam engine as the driving source of power for industrialization. The choice of hydropower over the steam engine was a consequence of </w:t>
      </w:r>
      <w:r w:rsidR="001F1A84">
        <w:rPr>
          <w:rFonts w:ascii="Times New Roman" w:hAnsi="Times New Roman" w:cs="Times New Roman"/>
          <w:lang w:val="en-US"/>
        </w:rPr>
        <w:t xml:space="preserve">the quasi-absence of domestic coal resources and the high transport costs which made imports of coal very expensive. </w:t>
      </w:r>
    </w:p>
    <w:p w14:paraId="7EBDE006" w14:textId="77777777" w:rsidR="003044C6" w:rsidRDefault="003C7045" w:rsidP="001372AC">
      <w:pPr>
        <w:jc w:val="both"/>
        <w:rPr>
          <w:rFonts w:ascii="Times New Roman" w:hAnsi="Times New Roman" w:cs="Times New Roman"/>
          <w:lang w:val="en-US"/>
        </w:rPr>
      </w:pPr>
      <w:r w:rsidRPr="003C7045">
        <w:rPr>
          <w:rFonts w:ascii="Times New Roman" w:hAnsi="Times New Roman" w:cs="Times New Roman"/>
          <w:lang w:val="en-US"/>
        </w:rPr>
        <w:t xml:space="preserve">The choice of hydraulic power as the driving force during the Industrial Revolution had major consequences for Switzerland's economic and social development. Swiss factories, particularly those in the textile industry, became dispersed throughout rural areas along rivers and streams. </w:t>
      </w:r>
      <w:r w:rsidRPr="003C7045">
        <w:rPr>
          <w:rFonts w:ascii="Times New Roman" w:hAnsi="Times New Roman" w:cs="Times New Roman"/>
          <w:lang w:val="en-US"/>
        </w:rPr>
        <w:lastRenderedPageBreak/>
        <w:t xml:space="preserve">For a long time, this rural character of Swiss industry </w:t>
      </w:r>
      <w:r>
        <w:rPr>
          <w:rFonts w:ascii="Times New Roman" w:hAnsi="Times New Roman" w:cs="Times New Roman"/>
          <w:lang w:val="en-US"/>
        </w:rPr>
        <w:t>allowed</w:t>
      </w:r>
      <w:r w:rsidRPr="003C7045">
        <w:rPr>
          <w:rFonts w:ascii="Times New Roman" w:hAnsi="Times New Roman" w:cs="Times New Roman"/>
          <w:lang w:val="en-US"/>
        </w:rPr>
        <w:t xml:space="preserve"> industrialists to keep wages very low, since workers could obtain food and other necessities at low cost or even produce part of their own subsistence. This decentralized pattern of industrialization also slowed the emergence of the trade union movement.</w:t>
      </w:r>
      <w:r>
        <w:rPr>
          <w:rFonts w:ascii="Times New Roman" w:hAnsi="Times New Roman" w:cs="Times New Roman"/>
          <w:lang w:val="en-US"/>
        </w:rPr>
        <w:t xml:space="preserve"> </w:t>
      </w:r>
      <w:r w:rsidR="00737CCF">
        <w:rPr>
          <w:rFonts w:ascii="Times New Roman" w:hAnsi="Times New Roman" w:cs="Times New Roman"/>
          <w:lang w:val="en-US"/>
        </w:rPr>
        <w:t xml:space="preserve">The limited energy capacity of hydropower compared to the steam engine </w:t>
      </w:r>
      <w:r w:rsidR="00374402">
        <w:rPr>
          <w:rFonts w:ascii="Times New Roman" w:hAnsi="Times New Roman" w:cs="Times New Roman"/>
          <w:lang w:val="en-US"/>
        </w:rPr>
        <w:t>furthermore</w:t>
      </w:r>
      <w:r w:rsidR="00737CCF">
        <w:rPr>
          <w:rFonts w:ascii="Times New Roman" w:hAnsi="Times New Roman" w:cs="Times New Roman"/>
          <w:lang w:val="en-US"/>
        </w:rPr>
        <w:t xml:space="preserve"> explains why Swiss entrepreneurs specialized into the production of light commodities such as embroidery, textiles, ribbons, silk or watchmaking and jewelry-making. </w:t>
      </w:r>
    </w:p>
    <w:p w14:paraId="7215D37D" w14:textId="5DE877DE" w:rsidR="00394E9D" w:rsidRDefault="00737CCF" w:rsidP="001372AC">
      <w:pPr>
        <w:jc w:val="both"/>
        <w:rPr>
          <w:rFonts w:ascii="Times New Roman" w:hAnsi="Times New Roman" w:cs="Times New Roman"/>
          <w:lang w:val="en-US"/>
        </w:rPr>
      </w:pPr>
      <w:r>
        <w:rPr>
          <w:rFonts w:ascii="Times New Roman" w:hAnsi="Times New Roman" w:cs="Times New Roman"/>
          <w:lang w:val="en-US"/>
        </w:rPr>
        <w:t xml:space="preserve">Industrial use of hydropower </w:t>
      </w:r>
      <w:r w:rsidR="00374402">
        <w:rPr>
          <w:rFonts w:ascii="Times New Roman" w:hAnsi="Times New Roman" w:cs="Times New Roman"/>
          <w:lang w:val="en-US"/>
        </w:rPr>
        <w:t xml:space="preserve">henceforth </w:t>
      </w:r>
      <w:r>
        <w:rPr>
          <w:rFonts w:ascii="Times New Roman" w:hAnsi="Times New Roman" w:cs="Times New Roman"/>
          <w:lang w:val="en-US"/>
        </w:rPr>
        <w:t>created a path dependency into the production of high value added light manufactures which resisted to drastic increase in coal imports after the railway revolution in the second half of the 19</w:t>
      </w:r>
      <w:r w:rsidRPr="00737CCF">
        <w:rPr>
          <w:rFonts w:ascii="Times New Roman" w:hAnsi="Times New Roman" w:cs="Times New Roman"/>
          <w:vertAlign w:val="superscript"/>
          <w:lang w:val="en-US"/>
        </w:rPr>
        <w:t>th</w:t>
      </w:r>
      <w:r>
        <w:rPr>
          <w:rFonts w:ascii="Times New Roman" w:hAnsi="Times New Roman" w:cs="Times New Roman"/>
          <w:lang w:val="en-US"/>
        </w:rPr>
        <w:t xml:space="preserve"> century</w:t>
      </w:r>
      <w:r w:rsidR="00F44BEA">
        <w:rPr>
          <w:rFonts w:ascii="Times New Roman" w:hAnsi="Times New Roman" w:cs="Times New Roman"/>
          <w:lang w:val="en-US"/>
        </w:rPr>
        <w:t>, which were mainly use outside of private industries</w:t>
      </w:r>
      <w:r w:rsidR="002C26F3">
        <w:rPr>
          <w:rFonts w:ascii="Times New Roman" w:hAnsi="Times New Roman" w:cs="Times New Roman"/>
          <w:lang w:val="en-US"/>
        </w:rPr>
        <w:t xml:space="preserve"> </w:t>
      </w:r>
      <w:r w:rsidR="002C26F3">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{"citationID":"fSgCmRcq","properties":{"formattedCitation":"(Humair and Chachereau 2024)","plainCitation":"(Humair and Chachereau 2024)","noteIndex":0},"citationItems":[{"id":6793,"uris":["http://zotero.org/groups/6311349/items/XEDFQB4K"],"itemData":{"id":6793,"type":"book","abstract":"Avec les défis du changement climatique et les difficultés d’approvisionnement en électricité et en gaz, le début du 21e siècle rappelle avec force la place centrale de l’énergie dans nos sociétés contemporaines. En réalité, toute l’histoire de l’humanité est étroitement liée à la disponibilité de cette ressource capitale. L’énergie a conditionné des phénomènes fondamentaux tels que l’industrialisation ou la mondialisation, et a façonné nos paysages comme nos modes de vie. Ce livre retrace le développement du système énergétique en Suisse entre 1800 et 2024, parcourant l’apparition successive et la superposition des différentes ressources mobilisées, du bois au solaire en passant par le pétrole et l’électricité. Comment la consommation et le mix énergétique ont-ils évolué et pourquoi ? Quel rôle les différents acteurs sociaux, politiques et économiques ont-ils joué ? Quelles sont les spécificités énergétiques de la Suisse en comparaison internationale ? Un questionnement qui a pour vocation d’éclairer les débats actuels avec un regard historique. - 4e de couverture","call-number":"DBUH 9638 BFLA 330065","collection-title":"Savoir suisse 179 Histoire","edition":"Première edition","ISBN":"978-2-88915-639-9","language":"fre","publisher":"Presses polytechniques et universitaires romandes","publisher-place":"Lausanne","source":"unige.swisscovery.slsp.ch","title":"L'énergie en Suisse: de 1800 à nos jours","title-short":"L'énergie en Suisse","author":[{"family":"Humair","given":"Cédric"},{"family":"Chachereau","given":"Nicolas"}],"issued":{"date-parts":[["2024"]]}}}],"schema":"https://github.com/citation-style-language/schema/raw/master/csl-citation.json"} </w:instrText>
      </w:r>
      <w:r w:rsidR="002C26F3">
        <w:rPr>
          <w:rFonts w:ascii="Times New Roman" w:hAnsi="Times New Roman" w:cs="Times New Roman"/>
          <w:lang w:val="en-US"/>
        </w:rPr>
        <w:fldChar w:fldCharType="separate"/>
      </w:r>
      <w:r w:rsidR="002C26F3" w:rsidRPr="002C26F3">
        <w:rPr>
          <w:rFonts w:ascii="Aptos" w:hAnsi="Aptos"/>
          <w:lang w:val="en-US"/>
        </w:rPr>
        <w:t>(Humair and Chachereau 2024)</w:t>
      </w:r>
      <w:r w:rsidR="002C26F3">
        <w:rPr>
          <w:rFonts w:ascii="Times New Roman" w:hAnsi="Times New Roman" w:cs="Times New Roman"/>
          <w:lang w:val="en-US"/>
        </w:rPr>
        <w:fldChar w:fldCharType="end"/>
      </w:r>
      <w:r w:rsidR="00F44BEA">
        <w:rPr>
          <w:rFonts w:ascii="Times New Roman" w:hAnsi="Times New Roman" w:cs="Times New Roman"/>
          <w:lang w:val="en-US"/>
        </w:rPr>
        <w:t>.</w:t>
      </w:r>
      <w:r w:rsidR="002C26F3">
        <w:rPr>
          <w:rFonts w:ascii="Times New Roman" w:hAnsi="Times New Roman" w:cs="Times New Roman"/>
          <w:lang w:val="en-US"/>
        </w:rPr>
        <w:t xml:space="preserve"> Hydropower generates nowadays around 58% of the country’s electricity and used to generate 90% of total electricity before the adoption nuclear power</w:t>
      </w:r>
      <w:r w:rsidR="009C5FE7">
        <w:rPr>
          <w:rFonts w:ascii="Times New Roman" w:hAnsi="Times New Roman" w:cs="Times New Roman"/>
          <w:lang w:val="en-US"/>
        </w:rPr>
        <w:t xml:space="preserve"> in the 70s (figure</w:t>
      </w:r>
      <w:r w:rsidR="00394E9D">
        <w:rPr>
          <w:rFonts w:ascii="Times New Roman" w:hAnsi="Times New Roman" w:cs="Times New Roman"/>
          <w:lang w:val="en-US"/>
        </w:rPr>
        <w:t xml:space="preserve"> 4</w:t>
      </w:r>
      <w:r w:rsidR="009C5FE7">
        <w:rPr>
          <w:rFonts w:ascii="Times New Roman" w:hAnsi="Times New Roman" w:cs="Times New Roman"/>
          <w:lang w:val="en-US"/>
        </w:rPr>
        <w:t>)</w:t>
      </w:r>
      <w:r w:rsidR="002C26F3">
        <w:rPr>
          <w:rFonts w:ascii="Times New Roman" w:hAnsi="Times New Roman" w:cs="Times New Roman"/>
          <w:lang w:val="en-US"/>
        </w:rPr>
        <w:t xml:space="preserve">, whose emergence also contributed </w:t>
      </w:r>
      <w:r w:rsidR="009C5FE7">
        <w:rPr>
          <w:rFonts w:ascii="Times New Roman" w:hAnsi="Times New Roman" w:cs="Times New Roman"/>
          <w:lang w:val="en-US"/>
        </w:rPr>
        <w:t xml:space="preserve">to lower Switzerland’s strong energy mix. As a result, the share of low carbon energy in Switzerland (56,8%) is by far better compared than Europe (26,2%). With respect to inflation, there is evidence that </w:t>
      </w:r>
      <w:r w:rsidR="00976B54">
        <w:rPr>
          <w:rFonts w:ascii="Times New Roman" w:hAnsi="Times New Roman" w:cs="Times New Roman"/>
          <w:lang w:val="en-US"/>
        </w:rPr>
        <w:t xml:space="preserve">a high share of renewable sources in energy production helps to increase an economy’s resistance to external price shocks </w:t>
      </w:r>
      <w:r w:rsidR="00976B54">
        <w:rPr>
          <w:rFonts w:ascii="Times New Roman" w:hAnsi="Times New Roman" w:cs="Times New Roman"/>
          <w:lang w:val="en-US"/>
        </w:rPr>
        <w:fldChar w:fldCharType="begin"/>
      </w:r>
      <w:r w:rsidR="00976B54">
        <w:rPr>
          <w:rFonts w:ascii="Times New Roman" w:hAnsi="Times New Roman" w:cs="Times New Roman"/>
          <w:lang w:val="en-US"/>
        </w:rPr>
        <w:instrText xml:space="preserve"> ADDIN ZOTERO_ITEM CSL_CITATION {"citationID":"1p6Nk66x","properties":{"formattedCitation":"(Markowski and Kotli\\uc0\\u324{}ski 2023)","plainCitation":"(Markowski and Kotliński 2023)","noteIndex":0},"citationItems":[{"id":6534,"uris":["http://zotero.org/groups/6311349/items/QGDCJRLH"],"itemData":{"id":6534,"type":"article-journal","abstract":"One of the effects of the 2022 energy crisis was a high increase in inflation. According to a review of the literature on the subject, a factor that may increase the economy’s resistance to external price shocks is the relatively high share of renewable sources in energy production. The aim of this paper is to assess the relationship between the share of renewables in energy production and the level of HICP and core inflation in a cross-sectional approach in the crisis year of 2022 within the EU countries. This study used regression methods, cluster analysis and dispersion measures. As a result of the analysis, it was found that in 2022 (using a cross-sectional approach), there was a statistically significant relationship between the above-mentioned variables. A higher share of renewables by 1 p.p. meant lower HICP by 0.13 p.p. and lower core inflation by 0.1 p.p. “Wind” and “solar” had the greatest importance in the multiple regression equation. It can also be stated that in 2022, countries with a similar energy mix structure were characterized as having a similar rate of inflation. It is therefore justified to increase the share of renewables in energy production, because it brings not only positive environmental but also economic effects.","container-title":"Energies","DOI":"10.3390/en16237808","ISSN":"1996-1073","issue":"23","language":"en","license":"http://creativecommons.org/licenses/by/3.0/","page":"7808","publisher":"Multidisciplinary Digital Publishing Institute","source":"www.mdpi.com","title":"Renewables, Energy Mix and Inflation in the European Union Countries","volume":"16","author":[{"family":"Markowski","given":"Łukasz"},{"family":"Kotliński","given":"Kamil"}],"issued":{"date-parts":[["2023",1]]}}}],"schema":"https://github.com/citation-style-language/schema/raw/master/csl-citation.json"} </w:instrText>
      </w:r>
      <w:r w:rsidR="00976B54">
        <w:rPr>
          <w:rFonts w:ascii="Times New Roman" w:hAnsi="Times New Roman" w:cs="Times New Roman"/>
          <w:lang w:val="en-US"/>
        </w:rPr>
        <w:fldChar w:fldCharType="separate"/>
      </w:r>
      <w:r w:rsidR="00976B54" w:rsidRPr="00976B54">
        <w:rPr>
          <w:rFonts w:ascii="Aptos" w:hAnsi="Aptos" w:cs="Times New Roman"/>
          <w:kern w:val="0"/>
          <w:lang w:val="en-US"/>
        </w:rPr>
        <w:t>(Markowski and Kotliński 2023)</w:t>
      </w:r>
      <w:r w:rsidR="00976B54">
        <w:rPr>
          <w:rFonts w:ascii="Times New Roman" w:hAnsi="Times New Roman" w:cs="Times New Roman"/>
          <w:lang w:val="en-US"/>
        </w:rPr>
        <w:fldChar w:fldCharType="end"/>
      </w:r>
      <w:r w:rsidR="00976B54">
        <w:rPr>
          <w:rFonts w:ascii="Times New Roman" w:hAnsi="Times New Roman" w:cs="Times New Roman"/>
          <w:lang w:val="en-US"/>
        </w:rPr>
        <w:t xml:space="preserve">. However, Switzerland’s low inflation cannot be explained solely by its efficient energy mix as </w:t>
      </w:r>
      <w:r w:rsidR="001372AC">
        <w:rPr>
          <w:rFonts w:ascii="Times New Roman" w:hAnsi="Times New Roman" w:cs="Times New Roman"/>
          <w:lang w:val="en-US"/>
        </w:rPr>
        <w:t xml:space="preserve">Northern European countries have higher inflation rates than Switzerland despite having a lower share of carbon energy </w:t>
      </w:r>
      <w:r w:rsidR="00394E9D">
        <w:rPr>
          <w:rFonts w:ascii="Times New Roman" w:hAnsi="Times New Roman" w:cs="Times New Roman"/>
          <w:lang w:val="en-US"/>
        </w:rPr>
        <w:t>(</w:t>
      </w:r>
      <w:r w:rsidR="001372AC">
        <w:rPr>
          <w:rFonts w:ascii="Times New Roman" w:hAnsi="Times New Roman" w:cs="Times New Roman"/>
          <w:lang w:val="en-US"/>
        </w:rPr>
        <w:t>figure</w:t>
      </w:r>
      <w:r w:rsidR="00394E9D">
        <w:rPr>
          <w:rFonts w:ascii="Times New Roman" w:hAnsi="Times New Roman" w:cs="Times New Roman"/>
          <w:lang w:val="en-US"/>
        </w:rPr>
        <w:t xml:space="preserve"> </w:t>
      </w:r>
      <w:r w:rsidR="00394E9D">
        <w:rPr>
          <w:rFonts w:ascii="Times New Roman" w:hAnsi="Times New Roman" w:cs="Times New Roman"/>
          <w:lang w:val="en-US"/>
        </w:rPr>
        <w:lastRenderedPageBreak/>
        <w:t>5</w:t>
      </w:r>
      <w:r w:rsidR="001372AC">
        <w:rPr>
          <w:rFonts w:ascii="Times New Roman" w:hAnsi="Times New Roman" w:cs="Times New Roman"/>
          <w:lang w:val="en-US"/>
        </w:rPr>
        <w:t xml:space="preserve">). </w:t>
      </w:r>
      <w:r w:rsidR="007E1B6E">
        <w:rPr>
          <w:rFonts w:ascii="Times New Roman" w:hAnsi="Times New Roman" w:cs="Times New Roman"/>
          <w:lang w:val="en-US"/>
        </w:rPr>
        <w:t xml:space="preserve">Along with the energy mix, two other factors need to be taken into account: </w:t>
      </w:r>
      <w:r w:rsidR="001372AC">
        <w:rPr>
          <w:rFonts w:ascii="Times New Roman" w:hAnsi="Times New Roman" w:cs="Times New Roman"/>
          <w:lang w:val="en-US"/>
        </w:rPr>
        <w:t>the regulation</w:t>
      </w:r>
      <w:r w:rsidR="003044C6">
        <w:rPr>
          <w:rFonts w:ascii="Times New Roman" w:hAnsi="Times New Roman" w:cs="Times New Roman"/>
          <w:lang w:val="en-US"/>
        </w:rPr>
        <w:t xml:space="preserve"> </w:t>
      </w:r>
      <w:r w:rsidR="003044C6">
        <w:rPr>
          <w:noProof/>
        </w:rPr>
        <mc:AlternateContent>
          <mc:Choice Requires="wps">
            <w:drawing>
              <wp:anchor distT="0" distB="0" distL="114300" distR="114300" simplePos="0" relativeHeight="251672576" behindDoc="0" locked="0" layoutInCell="1" allowOverlap="1" wp14:anchorId="3A4B5F68" wp14:editId="3A9C1EFA">
                <wp:simplePos x="0" y="0"/>
                <wp:positionH relativeFrom="column">
                  <wp:posOffset>0</wp:posOffset>
                </wp:positionH>
                <wp:positionV relativeFrom="paragraph">
                  <wp:posOffset>6320155</wp:posOffset>
                </wp:positionV>
                <wp:extent cx="5760720" cy="635"/>
                <wp:effectExtent l="0" t="0" r="0" b="0"/>
                <wp:wrapSquare wrapText="bothSides"/>
                <wp:docPr id="1102624215"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8D78821" w14:textId="3E720726" w:rsidR="003044C6" w:rsidRPr="005702AA" w:rsidRDefault="003044C6" w:rsidP="003044C6">
                            <w:pPr>
                              <w:pStyle w:val="Lgende"/>
                              <w:rPr>
                                <w:rFonts w:ascii="Times New Roman" w:hAnsi="Times New Roman" w:cs="Times New Roman"/>
                                <w:sz w:val="24"/>
                                <w:szCs w:val="24"/>
                                <w:lang w:val="en-US"/>
                              </w:rPr>
                            </w:pPr>
                            <w:r w:rsidRPr="005702AA">
                              <w:rPr>
                                <w:rFonts w:ascii="Times New Roman" w:hAnsi="Times New Roman" w:cs="Times New Roman"/>
                                <w:sz w:val="24"/>
                                <w:szCs w:val="24"/>
                                <w:lang w:val="en-US"/>
                              </w:rPr>
                              <w:t xml:space="preserve">Figure </w:t>
                            </w:r>
                            <w:r w:rsidRPr="005702AA">
                              <w:rPr>
                                <w:rFonts w:ascii="Times New Roman" w:hAnsi="Times New Roman" w:cs="Times New Roman"/>
                                <w:sz w:val="24"/>
                                <w:szCs w:val="24"/>
                              </w:rPr>
                              <w:fldChar w:fldCharType="begin"/>
                            </w:r>
                            <w:r w:rsidRPr="005702AA">
                              <w:rPr>
                                <w:rFonts w:ascii="Times New Roman" w:hAnsi="Times New Roman" w:cs="Times New Roman"/>
                                <w:sz w:val="24"/>
                                <w:szCs w:val="24"/>
                                <w:lang w:val="en-US"/>
                              </w:rPr>
                              <w:instrText xml:space="preserve"> SEQ Figure \* ARABIC </w:instrText>
                            </w:r>
                            <w:r w:rsidRPr="005702AA">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7</w:t>
                            </w:r>
                            <w:r w:rsidRPr="005702AA">
                              <w:rPr>
                                <w:rFonts w:ascii="Times New Roman" w:hAnsi="Times New Roman" w:cs="Times New Roman"/>
                                <w:sz w:val="24"/>
                                <w:szCs w:val="24"/>
                              </w:rPr>
                              <w:fldChar w:fldCharType="end"/>
                            </w:r>
                            <w:r w:rsidRPr="005702AA">
                              <w:rPr>
                                <w:rFonts w:ascii="Times New Roman" w:hAnsi="Times New Roman" w:cs="Times New Roman"/>
                                <w:sz w:val="24"/>
                                <w:szCs w:val="24"/>
                                <w:lang w:val="en-US"/>
                              </w:rPr>
                              <w:t xml:space="preserve">: Share of low carbon energy (2024). </w:t>
                            </w:r>
                            <w:r w:rsidRPr="005626C0">
                              <w:rPr>
                                <w:rFonts w:ascii="Times New Roman" w:hAnsi="Times New Roman" w:cs="Times New Roman"/>
                                <w:sz w:val="24"/>
                                <w:szCs w:val="24"/>
                                <w:lang w:val="en-US"/>
                              </w:rPr>
                              <w:t>Source: Our World in Data, Energy Institute.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4B5F68" id="_x0000_s1032" type="#_x0000_t202" style="position:absolute;left:0;text-align:left;margin-left:0;margin-top:497.65pt;width:453.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N+L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" stroked="f">
                <v:textbox style="mso-fit-shape-to-text:t" inset="0,0,0,0">
                  <w:txbxContent>
                    <w:p w14:paraId="48D78821" w14:textId="3E720726" w:rsidR="003044C6" w:rsidRPr="005702AA" w:rsidRDefault="003044C6" w:rsidP="003044C6">
                      <w:pPr>
                        <w:pStyle w:val="Lgende"/>
                        <w:rPr>
                          <w:rFonts w:ascii="Times New Roman" w:hAnsi="Times New Roman" w:cs="Times New Roman"/>
                          <w:sz w:val="24"/>
                          <w:szCs w:val="24"/>
                          <w:lang w:val="en-US"/>
                        </w:rPr>
                      </w:pPr>
                      <w:r w:rsidRPr="005702AA">
                        <w:rPr>
                          <w:rFonts w:ascii="Times New Roman" w:hAnsi="Times New Roman" w:cs="Times New Roman"/>
                          <w:sz w:val="24"/>
                          <w:szCs w:val="24"/>
                          <w:lang w:val="en-US"/>
                        </w:rPr>
                        <w:t xml:space="preserve">Figure </w:t>
                      </w:r>
                      <w:r w:rsidRPr="005702AA">
                        <w:rPr>
                          <w:rFonts w:ascii="Times New Roman" w:hAnsi="Times New Roman" w:cs="Times New Roman"/>
                          <w:sz w:val="24"/>
                          <w:szCs w:val="24"/>
                        </w:rPr>
                        <w:fldChar w:fldCharType="begin"/>
                      </w:r>
                      <w:r w:rsidRPr="005702AA">
                        <w:rPr>
                          <w:rFonts w:ascii="Times New Roman" w:hAnsi="Times New Roman" w:cs="Times New Roman"/>
                          <w:sz w:val="24"/>
                          <w:szCs w:val="24"/>
                          <w:lang w:val="en-US"/>
                        </w:rPr>
                        <w:instrText xml:space="preserve"> SEQ Figure \* ARABIC </w:instrText>
                      </w:r>
                      <w:r w:rsidRPr="005702AA">
                        <w:rPr>
                          <w:rFonts w:ascii="Times New Roman" w:hAnsi="Times New Roman" w:cs="Times New Roman"/>
                          <w:sz w:val="24"/>
                          <w:szCs w:val="24"/>
                        </w:rPr>
                        <w:fldChar w:fldCharType="separate"/>
                      </w:r>
                      <w:r w:rsidR="00E54C50">
                        <w:rPr>
                          <w:rFonts w:ascii="Times New Roman" w:hAnsi="Times New Roman" w:cs="Times New Roman"/>
                          <w:noProof/>
                          <w:sz w:val="24"/>
                          <w:szCs w:val="24"/>
                          <w:lang w:val="en-US"/>
                        </w:rPr>
                        <w:t>7</w:t>
                      </w:r>
                      <w:r w:rsidRPr="005702AA">
                        <w:rPr>
                          <w:rFonts w:ascii="Times New Roman" w:hAnsi="Times New Roman" w:cs="Times New Roman"/>
                          <w:sz w:val="24"/>
                          <w:szCs w:val="24"/>
                        </w:rPr>
                        <w:fldChar w:fldCharType="end"/>
                      </w:r>
                      <w:r w:rsidRPr="005702AA">
                        <w:rPr>
                          <w:rFonts w:ascii="Times New Roman" w:hAnsi="Times New Roman" w:cs="Times New Roman"/>
                          <w:sz w:val="24"/>
                          <w:szCs w:val="24"/>
                          <w:lang w:val="en-US"/>
                        </w:rPr>
                        <w:t xml:space="preserve">: Share of low carbon energy (2024). </w:t>
                      </w:r>
                      <w:r w:rsidRPr="005626C0">
                        <w:rPr>
                          <w:rFonts w:ascii="Times New Roman" w:hAnsi="Times New Roman" w:cs="Times New Roman"/>
                          <w:sz w:val="24"/>
                          <w:szCs w:val="24"/>
                          <w:lang w:val="en-US"/>
                        </w:rPr>
                        <w:t>Source: Our World in Data, Energy Institute.</w:t>
                      </w:r>
                    </w:p>
                  </w:txbxContent>
                </v:textbox>
                <w10:wrap type="square"/>
              </v:shape>
            </w:pict>
          </mc:Fallback>
        </mc:AlternateContent>
      </w:r>
      <w:r w:rsidR="003044C6">
        <w:rPr>
          <w:rFonts w:ascii="Times New Roman" w:hAnsi="Times New Roman" w:cs="Times New Roman"/>
          <w:noProof/>
          <w:lang w:val="en-US"/>
        </w:rPr>
        <w:drawing>
          <wp:anchor distT="0" distB="0" distL="114300" distR="114300" simplePos="0" relativeHeight="251670528" behindDoc="0" locked="0" layoutInCell="1" allowOverlap="1" wp14:anchorId="52F33E52" wp14:editId="64944017">
            <wp:simplePos x="0" y="0"/>
            <wp:positionH relativeFrom="margin">
              <wp:align>right</wp:align>
            </wp:positionH>
            <wp:positionV relativeFrom="paragraph">
              <wp:posOffset>502285</wp:posOffset>
            </wp:positionV>
            <wp:extent cx="5760720" cy="5760720"/>
            <wp:effectExtent l="0" t="0" r="0" b="0"/>
            <wp:wrapSquare wrapText="bothSides"/>
            <wp:docPr id="2043617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anchor>
        </w:drawing>
      </w:r>
      <w:r w:rsidR="001372AC">
        <w:rPr>
          <w:rFonts w:ascii="Times New Roman" w:hAnsi="Times New Roman" w:cs="Times New Roman"/>
          <w:lang w:val="en-US"/>
        </w:rPr>
        <w:t xml:space="preserve">of the Swiss electricity market and the low energy intensity of the Swiss economy. </w:t>
      </w:r>
    </w:p>
    <w:p w14:paraId="6A26FF21" w14:textId="7A9E365D" w:rsidR="00082874" w:rsidRDefault="007E1B6E" w:rsidP="001372AC">
      <w:pPr>
        <w:jc w:val="both"/>
        <w:rPr>
          <w:rFonts w:ascii="Times New Roman" w:hAnsi="Times New Roman" w:cs="Times New Roman"/>
          <w:lang w:val="en-US"/>
        </w:rPr>
      </w:pPr>
      <w:r>
        <w:rPr>
          <w:rFonts w:ascii="Times New Roman" w:hAnsi="Times New Roman" w:cs="Times New Roman"/>
          <w:lang w:val="en-US"/>
        </w:rPr>
        <w:t xml:space="preserve">Regarding the former, </w:t>
      </w:r>
      <w:r w:rsidR="00780960">
        <w:rPr>
          <w:rFonts w:ascii="Times New Roman" w:hAnsi="Times New Roman" w:cs="Times New Roman"/>
          <w:lang w:val="en-US"/>
        </w:rPr>
        <w:t xml:space="preserve">electricity supply for private households in Switzerland is not governed by a liberalized market as in the rest of Europe. Consumers purchase their electricity from a local utility provider which is only allowed to adjust electricity tariffs once a year, tariffs which are determined </w:t>
      </w:r>
      <w:r w:rsidR="001C55C0">
        <w:rPr>
          <w:rFonts w:ascii="Times New Roman" w:hAnsi="Times New Roman" w:cs="Times New Roman"/>
          <w:lang w:val="en-US"/>
        </w:rPr>
        <w:t>based on</w:t>
      </w:r>
      <w:r w:rsidR="00780960">
        <w:rPr>
          <w:rFonts w:ascii="Times New Roman" w:hAnsi="Times New Roman" w:cs="Times New Roman"/>
          <w:lang w:val="en-US"/>
        </w:rPr>
        <w:t xml:space="preserve"> their actual production and procurement cost. </w:t>
      </w:r>
      <w:r w:rsidR="001372AC" w:rsidRPr="00CB706E">
        <w:rPr>
          <w:rFonts w:ascii="Times New Roman" w:hAnsi="Times New Roman" w:cs="Times New Roman"/>
          <w:lang w:val="en-US"/>
        </w:rPr>
        <w:t>Nordic countries, despite their</w:t>
      </w:r>
      <w:r w:rsidR="00780960">
        <w:rPr>
          <w:rFonts w:ascii="Times New Roman" w:hAnsi="Times New Roman" w:cs="Times New Roman"/>
          <w:lang w:val="en-US"/>
        </w:rPr>
        <w:t xml:space="preserve"> better energy mix</w:t>
      </w:r>
      <w:r w:rsidR="001372AC" w:rsidRPr="00CB706E">
        <w:rPr>
          <w:rFonts w:ascii="Times New Roman" w:hAnsi="Times New Roman" w:cs="Times New Roman"/>
          <w:lang w:val="en-US"/>
        </w:rPr>
        <w:t xml:space="preserve">, are integrated into the European energy market, where </w:t>
      </w:r>
      <w:r w:rsidR="00CE15A4">
        <w:rPr>
          <w:rFonts w:ascii="Times New Roman" w:hAnsi="Times New Roman" w:cs="Times New Roman"/>
          <w:lang w:val="en-US"/>
        </w:rPr>
        <w:t>wholesale electricity prices are influenced by the merit-order principle, under which the market price is determined by the cost of the marginal kilowatt-hour supplied to the market</w:t>
      </w:r>
      <w:r w:rsidR="006E580C">
        <w:rPr>
          <w:rFonts w:ascii="Times New Roman" w:hAnsi="Times New Roman" w:cs="Times New Roman"/>
          <w:lang w:val="en-US"/>
        </w:rPr>
        <w:t>.</w:t>
      </w:r>
    </w:p>
    <w:p w14:paraId="29C9A309" w14:textId="6488B7DA" w:rsidR="00CB706E" w:rsidRDefault="006E580C" w:rsidP="00CD13EE">
      <w:pPr>
        <w:jc w:val="both"/>
        <w:rPr>
          <w:rFonts w:ascii="Times New Roman" w:hAnsi="Times New Roman" w:cs="Times New Roman"/>
          <w:lang w:val="en-US"/>
        </w:rPr>
      </w:pPr>
      <w:r>
        <w:rPr>
          <w:rFonts w:ascii="Times New Roman" w:hAnsi="Times New Roman" w:cs="Times New Roman"/>
          <w:lang w:val="en-US"/>
        </w:rPr>
        <w:t xml:space="preserve">Finally, the </w:t>
      </w:r>
      <w:r w:rsidR="001A3967">
        <w:rPr>
          <w:rFonts w:ascii="Times New Roman" w:hAnsi="Times New Roman" w:cs="Times New Roman"/>
          <w:lang w:val="en-US"/>
        </w:rPr>
        <w:t xml:space="preserve">resistance of Switzerland’s prices to international energy shocks stems from its very low energy intensity. </w:t>
      </w:r>
      <w:r w:rsidR="002D6403">
        <w:rPr>
          <w:rFonts w:ascii="Times New Roman" w:hAnsi="Times New Roman" w:cs="Times New Roman"/>
          <w:lang w:val="en-US"/>
        </w:rPr>
        <w:t xml:space="preserve">With only 0,45 kilowatt-hours produced per unit of output, Switzerland is the most energy efficient country among developed economies, far above Northern European </w:t>
      </w:r>
      <w:r w:rsidR="002D6403">
        <w:rPr>
          <w:rFonts w:ascii="Times New Roman" w:hAnsi="Times New Roman" w:cs="Times New Roman"/>
          <w:lang w:val="en-US"/>
        </w:rPr>
        <w:lastRenderedPageBreak/>
        <w:t>countries (which had, as we saw, a lower share of carbon energy), France (0,86), Germany (0,8) or Austria (0,77)</w:t>
      </w:r>
      <w:r w:rsidR="00EF3A1C">
        <w:rPr>
          <w:rFonts w:ascii="Times New Roman" w:hAnsi="Times New Roman" w:cs="Times New Roman"/>
          <w:lang w:val="en-US"/>
        </w:rPr>
        <w:t xml:space="preserve"> </w:t>
      </w:r>
      <w:r w:rsidR="00EF3A1C">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{"citationID":"oDuBAcFU","properties":{"formattedCitation":"(Ritchie and Rosado 2025)","plainCitation":"(Ritchie and Rosado 2025)","noteIndex":0},"citationItems":[{"id":6791,"uris":["http://zotero.org/groups/6311349/items/RKGJ4427"],"itemData":{"id":6791,"type":"article-journal","abstract":"Data on Energy in Switzerland","container-title":"Our World in Data","journalAbbreviation":"Our World in Data","language":"en","source":"ourworldindata.org","title":"Switzerland Country Profile. Energy","URL":"https://ourworldindata.org/profile/energy/switzerland","author":[{"family":"Ritchie","given":"Hannah"},{"family":"Rosado","given":"Pablo"}],"accessed":{"date-parts":[["2026",8,6]]},"issued":{"date-parts":[["2025",12,19]]}}}],"schema":"https://github.com/citation-style-language/schema/raw/master/csl-citation.json"} </w:instrText>
      </w:r>
      <w:r w:rsidR="00EF3A1C">
        <w:rPr>
          <w:rFonts w:ascii="Times New Roman" w:hAnsi="Times New Roman" w:cs="Times New Roman"/>
          <w:lang w:val="en-US"/>
        </w:rPr>
        <w:fldChar w:fldCharType="separate"/>
      </w:r>
      <w:r w:rsidR="00EF3A1C" w:rsidRPr="00EF3A1C">
        <w:rPr>
          <w:rFonts w:ascii="Aptos" w:hAnsi="Aptos"/>
          <w:lang w:val="en-US"/>
        </w:rPr>
        <w:t>(Ritchie and Rosado 2025)</w:t>
      </w:r>
      <w:r w:rsidR="00EF3A1C">
        <w:rPr>
          <w:rFonts w:ascii="Times New Roman" w:hAnsi="Times New Roman" w:cs="Times New Roman"/>
          <w:lang w:val="en-US"/>
        </w:rPr>
        <w:fldChar w:fldCharType="end"/>
      </w:r>
      <w:r w:rsidR="002D6403">
        <w:rPr>
          <w:rFonts w:ascii="Times New Roman" w:hAnsi="Times New Roman" w:cs="Times New Roman"/>
          <w:lang w:val="en-US"/>
        </w:rPr>
        <w:t>.</w:t>
      </w:r>
      <w:r w:rsidR="00662BD6">
        <w:rPr>
          <w:rFonts w:ascii="Times New Roman" w:hAnsi="Times New Roman" w:cs="Times New Roman"/>
          <w:lang w:val="en-US"/>
        </w:rPr>
        <w:t xml:space="preserve"> Switzerland’s low energy intensity can be explained by a structural and intensity effect. </w:t>
      </w:r>
      <w:r w:rsidR="00267E3A">
        <w:rPr>
          <w:rFonts w:ascii="Times New Roman" w:hAnsi="Times New Roman" w:cs="Times New Roman"/>
          <w:lang w:val="en-US"/>
        </w:rPr>
        <w:t>Structural change in the last decade was driven by an important expansion of the pharmaceutical sector, which tends to be generally more energy efficient than other sectors. During the 2010s, the share of the Swiss pharmaceutical sector in the gross value added in the Swiss industrial sector grew from 15% to 31%. Energy intensity declined by 35% in the Swiss manufacturing industry over the same period</w:t>
      </w:r>
      <w:r w:rsidR="00EF3A1C">
        <w:rPr>
          <w:rFonts w:ascii="Times New Roman" w:hAnsi="Times New Roman" w:cs="Times New Roman"/>
          <w:lang w:val="en-US"/>
        </w:rPr>
        <w:t xml:space="preserve"> </w:t>
      </w:r>
      <w:r w:rsidR="00EF3A1C">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{"citationID":"LLzkeEZ7","properties":{"formattedCitation":"(Gorgels et al. 2024)","plainCitation":"(Gorgels et al. 2024)","noteIndex":0},"citationItems":[{"id":6461,"uris":["http://zotero.org/groups/6311349/items/CXBWE7QK"],"itemData":{"id":6461,"type":"document","publisher":"Staatssekretariat für Wirtschaft SECO","publisher-place":"Bern","title":"Was erklärt die tiefe Energieintensität der Schweizer Wirtschaft?","URL":"https://www.seco.admin.ch/seco/fr/home/Publikationen_Dienstleistungen/Publikationen_und_Formulare/Strukturwandel_Wachstum/Strukturwandel/wp_48.html","author":[{"family":"Gorgels","given":"Stefan"},{"family":"Polugodina","given":"Maria"},{"family":"Waights","given":"Sevrin"}],"issued":{"date-parts":[["2024"]]}}}],"schema":"https://github.com/citation-style-language/schema/raw/master/csl-citation.json"} </w:instrText>
      </w:r>
      <w:r w:rsidR="00EF3A1C">
        <w:rPr>
          <w:rFonts w:ascii="Times New Roman" w:hAnsi="Times New Roman" w:cs="Times New Roman"/>
          <w:lang w:val="en-US"/>
        </w:rPr>
        <w:fldChar w:fldCharType="separate"/>
      </w:r>
      <w:r w:rsidR="00EF3A1C" w:rsidRPr="00EF3A1C">
        <w:rPr>
          <w:rFonts w:ascii="Aptos" w:hAnsi="Aptos"/>
          <w:lang w:val="en-US"/>
        </w:rPr>
        <w:t>(Gorgels et al. 2024)</w:t>
      </w:r>
      <w:r w:rsidR="00EF3A1C">
        <w:rPr>
          <w:rFonts w:ascii="Times New Roman" w:hAnsi="Times New Roman" w:cs="Times New Roman"/>
          <w:lang w:val="en-US"/>
        </w:rPr>
        <w:fldChar w:fldCharType="end"/>
      </w:r>
      <w:r w:rsidR="00267E3A">
        <w:rPr>
          <w:rFonts w:ascii="Times New Roman" w:hAnsi="Times New Roman" w:cs="Times New Roman"/>
          <w:lang w:val="en-US"/>
        </w:rPr>
        <w:t xml:space="preserve">. However, as argued by </w:t>
      </w:r>
      <w:r w:rsidR="00267E3A">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{"citationID":"d3XyYvkd","properties":{"formattedCitation":"(Gorgels et al. 2024)","plainCitation":"(Gorgels et al. 2024)","dontUpdate":true,"noteIndex":0},"citationItems":[{"id":6461,"uris":["http://zotero.org/groups/6311349/items/CXBWE7QK"],"itemData":{"id":6461,"type":"document","publisher":"Staatssekretariat für Wirtschaft SECO","publisher-place":"Bern","title":"Was erklärt die tiefe Energieintensität der Schweizer Wirtschaft?","URL":"https://www.seco.admin.ch/seco/fr/home/Publikationen_Dienstleistungen/Publikationen_und_Formulare/Strukturwandel_Wachstum/Strukturwandel/wp_48.html","author":[{"family":"Gorgels","given":"Stefan"},{"family":"Polugodina","given":"Maria"},{"family":"Waights","given":"Sevrin"}],"issued":{"date-parts":[["2024"]]}}}],"schema":"https://github.com/citation-style-language/schema/raw/master/csl-citation.json"} </w:instrText>
      </w:r>
      <w:r w:rsidR="00267E3A">
        <w:rPr>
          <w:rFonts w:ascii="Times New Roman" w:hAnsi="Times New Roman" w:cs="Times New Roman"/>
          <w:lang w:val="en-US"/>
        </w:rPr>
        <w:fldChar w:fldCharType="separate"/>
      </w:r>
      <w:r w:rsidR="00267E3A" w:rsidRPr="00267E3A">
        <w:rPr>
          <w:rFonts w:ascii="Aptos" w:hAnsi="Aptos"/>
          <w:lang w:val="en-US"/>
        </w:rPr>
        <w:t xml:space="preserve">Gorgels et al. </w:t>
      </w:r>
      <w:r w:rsidR="00267E3A">
        <w:rPr>
          <w:rFonts w:ascii="Aptos" w:hAnsi="Aptos"/>
          <w:lang w:val="en-US"/>
        </w:rPr>
        <w:t>(</w:t>
      </w:r>
      <w:r w:rsidR="00267E3A" w:rsidRPr="00267E3A">
        <w:rPr>
          <w:rFonts w:ascii="Aptos" w:hAnsi="Aptos"/>
          <w:lang w:val="en-US"/>
        </w:rPr>
        <w:t>2024)</w:t>
      </w:r>
      <w:r w:rsidR="00267E3A">
        <w:rPr>
          <w:rFonts w:ascii="Times New Roman" w:hAnsi="Times New Roman" w:cs="Times New Roman"/>
          <w:lang w:val="en-US"/>
        </w:rPr>
        <w:fldChar w:fldCharType="end"/>
      </w:r>
      <w:r w:rsidR="00267E3A">
        <w:rPr>
          <w:rFonts w:ascii="Times New Roman" w:hAnsi="Times New Roman" w:cs="Times New Roman"/>
          <w:lang w:val="en-US"/>
        </w:rPr>
        <w:t xml:space="preserve">, the low Swiss energy intensity is not only the result of a structural advantage in the distribution of value added across sectors, but is also a consequence of a decrease in energy intensity within the sectors, meaning that </w:t>
      </w:r>
      <w:r w:rsidR="00F45205">
        <w:rPr>
          <w:rFonts w:ascii="Times New Roman" w:hAnsi="Times New Roman" w:cs="Times New Roman"/>
          <w:lang w:val="en-US"/>
        </w:rPr>
        <w:t>its energy efficiency is pervasive across all sectors of the economy (primary, secondary, tertiary and household sectors)</w:t>
      </w:r>
      <w:r w:rsidR="008D5F10">
        <w:rPr>
          <w:rFonts w:ascii="Times New Roman" w:hAnsi="Times New Roman" w:cs="Times New Roman"/>
          <w:lang w:val="en-US"/>
        </w:rPr>
        <w:t>.</w:t>
      </w:r>
    </w:p>
    <w:p w14:paraId="24E79E03" w14:textId="025AAA50" w:rsidR="00CD13EE" w:rsidRPr="00E716A4" w:rsidRDefault="00CD13EE" w:rsidP="00CD13EE">
      <w:pPr>
        <w:jc w:val="both"/>
        <w:rPr>
          <w:rFonts w:ascii="Times New Roman" w:hAnsi="Times New Roman" w:cs="Times New Roman"/>
          <w:lang w:val="en-US"/>
        </w:rPr>
      </w:pPr>
      <w:r>
        <w:rPr>
          <w:rFonts w:ascii="Times New Roman" w:hAnsi="Times New Roman" w:cs="Times New Roman"/>
          <w:lang w:val="en-US"/>
        </w:rPr>
        <w:t xml:space="preserve">The Swiss economy is thus very resilient to international energy shocks thanks to a combination of institutional, structural and technical factors. Simulation results from a multi-regional </w:t>
      </w:r>
      <w:r w:rsidR="00933033">
        <w:rPr>
          <w:rFonts w:ascii="Times New Roman" w:hAnsi="Times New Roman" w:cs="Times New Roman"/>
          <w:lang w:val="en-US"/>
        </w:rPr>
        <w:t xml:space="preserve">price-quantity </w:t>
      </w:r>
      <w:r>
        <w:rPr>
          <w:rFonts w:ascii="Times New Roman" w:hAnsi="Times New Roman" w:cs="Times New Roman"/>
          <w:lang w:val="en-US"/>
        </w:rPr>
        <w:t xml:space="preserve">input-output analysis by </w:t>
      </w:r>
      <w:r>
        <w:rPr>
          <w:rFonts w:ascii="Times New Roman" w:hAnsi="Times New Roman" w:cs="Times New Roman"/>
          <w:lang w:val="en-US"/>
        </w:rPr>
        <w:fldChar w:fldCharType="begin"/>
      </w:r>
      <w:r w:rsidR="006F43AC">
        <w:rPr>
          <w:rFonts w:ascii="Times New Roman" w:hAnsi="Times New Roman" w:cs="Times New Roman"/>
          <w:lang w:val="en-US"/>
        </w:rPr>
        <w:instrText xml:space="preserve"> ADDIN ZOTERO_ITEM CSL_CITATION {"citationID":"NkOxe2Hk","properties":{"formattedCitation":"(Fern\\uc0\\u225{}ndez-Amador et al. 2025)","plainCitation":"(Fernández-Amador et al. 2025)","dontUpdate":true,"noteIndex":0},"citationItems":[{"id":4946,"uris":["http://zotero.org/groups/6311349/items/FM883W85"],"itemData":{"id":4946,"type":"article-journal","abstract":"There is an increasing demand for understanding how international shocks affect regions within a country differently. We study the short-term effects of a global energy price shock on output and inflation in the Swiss cantons using input–output techniques. Our results show that the induced inflation and contraction of output are small compared to other countries, indicating that Switzerland is generally resilient to price changes of fossil fuels. This is due to the low dependence of Switzerland on oil and gas and because of the large value added share of other activities. The responses of the cantons are heterogeneous, with Ticino, Neuchâtel and Basel-Country being most affected owing to their specialization in fossil fuel-dependent sectors with strong reliance on international inputs. Although the source of the responses to the shock relates to the energy sector, the contribution of other sectors through regional international linkages is larger as a result of an intermediates’ price spiral in all cantons. The results emphasize the informational gains from data on sectoral structures and global value chain integration at the regional level.","container-title":"Swiss Journal of Economics and Statistics","DOI":"10.1186/s41937-025-00134-9","ISSN":"2235-6282","issue":"1","journalAbbreviation":"Swiss Journal of Economics and Statistics","page":"3","source":"BioMed Central","title":"Measuring regional integration into global supply chains: evidence from a new dataset of Swiss cantons","title-short":"Measuring regional integration into global supply chains","volume":"161","author":[{"family":"Fernández-Amador","given":"Octavio"},{"family":"Oberdabernig","given":"Doris A."},{"family":"Tomberger","given":"Patrick"}],"issued":{"date-parts":[["2025",5,30]]}}}],"schema":"https://github.com/citation-style-language/schema/raw/master/csl-citation.json"} </w:instrText>
      </w:r>
      <w:r>
        <w:rPr>
          <w:rFonts w:ascii="Times New Roman" w:hAnsi="Times New Roman" w:cs="Times New Roman"/>
          <w:lang w:val="en-US"/>
        </w:rPr>
        <w:fldChar w:fldCharType="separate"/>
      </w:r>
      <w:r w:rsidRPr="00CD13EE">
        <w:rPr>
          <w:rFonts w:ascii="Aptos" w:hAnsi="Aptos" w:cs="Times New Roman"/>
          <w:kern w:val="0"/>
          <w:lang w:val="en-US"/>
        </w:rPr>
        <w:t xml:space="preserve">Fernández-Amador et al. </w:t>
      </w:r>
      <w:r>
        <w:rPr>
          <w:rFonts w:ascii="Aptos" w:hAnsi="Aptos" w:cs="Times New Roman"/>
          <w:kern w:val="0"/>
          <w:lang w:val="en-US"/>
        </w:rPr>
        <w:t>(</w:t>
      </w:r>
      <w:r w:rsidRPr="00CD13EE">
        <w:rPr>
          <w:rFonts w:ascii="Aptos" w:hAnsi="Aptos" w:cs="Times New Roman"/>
          <w:kern w:val="0"/>
          <w:lang w:val="en-US"/>
        </w:rPr>
        <w:t>2025)</w:t>
      </w:r>
      <w:r>
        <w:rPr>
          <w:rFonts w:ascii="Times New Roman" w:hAnsi="Times New Roman" w:cs="Times New Roman"/>
          <w:lang w:val="en-US"/>
        </w:rPr>
        <w:fldChar w:fldCharType="end"/>
      </w:r>
      <w:r>
        <w:rPr>
          <w:rFonts w:ascii="Times New Roman" w:hAnsi="Times New Roman" w:cs="Times New Roman"/>
          <w:lang w:val="en-US"/>
        </w:rPr>
        <w:t xml:space="preserve"> showed that a global price increase of 100% in oil and gas result</w:t>
      </w:r>
      <w:r w:rsidR="00933033">
        <w:rPr>
          <w:rFonts w:ascii="Times New Roman" w:hAnsi="Times New Roman" w:cs="Times New Roman"/>
          <w:lang w:val="en-US"/>
        </w:rPr>
        <w:t>s</w:t>
      </w:r>
      <w:r>
        <w:rPr>
          <w:rFonts w:ascii="Times New Roman" w:hAnsi="Times New Roman" w:cs="Times New Roman"/>
          <w:lang w:val="en-US"/>
        </w:rPr>
        <w:t xml:space="preserve"> in only a 1,78% increase in the national price level. However, the responses to such an energy shock </w:t>
      </w:r>
      <w:r w:rsidR="00933033">
        <w:rPr>
          <w:rFonts w:ascii="Times New Roman" w:hAnsi="Times New Roman" w:cs="Times New Roman"/>
          <w:lang w:val="en-US"/>
        </w:rPr>
        <w:t>are</w:t>
      </w:r>
      <w:r>
        <w:rPr>
          <w:rFonts w:ascii="Times New Roman" w:hAnsi="Times New Roman" w:cs="Times New Roman"/>
          <w:lang w:val="en-US"/>
        </w:rPr>
        <w:t xml:space="preserve"> heterogenous across cantons</w:t>
      </w:r>
      <w:r w:rsidR="00933033">
        <w:rPr>
          <w:rFonts w:ascii="Times New Roman" w:hAnsi="Times New Roman" w:cs="Times New Roman"/>
          <w:lang w:val="en-US"/>
        </w:rPr>
        <w:t>. The canton of Ticino, Neuchâtel are for instance more vulnerable to energy price shocks as they host important refineries of precious metals.</w:t>
      </w:r>
    </w:p>
    <w:sectPr w:rsidR="00CD13EE" w:rsidRPr="00E716A4">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6925E" w14:textId="77777777" w:rsidR="000F2EB5" w:rsidRDefault="000F2EB5" w:rsidP="00D70947">
      <w:pPr>
        <w:spacing w:after="0" w:line="240" w:lineRule="auto"/>
      </w:pPr>
      <w:r>
        <w:separator/>
      </w:r>
    </w:p>
  </w:endnote>
  <w:endnote w:type="continuationSeparator" w:id="0">
    <w:p w14:paraId="5680E500" w14:textId="77777777" w:rsidR="000F2EB5" w:rsidRDefault="000F2EB5"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17082" w14:textId="77777777" w:rsidR="000F2EB5" w:rsidRDefault="000F2EB5" w:rsidP="00D70947">
      <w:pPr>
        <w:spacing w:after="0" w:line="240" w:lineRule="auto"/>
      </w:pPr>
      <w:r>
        <w:separator/>
      </w:r>
    </w:p>
  </w:footnote>
  <w:footnote w:type="continuationSeparator" w:id="0">
    <w:p w14:paraId="40249FCA" w14:textId="77777777" w:rsidR="000F2EB5" w:rsidRDefault="000F2EB5"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3044C6" w:rsidRDefault="00505858">
      <w:pPr>
        <w:pStyle w:val="Notedebasdepage"/>
        <w:rPr>
          <w:rFonts w:ascii="Times New Roman" w:hAnsi="Times New Roman" w:cs="Times New Roman"/>
          <w:lang w:val="en-US"/>
        </w:rPr>
      </w:pPr>
      <w:r w:rsidRPr="003044C6">
        <w:rPr>
          <w:rStyle w:val="Appelnotedebasdep"/>
          <w:rFonts w:ascii="Times New Roman" w:hAnsi="Times New Roman" w:cs="Times New Roman"/>
        </w:rPr>
        <w:footnoteRef/>
      </w:r>
      <w:r w:rsidRPr="003044C6">
        <w:rPr>
          <w:rFonts w:ascii="Times New Roman" w:hAnsi="Times New Roman" w:cs="Times New Roman"/>
          <w:lang w:val="en-US"/>
        </w:rPr>
        <w:t xml:space="preserve"> </w:t>
      </w:r>
      <w:r w:rsidR="00E12D4F" w:rsidRPr="003044C6">
        <w:rPr>
          <w:rFonts w:ascii="Times New Roman" w:hAnsi="Times New Roman" w:cs="Times New Roman"/>
          <w:lang w:val="en-US"/>
        </w:rPr>
        <w:t xml:space="preserve">For a summary of the empirical estimates of the ERPT effects in Switzerland, see </w:t>
      </w:r>
      <w:r w:rsidR="00E12D4F" w:rsidRPr="003044C6">
        <w:rPr>
          <w:rFonts w:ascii="Times New Roman" w:hAnsi="Times New Roman" w:cs="Times New Roman"/>
          <w:lang w:val="en-US"/>
        </w:rPr>
        <w:fldChar w:fldCharType="begin"/>
      </w:r>
      <w:r w:rsidR="00800352" w:rsidRPr="003044C6">
        <w:rPr>
          <w:rFonts w:ascii="Times New Roman" w:hAnsi="Times New Roman" w:cs="Times New Roman"/>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sidRPr="003044C6">
        <w:rPr>
          <w:rFonts w:ascii="Times New Roman" w:hAnsi="Times New Roman" w:cs="Times New Roman"/>
          <w:lang w:val="en-US"/>
        </w:rPr>
        <w:fldChar w:fldCharType="separate"/>
      </w:r>
      <w:r w:rsidR="00E12D4F" w:rsidRPr="003044C6">
        <w:rPr>
          <w:rFonts w:ascii="Times New Roman" w:hAnsi="Times New Roman" w:cs="Times New Roman"/>
          <w:lang w:val="en-US"/>
        </w:rPr>
        <w:t>Bachmann (2012)</w:t>
      </w:r>
      <w:r w:rsidR="00E12D4F" w:rsidRPr="003044C6">
        <w:rPr>
          <w:rFonts w:ascii="Times New Roman" w:hAnsi="Times New Roman" w:cs="Times New Roman"/>
          <w:lang w:val="en-US"/>
        </w:rPr>
        <w:fldChar w:fldCharType="end"/>
      </w:r>
      <w:r w:rsidR="00E12D4F" w:rsidRPr="003044C6">
        <w:rPr>
          <w:rFonts w:ascii="Times New Roman" w:hAnsi="Times New Roman" w:cs="Times New Roman"/>
          <w:lang w:val="en-US"/>
        </w:rPr>
        <w:t>.</w:t>
      </w:r>
    </w:p>
  </w:footnote>
  <w:footnote w:id="5">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SportX, Micasa and Melectronics (a sports retailer, a furniture retailer, and an electronics retailer)</w:t>
      </w:r>
    </w:p>
  </w:footnote>
  <w:footnote w:id="6">
    <w:p w14:paraId="27005233" w14:textId="20321569" w:rsidR="00E56851" w:rsidRPr="00E56851" w:rsidRDefault="00E56851">
      <w:pPr>
        <w:pStyle w:val="Notedebasdepage"/>
        <w:rPr>
          <w:lang w:val="en-US"/>
        </w:rPr>
      </w:pPr>
      <w:r>
        <w:rPr>
          <w:rStyle w:val="Appelnotedebasdep"/>
        </w:rPr>
        <w:footnoteRef/>
      </w:r>
      <w:r w:rsidRPr="00E56851">
        <w:rPr>
          <w:lang w:val="en-US"/>
        </w:rPr>
        <w:t xml:space="preserve"> </w:t>
      </w:r>
      <w:hyperlink r:id="rId1" w:history="1">
        <w:r w:rsidRPr="001625E4">
          <w:rPr>
            <w:rStyle w:val="Lienhypertexte"/>
            <w:lang w:val="en-US"/>
          </w:rPr>
          <w:t>https://www.rts.ch/info/economie/14379498-les-marges-spectaculaires-des-grands-distributeurs-coop-et-migros.html</w:t>
        </w:r>
      </w:hyperlink>
      <w:r>
        <w:rPr>
          <w:lang w:val="en-US"/>
        </w:rPr>
        <w:t xml:space="preserve"> </w:t>
      </w:r>
    </w:p>
  </w:footnote>
  <w:footnote w:id="7">
    <w:p w14:paraId="3B46F51A" w14:textId="232088A4" w:rsidR="00DC1EF6" w:rsidRPr="00DC1EF6" w:rsidRDefault="00DC1EF6">
      <w:pPr>
        <w:pStyle w:val="Notedebasdepage"/>
        <w:rPr>
          <w:lang w:val="en-US"/>
        </w:rPr>
      </w:pPr>
      <w:r>
        <w:rPr>
          <w:rStyle w:val="Appelnotedebasdep"/>
        </w:rPr>
        <w:footnoteRef/>
      </w:r>
      <w:r w:rsidRPr="00DC1EF6">
        <w:rPr>
          <w:lang w:val="en-US"/>
        </w:rPr>
        <w:t xml:space="preserve"> According to </w:t>
      </w:r>
      <w:r>
        <w:rPr>
          <w:rFonts w:ascii="Times New Roman" w:hAnsi="Times New Roman" w:cs="Times New Roman"/>
          <w:lang w:val="en-US"/>
        </w:rPr>
        <w:fldChar w:fldCharType="begin"/>
      </w:r>
      <w:r w:rsidR="006F43AC">
        <w:rPr>
          <w:rFonts w:ascii="Times New Roman" w:hAnsi="Times New Roman" w:cs="Times New Roman"/>
          <w:lang w:val="en-US"/>
        </w:rPr>
        <w:instrText xml:space="preserve"> ADDIN ZOTERO_ITEM CSL_CITATION {"citationID":"o8YStpN7","properties":{"formattedCitation":"(Fischer et al. 2021)","plainCitation":"(Fischer et al. 2021)","dontUpdate":true,"noteIndex":7},"citationItems":[{"id":6774,"uris":["http://zotero.org/groups/6311349/items/9EMSZ2RT"],"itemData":{"id":6774,"type":"document","publisher":"BAK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Pr>
          <w:rFonts w:ascii="Times New Roman" w:hAnsi="Times New Roman" w:cs="Times New Roman"/>
          <w:lang w:val="en-US"/>
        </w:rPr>
        <w:fldChar w:fldCharType="separate"/>
      </w:r>
      <w:r w:rsidRPr="009C4A82">
        <w:rPr>
          <w:rFonts w:ascii="Aptos" w:hAnsi="Aptos"/>
          <w:lang w:val="en-US"/>
        </w:rPr>
        <w:t xml:space="preserve">Fischer et al. </w:t>
      </w:r>
      <w:r>
        <w:rPr>
          <w:rFonts w:ascii="Aptos" w:hAnsi="Aptos"/>
          <w:lang w:val="en-US"/>
        </w:rPr>
        <w:t>(</w:t>
      </w:r>
      <w:r w:rsidRPr="009C4A82">
        <w:rPr>
          <w:rFonts w:ascii="Aptos" w:hAnsi="Aptos"/>
          <w:lang w:val="en-US"/>
        </w:rPr>
        <w:t>2021)</w:t>
      </w:r>
      <w:r>
        <w:rPr>
          <w:rFonts w:ascii="Times New Roman" w:hAnsi="Times New Roman" w:cs="Times New Roman"/>
          <w:lang w:val="en-US"/>
        </w:rPr>
        <w:fldChar w:fldCharType="end"/>
      </w:r>
      <w:r>
        <w:rPr>
          <w:rFonts w:ascii="Times New Roman" w:hAnsi="Times New Roman" w:cs="Times New Roman"/>
          <w:lang w:val="en-US"/>
        </w:rPr>
        <w:t xml:space="preserve">’s estimations, this increase in the food-only retail price index is strongly driven by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1764"/>
    <w:rsid w:val="0000307C"/>
    <w:rsid w:val="00012DD0"/>
    <w:rsid w:val="00014443"/>
    <w:rsid w:val="000166AF"/>
    <w:rsid w:val="000233AD"/>
    <w:rsid w:val="000259BE"/>
    <w:rsid w:val="000340CA"/>
    <w:rsid w:val="00062F62"/>
    <w:rsid w:val="0007161F"/>
    <w:rsid w:val="00075FFF"/>
    <w:rsid w:val="00077FCA"/>
    <w:rsid w:val="00082874"/>
    <w:rsid w:val="00092DB5"/>
    <w:rsid w:val="000957F4"/>
    <w:rsid w:val="00097824"/>
    <w:rsid w:val="000A1964"/>
    <w:rsid w:val="000A3EB5"/>
    <w:rsid w:val="000B4794"/>
    <w:rsid w:val="000C20B8"/>
    <w:rsid w:val="000F1D1E"/>
    <w:rsid w:val="000F2EB5"/>
    <w:rsid w:val="000F4C69"/>
    <w:rsid w:val="00115561"/>
    <w:rsid w:val="0012669B"/>
    <w:rsid w:val="0012738A"/>
    <w:rsid w:val="001372AC"/>
    <w:rsid w:val="00137CCC"/>
    <w:rsid w:val="00143EF6"/>
    <w:rsid w:val="00155A77"/>
    <w:rsid w:val="00171C56"/>
    <w:rsid w:val="00190688"/>
    <w:rsid w:val="00196BC1"/>
    <w:rsid w:val="001A3967"/>
    <w:rsid w:val="001A5211"/>
    <w:rsid w:val="001A5326"/>
    <w:rsid w:val="001A6327"/>
    <w:rsid w:val="001A7212"/>
    <w:rsid w:val="001B22E1"/>
    <w:rsid w:val="001B2C57"/>
    <w:rsid w:val="001B44EC"/>
    <w:rsid w:val="001C24FA"/>
    <w:rsid w:val="001C55C0"/>
    <w:rsid w:val="001E087F"/>
    <w:rsid w:val="001E42B1"/>
    <w:rsid w:val="001E6524"/>
    <w:rsid w:val="001F1A84"/>
    <w:rsid w:val="00223CBF"/>
    <w:rsid w:val="00230A8D"/>
    <w:rsid w:val="00234C9B"/>
    <w:rsid w:val="00235C91"/>
    <w:rsid w:val="0024588A"/>
    <w:rsid w:val="002516BD"/>
    <w:rsid w:val="002575E2"/>
    <w:rsid w:val="002644FF"/>
    <w:rsid w:val="00265EFF"/>
    <w:rsid w:val="00267E3A"/>
    <w:rsid w:val="00281FCA"/>
    <w:rsid w:val="00295847"/>
    <w:rsid w:val="002B302B"/>
    <w:rsid w:val="002B6FB4"/>
    <w:rsid w:val="002C26F3"/>
    <w:rsid w:val="002D6403"/>
    <w:rsid w:val="002E37E1"/>
    <w:rsid w:val="002E6801"/>
    <w:rsid w:val="0030213F"/>
    <w:rsid w:val="003044C6"/>
    <w:rsid w:val="003051C7"/>
    <w:rsid w:val="003145C5"/>
    <w:rsid w:val="0032214C"/>
    <w:rsid w:val="00330145"/>
    <w:rsid w:val="00341512"/>
    <w:rsid w:val="00345D2C"/>
    <w:rsid w:val="00351431"/>
    <w:rsid w:val="00352A87"/>
    <w:rsid w:val="003577A6"/>
    <w:rsid w:val="00362EE1"/>
    <w:rsid w:val="00365D58"/>
    <w:rsid w:val="00367A16"/>
    <w:rsid w:val="0037114C"/>
    <w:rsid w:val="00374402"/>
    <w:rsid w:val="00374DB7"/>
    <w:rsid w:val="00374EE4"/>
    <w:rsid w:val="00376855"/>
    <w:rsid w:val="00384875"/>
    <w:rsid w:val="00394E9D"/>
    <w:rsid w:val="00395A91"/>
    <w:rsid w:val="003A0B35"/>
    <w:rsid w:val="003B2778"/>
    <w:rsid w:val="003C7045"/>
    <w:rsid w:val="003C705A"/>
    <w:rsid w:val="003D17CD"/>
    <w:rsid w:val="003E1AB4"/>
    <w:rsid w:val="003E4351"/>
    <w:rsid w:val="003E64AA"/>
    <w:rsid w:val="003F65D8"/>
    <w:rsid w:val="00423C6B"/>
    <w:rsid w:val="0042672D"/>
    <w:rsid w:val="004304AD"/>
    <w:rsid w:val="004317D5"/>
    <w:rsid w:val="004417A5"/>
    <w:rsid w:val="00444C00"/>
    <w:rsid w:val="00451E92"/>
    <w:rsid w:val="0047020D"/>
    <w:rsid w:val="00470CA7"/>
    <w:rsid w:val="004772A4"/>
    <w:rsid w:val="004B2A90"/>
    <w:rsid w:val="004B46A3"/>
    <w:rsid w:val="004B7B56"/>
    <w:rsid w:val="004C06E2"/>
    <w:rsid w:val="004C6BD4"/>
    <w:rsid w:val="004D6623"/>
    <w:rsid w:val="004D6AD9"/>
    <w:rsid w:val="004E308E"/>
    <w:rsid w:val="004E617C"/>
    <w:rsid w:val="004F14DE"/>
    <w:rsid w:val="004F24B3"/>
    <w:rsid w:val="004F583C"/>
    <w:rsid w:val="00505858"/>
    <w:rsid w:val="005153D1"/>
    <w:rsid w:val="0052034E"/>
    <w:rsid w:val="00530576"/>
    <w:rsid w:val="00531A14"/>
    <w:rsid w:val="00533033"/>
    <w:rsid w:val="005411B9"/>
    <w:rsid w:val="00554F3C"/>
    <w:rsid w:val="005626C0"/>
    <w:rsid w:val="005702AA"/>
    <w:rsid w:val="0057548B"/>
    <w:rsid w:val="0058130A"/>
    <w:rsid w:val="005877A1"/>
    <w:rsid w:val="00595F0E"/>
    <w:rsid w:val="00596689"/>
    <w:rsid w:val="005A2F79"/>
    <w:rsid w:val="005A6BD4"/>
    <w:rsid w:val="005B6498"/>
    <w:rsid w:val="005C4623"/>
    <w:rsid w:val="005C600E"/>
    <w:rsid w:val="005F3729"/>
    <w:rsid w:val="005F5B75"/>
    <w:rsid w:val="00601042"/>
    <w:rsid w:val="00611046"/>
    <w:rsid w:val="00617CDD"/>
    <w:rsid w:val="00617F2A"/>
    <w:rsid w:val="00625A05"/>
    <w:rsid w:val="006313A5"/>
    <w:rsid w:val="006457CF"/>
    <w:rsid w:val="006536DC"/>
    <w:rsid w:val="00660AF4"/>
    <w:rsid w:val="00661855"/>
    <w:rsid w:val="00662BD6"/>
    <w:rsid w:val="006751FA"/>
    <w:rsid w:val="006B0B95"/>
    <w:rsid w:val="006B167C"/>
    <w:rsid w:val="006E07E4"/>
    <w:rsid w:val="006E580C"/>
    <w:rsid w:val="006F43AC"/>
    <w:rsid w:val="006F4A9E"/>
    <w:rsid w:val="0071064F"/>
    <w:rsid w:val="00710E8A"/>
    <w:rsid w:val="00723F4E"/>
    <w:rsid w:val="00727296"/>
    <w:rsid w:val="00734E09"/>
    <w:rsid w:val="00737CCF"/>
    <w:rsid w:val="00744192"/>
    <w:rsid w:val="007465F7"/>
    <w:rsid w:val="00747538"/>
    <w:rsid w:val="00750DE9"/>
    <w:rsid w:val="00760A60"/>
    <w:rsid w:val="007623AE"/>
    <w:rsid w:val="00766BC6"/>
    <w:rsid w:val="00780960"/>
    <w:rsid w:val="00785484"/>
    <w:rsid w:val="00795A39"/>
    <w:rsid w:val="00797B62"/>
    <w:rsid w:val="007A323E"/>
    <w:rsid w:val="007A5B50"/>
    <w:rsid w:val="007A65E0"/>
    <w:rsid w:val="007B0599"/>
    <w:rsid w:val="007B1570"/>
    <w:rsid w:val="007B1F6B"/>
    <w:rsid w:val="007C1001"/>
    <w:rsid w:val="007C2881"/>
    <w:rsid w:val="007C4BFE"/>
    <w:rsid w:val="007C5DE0"/>
    <w:rsid w:val="007D40EB"/>
    <w:rsid w:val="007E1B6E"/>
    <w:rsid w:val="007F2DA8"/>
    <w:rsid w:val="00800352"/>
    <w:rsid w:val="00805731"/>
    <w:rsid w:val="008141DF"/>
    <w:rsid w:val="0082344D"/>
    <w:rsid w:val="00835098"/>
    <w:rsid w:val="00835200"/>
    <w:rsid w:val="0084116B"/>
    <w:rsid w:val="008415D0"/>
    <w:rsid w:val="00851C11"/>
    <w:rsid w:val="008614C6"/>
    <w:rsid w:val="0086370E"/>
    <w:rsid w:val="0088271F"/>
    <w:rsid w:val="008A2D69"/>
    <w:rsid w:val="008A6600"/>
    <w:rsid w:val="008C4E6A"/>
    <w:rsid w:val="008D1618"/>
    <w:rsid w:val="008D3145"/>
    <w:rsid w:val="008D4D65"/>
    <w:rsid w:val="008D5F10"/>
    <w:rsid w:val="008E109A"/>
    <w:rsid w:val="00901F0D"/>
    <w:rsid w:val="0092265D"/>
    <w:rsid w:val="00933033"/>
    <w:rsid w:val="0093727A"/>
    <w:rsid w:val="00941504"/>
    <w:rsid w:val="009507D0"/>
    <w:rsid w:val="00951BCA"/>
    <w:rsid w:val="009529A2"/>
    <w:rsid w:val="009538D7"/>
    <w:rsid w:val="00957440"/>
    <w:rsid w:val="00957F4A"/>
    <w:rsid w:val="009658C5"/>
    <w:rsid w:val="009720C9"/>
    <w:rsid w:val="009725E1"/>
    <w:rsid w:val="00973A99"/>
    <w:rsid w:val="00976096"/>
    <w:rsid w:val="00976B54"/>
    <w:rsid w:val="009807FE"/>
    <w:rsid w:val="00984592"/>
    <w:rsid w:val="00987B34"/>
    <w:rsid w:val="009A0225"/>
    <w:rsid w:val="009A1F75"/>
    <w:rsid w:val="009B2543"/>
    <w:rsid w:val="009B6415"/>
    <w:rsid w:val="009C4A82"/>
    <w:rsid w:val="009C5FE7"/>
    <w:rsid w:val="009D2E57"/>
    <w:rsid w:val="009D38B0"/>
    <w:rsid w:val="009E1D58"/>
    <w:rsid w:val="009E2899"/>
    <w:rsid w:val="009F06D4"/>
    <w:rsid w:val="009F1C97"/>
    <w:rsid w:val="009F39BC"/>
    <w:rsid w:val="009F47F8"/>
    <w:rsid w:val="00A029AF"/>
    <w:rsid w:val="00A11A22"/>
    <w:rsid w:val="00A1502D"/>
    <w:rsid w:val="00A16BCD"/>
    <w:rsid w:val="00A20324"/>
    <w:rsid w:val="00A37CC7"/>
    <w:rsid w:val="00A41042"/>
    <w:rsid w:val="00A44345"/>
    <w:rsid w:val="00A47BD9"/>
    <w:rsid w:val="00A54AA6"/>
    <w:rsid w:val="00A70759"/>
    <w:rsid w:val="00A81DA5"/>
    <w:rsid w:val="00A94032"/>
    <w:rsid w:val="00A95995"/>
    <w:rsid w:val="00A977E0"/>
    <w:rsid w:val="00AA3CEC"/>
    <w:rsid w:val="00AB1A05"/>
    <w:rsid w:val="00AB6362"/>
    <w:rsid w:val="00AC2D5F"/>
    <w:rsid w:val="00AC3DE0"/>
    <w:rsid w:val="00AD1A15"/>
    <w:rsid w:val="00AD7EDD"/>
    <w:rsid w:val="00AF3EEB"/>
    <w:rsid w:val="00AF4C7B"/>
    <w:rsid w:val="00AF66F5"/>
    <w:rsid w:val="00B011C3"/>
    <w:rsid w:val="00B02988"/>
    <w:rsid w:val="00B061ED"/>
    <w:rsid w:val="00B145AD"/>
    <w:rsid w:val="00B2443E"/>
    <w:rsid w:val="00B25AD4"/>
    <w:rsid w:val="00B3283F"/>
    <w:rsid w:val="00B45116"/>
    <w:rsid w:val="00B464A8"/>
    <w:rsid w:val="00B5790D"/>
    <w:rsid w:val="00B700A9"/>
    <w:rsid w:val="00B70C7D"/>
    <w:rsid w:val="00B726CF"/>
    <w:rsid w:val="00B75A8D"/>
    <w:rsid w:val="00B84956"/>
    <w:rsid w:val="00BA338D"/>
    <w:rsid w:val="00BC1676"/>
    <w:rsid w:val="00BC64DD"/>
    <w:rsid w:val="00BD6014"/>
    <w:rsid w:val="00BE0CA2"/>
    <w:rsid w:val="00BE7C70"/>
    <w:rsid w:val="00BF317D"/>
    <w:rsid w:val="00BF5280"/>
    <w:rsid w:val="00C044BD"/>
    <w:rsid w:val="00C17663"/>
    <w:rsid w:val="00C20063"/>
    <w:rsid w:val="00C208E6"/>
    <w:rsid w:val="00C27A7E"/>
    <w:rsid w:val="00C35F3B"/>
    <w:rsid w:val="00C570BE"/>
    <w:rsid w:val="00C841C2"/>
    <w:rsid w:val="00C86307"/>
    <w:rsid w:val="00C87B96"/>
    <w:rsid w:val="00CA670A"/>
    <w:rsid w:val="00CB706E"/>
    <w:rsid w:val="00CD13EE"/>
    <w:rsid w:val="00CE15A4"/>
    <w:rsid w:val="00CE6245"/>
    <w:rsid w:val="00CF16D5"/>
    <w:rsid w:val="00D06690"/>
    <w:rsid w:val="00D10F6C"/>
    <w:rsid w:val="00D22FC2"/>
    <w:rsid w:val="00D24519"/>
    <w:rsid w:val="00D266D1"/>
    <w:rsid w:val="00D2720F"/>
    <w:rsid w:val="00D31916"/>
    <w:rsid w:val="00D54014"/>
    <w:rsid w:val="00D56334"/>
    <w:rsid w:val="00D65FC2"/>
    <w:rsid w:val="00D708F9"/>
    <w:rsid w:val="00D70947"/>
    <w:rsid w:val="00D75457"/>
    <w:rsid w:val="00D90320"/>
    <w:rsid w:val="00D9479F"/>
    <w:rsid w:val="00D97B8E"/>
    <w:rsid w:val="00DA2059"/>
    <w:rsid w:val="00DC1EF6"/>
    <w:rsid w:val="00DC67B1"/>
    <w:rsid w:val="00DD0F7F"/>
    <w:rsid w:val="00DD2D62"/>
    <w:rsid w:val="00DE219B"/>
    <w:rsid w:val="00DE3002"/>
    <w:rsid w:val="00E02A9F"/>
    <w:rsid w:val="00E0438E"/>
    <w:rsid w:val="00E12D4F"/>
    <w:rsid w:val="00E14A52"/>
    <w:rsid w:val="00E15E9F"/>
    <w:rsid w:val="00E23A7B"/>
    <w:rsid w:val="00E33023"/>
    <w:rsid w:val="00E427EE"/>
    <w:rsid w:val="00E43F5C"/>
    <w:rsid w:val="00E46E24"/>
    <w:rsid w:val="00E50993"/>
    <w:rsid w:val="00E54C50"/>
    <w:rsid w:val="00E54D69"/>
    <w:rsid w:val="00E56851"/>
    <w:rsid w:val="00E67A87"/>
    <w:rsid w:val="00E71045"/>
    <w:rsid w:val="00E716A4"/>
    <w:rsid w:val="00E7798D"/>
    <w:rsid w:val="00E85829"/>
    <w:rsid w:val="00E96BB6"/>
    <w:rsid w:val="00EA6EF6"/>
    <w:rsid w:val="00EB01A0"/>
    <w:rsid w:val="00EB0B32"/>
    <w:rsid w:val="00EB26C4"/>
    <w:rsid w:val="00EF3A1C"/>
    <w:rsid w:val="00EF5C5B"/>
    <w:rsid w:val="00F111C9"/>
    <w:rsid w:val="00F121EC"/>
    <w:rsid w:val="00F30EDB"/>
    <w:rsid w:val="00F31C75"/>
    <w:rsid w:val="00F44AF7"/>
    <w:rsid w:val="00F44BEA"/>
    <w:rsid w:val="00F45205"/>
    <w:rsid w:val="00F516CC"/>
    <w:rsid w:val="00F55701"/>
    <w:rsid w:val="00F575D3"/>
    <w:rsid w:val="00F65685"/>
    <w:rsid w:val="00F85BD8"/>
    <w:rsid w:val="00F86060"/>
    <w:rsid w:val="00FA2096"/>
    <w:rsid w:val="00FC6519"/>
    <w:rsid w:val="00FC6D1E"/>
    <w:rsid w:val="00FD583F"/>
    <w:rsid w:val="00FE209F"/>
    <w:rsid w:val="00FE4CA3"/>
    <w:rsid w:val="00FE7869"/>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rts.ch/info/economie/14379498-les-marges-spectaculaires-des-grands-distributeurs-coop-et-migro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3855</TotalTime>
  <Pages>16</Pages>
  <Words>16782</Words>
  <Characters>92303</Characters>
  <Application>Microsoft Office Word</Application>
  <DocSecurity>0</DocSecurity>
  <Lines>769</Lines>
  <Paragraphs>217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92</cp:revision>
  <cp:lastPrinted>2026-08-11T15:10:00Z</cp:lastPrinted>
  <dcterms:created xsi:type="dcterms:W3CDTF">2026-07-13T08:57:00Z</dcterms:created>
  <dcterms:modified xsi:type="dcterms:W3CDTF">2026-08-11T15:34:00Z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id="9Bglxtz0"/&gt;&lt;style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