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8A42" w14:textId="6459A295" w:rsidR="004772A4" w:rsidRPr="000040EC" w:rsidRDefault="00D70947" w:rsidP="0057548B">
      <w:pPr>
        <w:pStyle w:val="Titre1"/>
        <w:jc w:val="center"/>
        <w:rPr>
          <w:rStyle w:val="normaltextrun"/>
          <w:rFonts w:ascii="Times New Roman" w:hAnsi="Times New Roman" w:cs="Times New Roman"/>
          <w:color w:val="auto"/>
          <w:lang w:val="en-US"/>
        </w:rPr>
      </w:pPr>
      <w:r w:rsidRPr="000040EC">
        <w:rPr>
          <w:rStyle w:val="normaltextrun"/>
          <w:rFonts w:ascii="Times New Roman" w:hAnsi="Times New Roman" w:cs="Times New Roman"/>
          <w:color w:val="auto"/>
          <w:lang w:val="en-US"/>
        </w:rPr>
        <w:t>Inflation in an Island of High Prices. The Factors behind Price Stability in Switzerland</w:t>
      </w:r>
    </w:p>
    <w:p w14:paraId="0A13A80C" w14:textId="3CE5655D" w:rsidR="00D70947" w:rsidRPr="00CD5371" w:rsidRDefault="00D70947" w:rsidP="00D70947">
      <w:pPr>
        <w:pStyle w:val="paragraph"/>
        <w:spacing w:before="360" w:beforeAutospacing="0" w:after="80" w:afterAutospacing="0"/>
        <w:jc w:val="center"/>
        <w:textAlignment w:val="baseline"/>
        <w:rPr>
          <w:rStyle w:val="normaltextrun"/>
          <w:rFonts w:eastAsiaTheme="majorEastAsia"/>
          <w:sz w:val="32"/>
          <w:szCs w:val="32"/>
        </w:rPr>
      </w:pPr>
      <w:proofErr w:type="spellStart"/>
      <w:r w:rsidRPr="00CD5371">
        <w:rPr>
          <w:rStyle w:val="normaltextrun"/>
          <w:rFonts w:eastAsiaTheme="majorEastAsia"/>
          <w:sz w:val="32"/>
          <w:szCs w:val="32"/>
        </w:rPr>
        <w:t>Celâl</w:t>
      </w:r>
      <w:proofErr w:type="spellEnd"/>
      <w:r w:rsidRPr="00CD5371">
        <w:rPr>
          <w:rStyle w:val="normaltextrun"/>
          <w:rFonts w:eastAsiaTheme="majorEastAsia"/>
          <w:sz w:val="32"/>
          <w:szCs w:val="32"/>
        </w:rPr>
        <w:t xml:space="preserve"> Güney</w:t>
      </w:r>
      <w:r w:rsidRPr="000040EC">
        <w:rPr>
          <w:rStyle w:val="Appelnotedebasdep"/>
          <w:rFonts w:eastAsiaTheme="majorEastAsia"/>
          <w:sz w:val="32"/>
          <w:szCs w:val="32"/>
        </w:rPr>
        <w:footnoteReference w:id="1"/>
      </w:r>
      <w:r w:rsidR="00CD5371">
        <w:rPr>
          <w:rStyle w:val="normaltextrun"/>
          <w:rFonts w:eastAsiaTheme="majorEastAsia"/>
          <w:sz w:val="32"/>
          <w:szCs w:val="32"/>
        </w:rPr>
        <w:t>,</w:t>
      </w:r>
      <w:r w:rsidR="00CD5371" w:rsidRPr="00CD5371">
        <w:rPr>
          <w:rStyle w:val="normaltextrun"/>
          <w:rFonts w:eastAsiaTheme="majorEastAsia"/>
          <w:sz w:val="32"/>
          <w:szCs w:val="32"/>
        </w:rPr>
        <w:t xml:space="preserve"> Guillaume Dr</w:t>
      </w:r>
      <w:r w:rsidR="00CD5371">
        <w:rPr>
          <w:rStyle w:val="normaltextrun"/>
          <w:rFonts w:eastAsiaTheme="majorEastAsia"/>
          <w:sz w:val="32"/>
          <w:szCs w:val="32"/>
        </w:rPr>
        <w:t>eyer</w:t>
      </w:r>
      <w:r w:rsidR="00CD5371">
        <w:rPr>
          <w:rStyle w:val="Appelnotedebasdep"/>
          <w:rFonts w:eastAsiaTheme="majorEastAsia"/>
          <w:sz w:val="32"/>
          <w:szCs w:val="32"/>
        </w:rPr>
        <w:footnoteReference w:id="2"/>
      </w:r>
      <w:r w:rsidR="00CD5371">
        <w:rPr>
          <w:rStyle w:val="normaltextrun"/>
          <w:rFonts w:eastAsiaTheme="majorEastAsia"/>
          <w:sz w:val="32"/>
          <w:szCs w:val="32"/>
        </w:rPr>
        <w:t>, Michalis Nikiforos</w:t>
      </w:r>
      <w:r w:rsidR="00CD5371">
        <w:rPr>
          <w:rStyle w:val="Appelnotedebasdep"/>
          <w:rFonts w:eastAsiaTheme="majorEastAsia"/>
          <w:sz w:val="32"/>
          <w:szCs w:val="32"/>
        </w:rPr>
        <w:footnoteReference w:id="3"/>
      </w:r>
    </w:p>
    <w:p w14:paraId="7EACE994" w14:textId="27F648F4" w:rsidR="004772A4" w:rsidRPr="00CD5371" w:rsidRDefault="004772A4" w:rsidP="004D6AD9">
      <w:pPr>
        <w:pStyle w:val="Titre1"/>
        <w:rPr>
          <w:rStyle w:val="eop"/>
          <w:rFonts w:ascii="Times New Roman" w:hAnsi="Times New Roman" w:cs="Times New Roman"/>
          <w:color w:val="auto"/>
        </w:rPr>
      </w:pPr>
      <w:r w:rsidRPr="00CD5371">
        <w:rPr>
          <w:rStyle w:val="normaltextrun"/>
          <w:rFonts w:ascii="Times New Roman" w:hAnsi="Times New Roman" w:cs="Times New Roman"/>
          <w:color w:val="auto"/>
        </w:rPr>
        <w:t>Abstract</w:t>
      </w:r>
      <w:r w:rsidRPr="00CD5371">
        <w:rPr>
          <w:rStyle w:val="eop"/>
          <w:rFonts w:ascii="Times New Roman" w:hAnsi="Times New Roman" w:cs="Times New Roman"/>
          <w:color w:val="auto"/>
        </w:rPr>
        <w:t> </w:t>
      </w:r>
    </w:p>
    <w:p w14:paraId="12F1A7D0" w14:textId="2371562F" w:rsidR="00DC67B1" w:rsidRPr="000040EC" w:rsidRDefault="00DC67B1" w:rsidP="004772A4">
      <w:pPr>
        <w:pStyle w:val="paragraph"/>
        <w:spacing w:before="0" w:beforeAutospacing="0" w:after="160" w:afterAutospacing="0"/>
        <w:jc w:val="both"/>
        <w:textAlignment w:val="baseline"/>
        <w:rPr>
          <w:rStyle w:val="eop"/>
          <w:rFonts w:eastAsiaTheme="majorEastAsia"/>
          <w:lang w:val="en-US"/>
        </w:rPr>
      </w:pPr>
      <w:r w:rsidRPr="000040EC">
        <w:rPr>
          <w:rStyle w:val="eop"/>
          <w:rFonts w:eastAsiaTheme="majorEastAsia"/>
          <w:lang w:val="en-US"/>
        </w:rPr>
        <w:t xml:space="preserve">In the context of more frequent supply shocks, </w:t>
      </w:r>
      <w:r w:rsidR="0020129D" w:rsidRPr="000040EC">
        <w:rPr>
          <w:rStyle w:val="eop"/>
          <w:rFonts w:eastAsiaTheme="majorEastAsia"/>
          <w:lang w:val="en-US"/>
        </w:rPr>
        <w:t>this article</w:t>
      </w:r>
      <w:r w:rsidRPr="000040EC">
        <w:rPr>
          <w:rStyle w:val="eop"/>
          <w:rFonts w:eastAsiaTheme="majorEastAsia"/>
          <w:lang w:val="en-US"/>
        </w:rPr>
        <w:t xml:space="preserve"> assess</w:t>
      </w:r>
      <w:r w:rsidR="0020129D" w:rsidRPr="000040EC">
        <w:rPr>
          <w:rStyle w:val="eop"/>
          <w:rFonts w:eastAsiaTheme="majorEastAsia"/>
          <w:lang w:val="en-US"/>
        </w:rPr>
        <w:t>es</w:t>
      </w:r>
      <w:r w:rsidRPr="000040EC">
        <w:rPr>
          <w:rStyle w:val="eop"/>
          <w:rFonts w:eastAsiaTheme="majorEastAsia"/>
          <w:lang w:val="en-US"/>
        </w:rPr>
        <w:t xml:space="preserve"> the factors behind the relative </w:t>
      </w:r>
      <w:r w:rsidR="00001764" w:rsidRPr="000040EC">
        <w:rPr>
          <w:rStyle w:val="eop"/>
          <w:rFonts w:eastAsiaTheme="majorEastAsia"/>
          <w:lang w:val="en-US"/>
        </w:rPr>
        <w:t>resistance of Switzerland to cost-push inflation</w:t>
      </w:r>
      <w:r w:rsidRPr="000040EC">
        <w:rPr>
          <w:rStyle w:val="eop"/>
          <w:rFonts w:eastAsiaTheme="majorEastAsia"/>
          <w:lang w:val="en-US"/>
        </w:rPr>
        <w:t xml:space="preserve">. </w:t>
      </w:r>
      <w:r w:rsidR="007F4E14" w:rsidRPr="000040EC">
        <w:rPr>
          <w:rStyle w:val="eop"/>
          <w:rFonts w:eastAsiaTheme="majorEastAsia"/>
          <w:lang w:val="en-US"/>
        </w:rPr>
        <w:t>We</w:t>
      </w:r>
      <w:r w:rsidRPr="000040EC">
        <w:rPr>
          <w:rStyle w:val="eop"/>
          <w:rFonts w:eastAsiaTheme="majorEastAsia"/>
          <w:lang w:val="en-US"/>
        </w:rPr>
        <w:t xml:space="preserve"> </w:t>
      </w:r>
      <w:r w:rsidR="0020129D" w:rsidRPr="000040EC">
        <w:rPr>
          <w:rStyle w:val="eop"/>
          <w:rFonts w:eastAsiaTheme="majorEastAsia"/>
          <w:lang w:val="en-US"/>
        </w:rPr>
        <w:t xml:space="preserve">first </w:t>
      </w:r>
      <w:r w:rsidRPr="000040EC">
        <w:rPr>
          <w:rStyle w:val="eop"/>
          <w:rFonts w:eastAsiaTheme="majorEastAsia"/>
          <w:lang w:val="en-US"/>
        </w:rPr>
        <w:t>review</w:t>
      </w:r>
      <w:r w:rsidR="004D6AD9" w:rsidRPr="000040EC">
        <w:rPr>
          <w:rStyle w:val="eop"/>
          <w:rFonts w:eastAsiaTheme="majorEastAsia"/>
          <w:lang w:val="en-US"/>
        </w:rPr>
        <w:t xml:space="preserve"> and assess</w:t>
      </w:r>
      <w:r w:rsidRPr="000040EC">
        <w:rPr>
          <w:rStyle w:val="eop"/>
          <w:rFonts w:eastAsiaTheme="majorEastAsia"/>
          <w:lang w:val="en-US"/>
        </w:rPr>
        <w:t xml:space="preserve"> common explanations behind price stability </w:t>
      </w:r>
      <w:r w:rsidR="00001764" w:rsidRPr="000040EC">
        <w:rPr>
          <w:rStyle w:val="eop"/>
          <w:rFonts w:eastAsiaTheme="majorEastAsia"/>
          <w:lang w:val="en-US"/>
        </w:rPr>
        <w:t>of</w:t>
      </w:r>
      <w:r w:rsidRPr="000040EC">
        <w:rPr>
          <w:rStyle w:val="eop"/>
          <w:rFonts w:eastAsiaTheme="majorEastAsia"/>
          <w:lang w:val="en-US"/>
        </w:rPr>
        <w:t xml:space="preserve"> </w:t>
      </w:r>
      <w:r w:rsidR="00DA2059" w:rsidRPr="000040EC">
        <w:rPr>
          <w:rStyle w:val="eop"/>
          <w:rFonts w:eastAsiaTheme="majorEastAsia"/>
          <w:lang w:val="en-US"/>
        </w:rPr>
        <w:t>the Swiss economy</w:t>
      </w:r>
      <w:r w:rsidRPr="000040EC">
        <w:rPr>
          <w:rStyle w:val="eop"/>
          <w:rFonts w:eastAsiaTheme="majorEastAsia"/>
          <w:lang w:val="en-US"/>
        </w:rPr>
        <w:t xml:space="preserve">, namely the strength of the Swiss franc, the construction of the </w:t>
      </w:r>
      <w:r w:rsidR="00DA2059" w:rsidRPr="000040EC">
        <w:rPr>
          <w:rStyle w:val="eop"/>
          <w:rFonts w:eastAsiaTheme="majorEastAsia"/>
          <w:lang w:val="en-US"/>
        </w:rPr>
        <w:t>country’s</w:t>
      </w:r>
      <w:r w:rsidRPr="000040EC">
        <w:rPr>
          <w:rStyle w:val="eop"/>
          <w:rFonts w:eastAsiaTheme="majorEastAsia"/>
          <w:lang w:val="en-US"/>
        </w:rPr>
        <w:t xml:space="preserve"> consumer price index</w:t>
      </w:r>
      <w:r w:rsidR="00510BC8" w:rsidRPr="000040EC">
        <w:rPr>
          <w:rStyle w:val="eop"/>
          <w:rFonts w:eastAsiaTheme="majorEastAsia"/>
          <w:lang w:val="en-US"/>
        </w:rPr>
        <w:t xml:space="preserve"> (CPI)</w:t>
      </w:r>
      <w:r w:rsidRPr="000040EC">
        <w:rPr>
          <w:rStyle w:val="eop"/>
          <w:rFonts w:eastAsiaTheme="majorEastAsia"/>
          <w:lang w:val="en-US"/>
        </w:rPr>
        <w:t>, the importance of the high share of administered prices</w:t>
      </w:r>
      <w:r w:rsidR="00510BC8" w:rsidRPr="000040EC">
        <w:rPr>
          <w:rStyle w:val="eop"/>
          <w:rFonts w:eastAsiaTheme="majorEastAsia"/>
          <w:lang w:val="en-US"/>
        </w:rPr>
        <w:t xml:space="preserve"> in the CPI basket</w:t>
      </w:r>
      <w:r w:rsidR="004D6AD9" w:rsidRPr="000040EC">
        <w:rPr>
          <w:rStyle w:val="eop"/>
          <w:rFonts w:eastAsiaTheme="majorEastAsia"/>
          <w:lang w:val="en-US"/>
        </w:rPr>
        <w:t xml:space="preserve">. </w:t>
      </w:r>
      <w:r w:rsidR="00573499" w:rsidRPr="000040EC">
        <w:rPr>
          <w:rStyle w:val="eop"/>
          <w:rFonts w:eastAsiaTheme="majorEastAsia"/>
          <w:lang w:val="en-US"/>
        </w:rPr>
        <w:t xml:space="preserve">Based on the result of a Leontief price model on a 50 industries input-output table of the Swiss economy, </w:t>
      </w:r>
      <w:r w:rsidR="007F4E14" w:rsidRPr="000040EC">
        <w:rPr>
          <w:rStyle w:val="eop"/>
          <w:rFonts w:eastAsiaTheme="majorEastAsia"/>
          <w:lang w:val="en-US"/>
        </w:rPr>
        <w:t>we</w:t>
      </w:r>
      <w:r w:rsidR="00573499" w:rsidRPr="000040EC">
        <w:rPr>
          <w:rStyle w:val="eop"/>
          <w:rFonts w:eastAsiaTheme="majorEastAsia"/>
          <w:lang w:val="en-US"/>
        </w:rPr>
        <w:t xml:space="preserve"> </w:t>
      </w:r>
      <w:r w:rsidR="0020129D" w:rsidRPr="000040EC">
        <w:rPr>
          <w:rStyle w:val="eop"/>
          <w:rFonts w:eastAsiaTheme="majorEastAsia"/>
          <w:lang w:val="en-US"/>
        </w:rPr>
        <w:t xml:space="preserve">then </w:t>
      </w:r>
      <w:r w:rsidR="00573499" w:rsidRPr="000040EC">
        <w:rPr>
          <w:rStyle w:val="eop"/>
          <w:rFonts w:eastAsiaTheme="majorEastAsia"/>
          <w:lang w:val="en-US"/>
        </w:rPr>
        <w:t xml:space="preserve">show that key sectors for Swiss price stability are sectors with substantial price administration, namely transport, food manufacturing and electricity &amp; gas. </w:t>
      </w:r>
      <w:r w:rsidR="007F4E14" w:rsidRPr="000040EC">
        <w:rPr>
          <w:rStyle w:val="eop"/>
          <w:rFonts w:eastAsiaTheme="majorEastAsia"/>
          <w:lang w:val="en-US"/>
        </w:rPr>
        <w:t>We</w:t>
      </w:r>
      <w:r w:rsidR="00573499" w:rsidRPr="000040EC">
        <w:rPr>
          <w:rStyle w:val="eop"/>
          <w:rFonts w:eastAsiaTheme="majorEastAsia"/>
          <w:lang w:val="en-US"/>
        </w:rPr>
        <w:t xml:space="preserve"> thus</w:t>
      </w:r>
      <w:r w:rsidR="004D6AD9" w:rsidRPr="000040EC">
        <w:rPr>
          <w:rStyle w:val="eop"/>
          <w:rFonts w:eastAsiaTheme="majorEastAsia"/>
          <w:lang w:val="en-US"/>
        </w:rPr>
        <w:t xml:space="preserve"> find that low inflation in Switzerland is the result of a combination between the regulation of the energy sector, the protection of the domestic agricultural sector and structural change which has improved the energy mix and intensity of the economy. Finally, </w:t>
      </w:r>
      <w:r w:rsidR="00510BC8" w:rsidRPr="000040EC">
        <w:rPr>
          <w:rStyle w:val="eop"/>
          <w:rFonts w:eastAsiaTheme="majorEastAsia"/>
          <w:lang w:val="en-US"/>
        </w:rPr>
        <w:t>w</w:t>
      </w:r>
      <w:r w:rsidR="007F4E14" w:rsidRPr="000040EC">
        <w:rPr>
          <w:rStyle w:val="eop"/>
          <w:rFonts w:eastAsiaTheme="majorEastAsia"/>
          <w:lang w:val="en-US"/>
        </w:rPr>
        <w:t>e</w:t>
      </w:r>
      <w:r w:rsidR="004D6AD9" w:rsidRPr="000040EC">
        <w:rPr>
          <w:rStyle w:val="eop"/>
          <w:rFonts w:eastAsiaTheme="majorEastAsia"/>
          <w:lang w:val="en-US"/>
        </w:rPr>
        <w:t xml:space="preserve"> </w:t>
      </w:r>
      <w:r w:rsidR="00510BC8" w:rsidRPr="000040EC">
        <w:rPr>
          <w:rStyle w:val="eop"/>
          <w:rFonts w:eastAsiaTheme="majorEastAsia"/>
          <w:lang w:val="en-US"/>
        </w:rPr>
        <w:t>explore the socio-political coalition behind the existence of the Swiss high price island.</w:t>
      </w:r>
    </w:p>
    <w:p w14:paraId="39951C17" w14:textId="51CD7237" w:rsidR="00C35F3B" w:rsidRPr="000040EC" w:rsidRDefault="00C35F3B" w:rsidP="004772A4">
      <w:pPr>
        <w:pStyle w:val="paragraph"/>
        <w:spacing w:before="0" w:beforeAutospacing="0" w:after="160" w:afterAutospacing="0"/>
        <w:jc w:val="both"/>
        <w:textAlignment w:val="baseline"/>
        <w:rPr>
          <w:lang w:val="en-US"/>
        </w:rPr>
      </w:pPr>
      <w:r w:rsidRPr="000040EC">
        <w:rPr>
          <w:rStyle w:val="eop"/>
          <w:rFonts w:eastAsiaTheme="majorEastAsia"/>
          <w:lang w:val="en-US"/>
        </w:rPr>
        <w:t>Keywords: Inflation, Switzerland, Supply Shocks, Price Stability</w:t>
      </w:r>
      <w:r w:rsidR="00E43F5C" w:rsidRPr="000040EC">
        <w:rPr>
          <w:rStyle w:val="eop"/>
          <w:rFonts w:eastAsiaTheme="majorEastAsia"/>
          <w:lang w:val="en-US"/>
        </w:rPr>
        <w:t>, Administered Prices</w:t>
      </w:r>
    </w:p>
    <w:p w14:paraId="3697A25F" w14:textId="444E43C5" w:rsidR="00014443" w:rsidRPr="000040EC" w:rsidRDefault="00014443" w:rsidP="00014443">
      <w:pPr>
        <w:pStyle w:val="Titre1"/>
        <w:jc w:val="both"/>
        <w:rPr>
          <w:rFonts w:ascii="Times New Roman" w:hAnsi="Times New Roman" w:cs="Times New Roman"/>
          <w:color w:val="auto"/>
          <w:lang w:val="en-US"/>
        </w:rPr>
      </w:pPr>
      <w:r w:rsidRPr="000040EC">
        <w:rPr>
          <w:rFonts w:ascii="Times New Roman" w:hAnsi="Times New Roman" w:cs="Times New Roman"/>
          <w:color w:val="auto"/>
          <w:lang w:val="en-US"/>
        </w:rPr>
        <w:t>Introduction</w:t>
      </w:r>
    </w:p>
    <w:p w14:paraId="3D57364C" w14:textId="2C6F023E" w:rsidR="008A2D69" w:rsidRPr="000040EC" w:rsidRDefault="00014443" w:rsidP="00014443">
      <w:pPr>
        <w:jc w:val="both"/>
        <w:rPr>
          <w:rFonts w:ascii="Times New Roman" w:hAnsi="Times New Roman" w:cs="Times New Roman"/>
          <w:lang w:val="en-US"/>
        </w:rPr>
      </w:pPr>
      <w:r w:rsidRPr="000040EC">
        <w:rPr>
          <w:rFonts w:ascii="Times New Roman" w:hAnsi="Times New Roman" w:cs="Times New Roman"/>
          <w:lang w:val="en-US"/>
        </w:rPr>
        <w:t>With the recurrence of large-scale global supply shocks since the Covid-19 crisis such as the war in Ukraine and more recently the closure of the strait of Hormuz, inflation has made a strong return in developed economies</w:t>
      </w:r>
      <w:r w:rsidR="00C87B96" w:rsidRPr="000040EC">
        <w:rPr>
          <w:rFonts w:ascii="Times New Roman" w:hAnsi="Times New Roman" w:cs="Times New Roman"/>
          <w:lang w:val="en-US"/>
        </w:rPr>
        <w:t xml:space="preserve"> </w:t>
      </w:r>
      <w:r w:rsidR="00C87B96" w:rsidRPr="000040EC">
        <w:rPr>
          <w:rFonts w:ascii="Times New Roman" w:hAnsi="Times New Roman" w:cs="Times New Roman"/>
          <w:lang w:val="en-US"/>
        </w:rPr>
        <w:fldChar w:fldCharType="begin"/>
      </w:r>
      <w:r w:rsidR="00C87B96" w:rsidRPr="000040EC">
        <w:rPr>
          <w:rFonts w:ascii="Times New Roman" w:hAnsi="Times New Roman" w:cs="Times New Roman"/>
          <w:lang w:val="en-US"/>
        </w:rPr>
        <w:instrText xml:space="preserve"> ADDIN ZOTERO_ITEM CSL_CITATION {"citationID":"G37maudG","properties":{"formattedCitation":"(Baltensperger 2023; Honohan 2024)","plainCitation":"(Baltensperger 2023; Honohan 2024)","noteIndex":0},"citationItems":[{"id":6396,"uris":["http://zotero.org/groups/6311349/items/TWUJVGCP"],"itemData":{"id":6396,"type":"article-journal","abstract":"For a quarter of a century, the western world has enjoyed a macroeconomic environment characterized by low and stable inflation. Over the last two years, this benign state has dramatically changed. In America and Europe, inflation has resurged with unexpected vigor. Treated at first by central banks and most of their observers as a mere temporary aberration, which would soon fade again without much need for action, it has since assumed a virulence which has forced central banks to tighten their policies much more forcefully than was initially expected. How did all this come about? How are central banks and their monetary policies to be judged?","container-title":"Swiss Journal of Economics and Statistics","DOI":"10.1186/s41937-023-00114-x","ISSN":"2235-6282","issue":"1","journalAbbreviation":"Swiss J Economics Statistics","language":"en","page":"10","source":"Springer Link","title":"The return of inflation","volume":"159","author":[{"family":"Baltensperger","given":"Ernst"}],"issued":{"date-parts":[["2023",6,6]]}}},{"id":6659,"uris":["http://zotero.org/groups/6311349/items/PG4PUGGN"],"itemData":{"id":6659,"type":"article","abstract":"For most of the decade before the COVID-19 pandemic, undershooting rather than overshooting had been the main inflation problem of the European Central Bank (ECB). During 2020, consumer prices in the euro area were falling; by the end of that year, average inflation since the introduction of the euro two decades earlier stood at only 1.6 percent per year. Things began to snowball in 2021. The 12-month inflation rate steadily accelerated. It reached double digits in the final quarter of 2022—more than twice the level it had ever reached since the euro’s introduction in 1999. Four striking features emerge from a review of the unexpected surge in European inflation since 2021: (1) The ECB’s monetary policy response lagged behind that of the US Federal Reserve, reflecting the more gradual evolution of inflation in the euro area and its distinct pattern of causes; (2) the range of inflation rates across different euro area countries has been unprecedented. This largely reflects the differential impact of war-related energy shocks (especially for natural gas piped from Russia) as well as the differential fiscal response by national governments partially insulating consumers from these shocks; (3) not all households were net losers from the inflation, with some benefiting from the fact that inflation reduced the real value of their indebtedness; and (4) the speed with which inflation was returning toward target during 2023 prompted concerns that the ECB’s monetary tightening might have been pushed too far, prolonging the output slowdown.","DOI":"10.2139/ssrn.4875072","genre":"SSRN Scholarly Paper","language":"en","number":"4875072","publisher":"Social Science Research Network","publisher-place":"Rochester, NY","source":"papers.ssrn.com","title":"The Inflation Surge in Europe","URL":"https://papers.ssrn.com/abstract=4875072","author":[{"family":"Honohan","given":"Patrick"}],"accessed":{"date-parts":[["2026",7,7]]},"issued":{"date-parts":[["2024",5,28]]}}}],"schema":"https://github.com/citation-style-language/schema/raw/master/csl-citation.json"} </w:instrText>
      </w:r>
      <w:r w:rsidR="00C87B96" w:rsidRPr="000040EC">
        <w:rPr>
          <w:rFonts w:ascii="Times New Roman" w:hAnsi="Times New Roman" w:cs="Times New Roman"/>
          <w:lang w:val="en-US"/>
        </w:rPr>
        <w:fldChar w:fldCharType="separate"/>
      </w:r>
      <w:r w:rsidR="00C87B96" w:rsidRPr="000040EC">
        <w:rPr>
          <w:rFonts w:ascii="Times New Roman" w:hAnsi="Times New Roman" w:cs="Times New Roman"/>
          <w:lang w:val="en-US"/>
        </w:rPr>
        <w:t>(Baltensperger 2023; Honohan 2024)</w:t>
      </w:r>
      <w:r w:rsidR="00C87B96" w:rsidRPr="000040EC">
        <w:rPr>
          <w:rFonts w:ascii="Times New Roman" w:hAnsi="Times New Roman" w:cs="Times New Roman"/>
          <w:lang w:val="en-US"/>
        </w:rPr>
        <w:fldChar w:fldCharType="end"/>
      </w:r>
      <w:r w:rsidRPr="000040EC">
        <w:rPr>
          <w:rFonts w:ascii="Times New Roman" w:hAnsi="Times New Roman" w:cs="Times New Roman"/>
          <w:lang w:val="en-US"/>
        </w:rPr>
        <w:t xml:space="preserve">. In the last few years, </w:t>
      </w:r>
      <w:r w:rsidR="003E4351" w:rsidRPr="000040EC">
        <w:rPr>
          <w:rFonts w:ascii="Times New Roman" w:hAnsi="Times New Roman" w:cs="Times New Roman"/>
          <w:lang w:val="en-US"/>
        </w:rPr>
        <w:t>countries</w:t>
      </w:r>
      <w:r w:rsidRPr="000040EC">
        <w:rPr>
          <w:rFonts w:ascii="Times New Roman" w:hAnsi="Times New Roman" w:cs="Times New Roman"/>
          <w:lang w:val="en-US"/>
        </w:rPr>
        <w:t xml:space="preserve"> have experienced inflation rates not </w:t>
      </w:r>
      <w:r w:rsidR="001A5326" w:rsidRPr="000040EC">
        <w:rPr>
          <w:rFonts w:ascii="Times New Roman" w:hAnsi="Times New Roman" w:cs="Times New Roman"/>
          <w:lang w:val="en-US"/>
        </w:rPr>
        <w:t>seen in decades due to supply chain disruptions and the increase in gas and oil prices. However, one country has remarkably well resisted to the 2021-2023 inflation surge: Switzerland. According to the KOF Swiss Economic Institute</w:t>
      </w:r>
      <w:r w:rsidR="00785484" w:rsidRPr="000040EC">
        <w:rPr>
          <w:rFonts w:ascii="Times New Roman" w:hAnsi="Times New Roman" w:cs="Times New Roman"/>
          <w:lang w:val="en-US"/>
        </w:rPr>
        <w:t>,</w:t>
      </w:r>
      <w:r w:rsidR="001A5326" w:rsidRPr="000040EC">
        <w:rPr>
          <w:rFonts w:ascii="Times New Roman" w:hAnsi="Times New Roman" w:cs="Times New Roman"/>
          <w:lang w:val="en-US"/>
        </w:rPr>
        <w:t xml:space="preserve"> inflation rose up to barely 2,8% in 2022 and 2,1% in 2023 and, since 2024, is already back to the Swiss National Bank (SNB) target range (0-2%) since. In </w:t>
      </w:r>
      <w:r w:rsidR="0042672D" w:rsidRPr="000040EC">
        <w:rPr>
          <w:rFonts w:ascii="Times New Roman" w:hAnsi="Times New Roman" w:cs="Times New Roman"/>
          <w:lang w:val="en-US"/>
        </w:rPr>
        <w:t xml:space="preserve">international </w:t>
      </w:r>
      <w:r w:rsidR="001A5326" w:rsidRPr="000040EC">
        <w:rPr>
          <w:rFonts w:ascii="Times New Roman" w:hAnsi="Times New Roman" w:cs="Times New Roman"/>
          <w:lang w:val="en-US"/>
        </w:rPr>
        <w:t>comparison, inflation reached 8% in the United States and 8,4% in the Eurozone in 2022 before declining to 4,1% and 5,5% respectively in 2023</w:t>
      </w:r>
      <w:r w:rsidR="00533033" w:rsidRPr="000040EC">
        <w:rPr>
          <w:rFonts w:ascii="Times New Roman" w:hAnsi="Times New Roman" w:cs="Times New Roman"/>
          <w:lang w:val="en-US"/>
        </w:rPr>
        <w:t xml:space="preserve"> </w:t>
      </w:r>
      <w:r w:rsidR="00533033" w:rsidRPr="000040EC">
        <w:rPr>
          <w:rFonts w:ascii="Times New Roman" w:hAnsi="Times New Roman" w:cs="Times New Roman"/>
          <w:lang w:val="en-US"/>
        </w:rPr>
        <w:fldChar w:fldCharType="begin"/>
      </w:r>
      <w:r w:rsidR="00533033" w:rsidRPr="000040EC">
        <w:rPr>
          <w:rFonts w:ascii="Times New Roman" w:hAnsi="Times New Roman" w:cs="Times New Roman"/>
          <w:lang w:val="en-US"/>
        </w:rPr>
        <w:instrText xml:space="preserve"> ADDIN ZOTERO_ITEM CSL_CITATION {"citationID":"2vldSBiB","properties":{"formattedCitation":"(Sturm et al. 2023)","plainCitation":"(Sturm et al. 2023)","noteIndex":0},"citationItems":[{"id":6577,"uris":["http://zotero.org/groups/6311349/items/PNZDS3WF"],"itemData":{"id":6577,"type":"article-journal","abstract":"Der vorliegende Beitrag dokumentiert die Ergebnisse der Winterprognose 2023 der KOF Konjunkturforschungsstelle der ETH Zürich vom 13. Dezember 2023. Zuerst werden die jüngsten Wirtschaftsentwicklungen in der Schweiz und im Ausland diskutiert. Danach folgen die wichtigsten Prognoseergebnisse für die verschiedenen Wirtschaftsbereiche der Schweiz, aufgeteilt nach den wichtigsten verwendungsseitigen Komponenten des Bruttoinlandprodukts (BIP). Zuletzt folgt ein ausführlicher Datenanhang.","container-title":"KOF Analysen","DOI":"10.3929/ethz-b-000651951","ISSN":"1662-3517","issue":"4","language":"de","page":"1-30","publisher":"KOF Swiss Economic Institute, ETH Zurich","publisher-place":"Zürich","source":"www.research-collection.ethz.ch","title":"Konjunkturanalyse: Prognose 2024 / 2025 Schweizer Wirtschaft im Sog der internationalen Konjunkturschwäche","title-short":"Konjunkturanalyse","volume":"2023","author":[{"family":"Sturm","given":"Jan-Egbert"},{"family":"Rathke","given":"Alexander"},{"family":"Abberger","given":"Klaus"},{"family":"Abrahamsen","given":"Yngve"},{"family":"Anderes","given":"Marc"},{"family":"Daniele","given":"Maurizio"},{"family":"Domjahn","given":"Thomas"},{"family":"Graff","given":"Michael"},{"family":"Kronenberg","given":"Philipp"},{"family":"Martínez","given":"Isabel Z."},{"family":"Mikosch","given":"Heiner"},{"family":"Mühlebach","given":"Nina"},{"family":"Perakis","given":"Alexis"},{"family":"Reinicke","given":"Tim"},{"family":"Sarferaz","given":"Samad"},{"family":"Scherer","given":"Timotheus Merlin"},{"family":"Seiler","given":"Pascal"},{"family":"Siegenthaler","given":"Michael"},{"family":"Siegrist","given":"Stefanie"},{"family":"Streicher","given":"Sina"}],"issued":{"date-parts":[["2023",12]]}}}],"schema":"https://github.com/citation-style-language/schema/raw/master/csl-citation.json"} </w:instrText>
      </w:r>
      <w:r w:rsidR="00533033" w:rsidRPr="000040EC">
        <w:rPr>
          <w:rFonts w:ascii="Times New Roman" w:hAnsi="Times New Roman" w:cs="Times New Roman"/>
          <w:lang w:val="en-US"/>
        </w:rPr>
        <w:fldChar w:fldCharType="separate"/>
      </w:r>
      <w:r w:rsidR="00C35F3B" w:rsidRPr="000040EC">
        <w:rPr>
          <w:rFonts w:ascii="Times New Roman" w:hAnsi="Times New Roman" w:cs="Times New Roman"/>
          <w:lang w:val="en-US"/>
        </w:rPr>
        <w:t>(Sturm et al. 2023)</w:t>
      </w:r>
      <w:r w:rsidR="00533033" w:rsidRPr="000040EC">
        <w:rPr>
          <w:rFonts w:ascii="Times New Roman" w:hAnsi="Times New Roman" w:cs="Times New Roman"/>
          <w:lang w:val="en-US"/>
        </w:rPr>
        <w:fldChar w:fldCharType="end"/>
      </w:r>
      <w:r w:rsidR="001A5326" w:rsidRPr="000040EC">
        <w:rPr>
          <w:rFonts w:ascii="Times New Roman" w:hAnsi="Times New Roman" w:cs="Times New Roman"/>
          <w:lang w:val="en-US"/>
        </w:rPr>
        <w:t>.</w:t>
      </w:r>
      <w:r w:rsidR="0042672D" w:rsidRPr="000040EC">
        <w:rPr>
          <w:rFonts w:ascii="Times New Roman" w:hAnsi="Times New Roman" w:cs="Times New Roman"/>
          <w:lang w:val="en-US"/>
        </w:rPr>
        <w:t xml:space="preserve"> </w:t>
      </w:r>
      <w:r w:rsidR="00A44345" w:rsidRPr="000040EC">
        <w:rPr>
          <w:rFonts w:ascii="Times New Roman" w:hAnsi="Times New Roman" w:cs="Times New Roman"/>
          <w:lang w:val="en-US"/>
        </w:rPr>
        <w:t xml:space="preserve">The harmonized food price index increased by only 4,2% in Switzerland </w:t>
      </w:r>
      <w:r w:rsidR="00374DB7" w:rsidRPr="000040EC">
        <w:rPr>
          <w:rFonts w:ascii="Times New Roman" w:hAnsi="Times New Roman" w:cs="Times New Roman"/>
          <w:lang w:val="en-US"/>
        </w:rPr>
        <w:t>during the global food crisis of 2022</w:t>
      </w:r>
      <w:r w:rsidR="00A44345" w:rsidRPr="000040EC">
        <w:rPr>
          <w:rFonts w:ascii="Times New Roman" w:hAnsi="Times New Roman" w:cs="Times New Roman"/>
          <w:lang w:val="en-US"/>
        </w:rPr>
        <w:t xml:space="preserve"> whereas it increased by 16,7% in the European Union </w:t>
      </w:r>
      <w:r w:rsidR="00785484" w:rsidRPr="000040EC">
        <w:rPr>
          <w:rFonts w:ascii="Times New Roman" w:hAnsi="Times New Roman" w:cs="Times New Roman"/>
          <w:lang w:val="en-US"/>
        </w:rPr>
        <w:t xml:space="preserve">(EU) </w:t>
      </w:r>
      <w:r w:rsidR="00A44345" w:rsidRPr="000040EC">
        <w:rPr>
          <w:rFonts w:ascii="Times New Roman" w:hAnsi="Times New Roman" w:cs="Times New Roman"/>
          <w:lang w:val="en-US"/>
        </w:rPr>
        <w:fldChar w:fldCharType="begin"/>
      </w:r>
      <w:r w:rsidR="00374DB7" w:rsidRPr="000040EC">
        <w:rPr>
          <w:rFonts w:ascii="Times New Roman" w:hAnsi="Times New Roman" w:cs="Times New Roman"/>
          <w:lang w:val="en-US"/>
        </w:rPr>
        <w:instrText xml:space="preserve"> ADDIN ZOTERO_ITEM CSL_CITATION {"citationID":"hPMfz7bI","properties":{"formattedCitation":"(Eurostat 2026)","plainCitation":"(Eurostat 2026)","noteIndex":0},"citationItems":[{"id":6609,"uris":["http://zotero.org/groups/6311349/items/DINSZNJG"],"itemData":{"id":6609,"type":"dataset","DOI":"10.2908/PRC_FPMT_M","publisher":"Eurostat","source":"DOI.org (Datacite)","title":"Food Price Monitoring Tool","URL":"https://ec.europa.eu/eurostat/product?code=PRC_FPMT_M","author":[{"literal":"Eurostat"}],"accessed":{"date-parts":[["2026",7,2]]},"issued":{"date-parts":[["2026"]]}}}],"schema":"https://github.com/citation-style-language/schema/raw/master/csl-citation.json"} </w:instrText>
      </w:r>
      <w:r w:rsidR="00A44345" w:rsidRPr="000040EC">
        <w:rPr>
          <w:rFonts w:ascii="Times New Roman" w:hAnsi="Times New Roman" w:cs="Times New Roman"/>
          <w:lang w:val="en-US"/>
        </w:rPr>
        <w:fldChar w:fldCharType="separate"/>
      </w:r>
      <w:r w:rsidR="00C35F3B" w:rsidRPr="000040EC">
        <w:rPr>
          <w:rFonts w:ascii="Times New Roman" w:hAnsi="Times New Roman" w:cs="Times New Roman"/>
          <w:lang w:val="en-US"/>
        </w:rPr>
        <w:t>(Eurostat 2026)</w:t>
      </w:r>
      <w:r w:rsidR="00A44345" w:rsidRPr="000040EC">
        <w:rPr>
          <w:rFonts w:ascii="Times New Roman" w:hAnsi="Times New Roman" w:cs="Times New Roman"/>
          <w:lang w:val="en-US"/>
        </w:rPr>
        <w:fldChar w:fldCharType="end"/>
      </w:r>
      <w:r w:rsidR="00374DB7" w:rsidRPr="000040EC">
        <w:rPr>
          <w:rFonts w:ascii="Times New Roman" w:hAnsi="Times New Roman" w:cs="Times New Roman"/>
          <w:lang w:val="en-US"/>
        </w:rPr>
        <w:t>.</w:t>
      </w:r>
      <w:r w:rsidR="00785484" w:rsidRPr="000040EC">
        <w:rPr>
          <w:rFonts w:ascii="Times New Roman" w:hAnsi="Times New Roman" w:cs="Times New Roman"/>
          <w:lang w:val="en-US"/>
        </w:rPr>
        <w:t xml:space="preserve"> </w:t>
      </w:r>
      <w:r w:rsidR="008A2D69" w:rsidRPr="000040EC">
        <w:rPr>
          <w:rFonts w:ascii="Times New Roman" w:hAnsi="Times New Roman" w:cs="Times New Roman"/>
          <w:lang w:val="en-US"/>
        </w:rPr>
        <w:t xml:space="preserve">As shown in figure 1, Swiss headline inflation rates are consistently lower than the </w:t>
      </w:r>
      <w:r w:rsidR="001A6327" w:rsidRPr="000040EC">
        <w:rPr>
          <w:rFonts w:ascii="Times New Roman" w:hAnsi="Times New Roman" w:cs="Times New Roman"/>
          <w:lang w:val="en-US"/>
        </w:rPr>
        <w:t xml:space="preserve">OECD and the United States. Whereas the Swiss economy was still subject to high inflation during the 70s and 80s, </w:t>
      </w:r>
      <w:r w:rsidR="00FC6519" w:rsidRPr="000040EC">
        <w:rPr>
          <w:rFonts w:ascii="Times New Roman" w:hAnsi="Times New Roman" w:cs="Times New Roman"/>
          <w:lang w:val="en-US"/>
        </w:rPr>
        <w:t xml:space="preserve">the long run tendency is characterized by a trend toward strong price stability, even deflation. The latter was particularly </w:t>
      </w:r>
      <w:r w:rsidR="00FC6519" w:rsidRPr="000040EC">
        <w:rPr>
          <w:rFonts w:ascii="Times New Roman" w:hAnsi="Times New Roman" w:cs="Times New Roman"/>
          <w:lang w:val="en-US"/>
        </w:rPr>
        <w:lastRenderedPageBreak/>
        <w:t>important after the Great Recession and became a policy issue during the 2010s, so much that the Swiss National Bank (SNB) introduced several unconventional monetary policies to fight deflationary pressures on the Swiss franc (more about the so-called “</w:t>
      </w:r>
      <w:proofErr w:type="spellStart"/>
      <w:r w:rsidR="00FC6519" w:rsidRPr="000040EC">
        <w:rPr>
          <w:rFonts w:ascii="Times New Roman" w:hAnsi="Times New Roman" w:cs="Times New Roman"/>
          <w:lang w:val="en-US"/>
        </w:rPr>
        <w:t>taux</w:t>
      </w:r>
      <w:proofErr w:type="spellEnd"/>
      <w:r w:rsidR="00FC6519" w:rsidRPr="000040EC">
        <w:rPr>
          <w:rFonts w:ascii="Times New Roman" w:hAnsi="Times New Roman" w:cs="Times New Roman"/>
          <w:lang w:val="en-US"/>
        </w:rPr>
        <w:t xml:space="preserve"> </w:t>
      </w:r>
      <w:proofErr w:type="spellStart"/>
      <w:r w:rsidR="00FC6519" w:rsidRPr="000040EC">
        <w:rPr>
          <w:rFonts w:ascii="Times New Roman" w:hAnsi="Times New Roman" w:cs="Times New Roman"/>
          <w:lang w:val="en-US"/>
        </w:rPr>
        <w:t>plancher</w:t>
      </w:r>
      <w:proofErr w:type="spellEnd"/>
      <w:r w:rsidR="00FC6519" w:rsidRPr="000040EC">
        <w:rPr>
          <w:rFonts w:ascii="Times New Roman" w:hAnsi="Times New Roman" w:cs="Times New Roman"/>
          <w:lang w:val="en-US"/>
        </w:rPr>
        <w:t>” below). Among rich economies, only Japan has displayed such comparable deflationary trends.</w:t>
      </w:r>
      <w:r w:rsidR="001A6327" w:rsidRPr="000040EC">
        <w:rPr>
          <w:rFonts w:ascii="Times New Roman" w:hAnsi="Times New Roman" w:cs="Times New Roman"/>
          <w:lang w:val="en-US"/>
        </w:rPr>
        <w:t xml:space="preserve"> </w:t>
      </w:r>
    </w:p>
    <w:p w14:paraId="3CC35674" w14:textId="4842C5C6" w:rsidR="00941504" w:rsidRPr="000040EC" w:rsidRDefault="00785484" w:rsidP="00014443">
      <w:pPr>
        <w:jc w:val="both"/>
        <w:rPr>
          <w:rFonts w:ascii="Times New Roman" w:hAnsi="Times New Roman" w:cs="Times New Roman"/>
          <w:lang w:val="en-US"/>
        </w:rPr>
      </w:pPr>
      <w:r w:rsidRPr="000040EC">
        <w:rPr>
          <w:rFonts w:ascii="Times New Roman" w:hAnsi="Times New Roman" w:cs="Times New Roman"/>
          <w:lang w:val="en-US"/>
        </w:rPr>
        <w:t>At the same time, Switzerland has one of the highest price level</w:t>
      </w:r>
      <w:r w:rsidR="00CE6245" w:rsidRPr="000040EC">
        <w:rPr>
          <w:rFonts w:ascii="Times New Roman" w:hAnsi="Times New Roman" w:cs="Times New Roman"/>
          <w:lang w:val="en-US"/>
        </w:rPr>
        <w:t>s</w:t>
      </w:r>
      <w:r w:rsidRPr="000040EC">
        <w:rPr>
          <w:rFonts w:ascii="Times New Roman" w:hAnsi="Times New Roman" w:cs="Times New Roman"/>
          <w:lang w:val="en-US"/>
        </w:rPr>
        <w:t xml:space="preserve"> in the world. Its GDP price index is approximately 60% higher than the EU average and final household expenditure prices are higher by 82% </w:t>
      </w:r>
      <w:r w:rsidRPr="000040EC">
        <w:rPr>
          <w:rFonts w:ascii="Times New Roman" w:hAnsi="Times New Roman" w:cs="Times New Roman"/>
          <w:lang w:val="en-US"/>
        </w:rPr>
        <w:fldChar w:fldCharType="begin"/>
      </w:r>
      <w:r w:rsidR="00C35F3B" w:rsidRPr="000040EC">
        <w:rPr>
          <w:rFonts w:ascii="Times New Roman" w:hAnsi="Times New Roman" w:cs="Times New Roman"/>
          <w:lang w:val="en-US"/>
        </w:rPr>
        <w:instrText xml:space="preserve"> ADDIN ZOTERO_ITEM CSL_CITATION {"citationID":"hxPsEvQh","properties":{"formattedCitation":"(Albouy and Bordes 2026)","plainCitation":"(Albouy and Bordes 2026)","noteIndex":0},"citationItems":[{"id":6579,"uris":["http://zotero.org/groups/6311349/items/42T8BLWT"],"itemData":{"id":6579,"type":"document","abstract":"Switzerland is roughly 60% more expensive than its neighbouring countries. Consumer prices – particularly for services – are more affected by this than investment prices. This high-price island reveals a two-sided economy: very productive exporting sectors with high wages, and a domestic sector forced to bring itself up to the level of the former, raising prices in the long term. This model contin","language":"fr","publisher":"Direction générale du Trésor","title":"The Swiss High-Price Island","URL":"https://www.tresor.economie.gouv.fr/Articles/2026/01/22/the-swiss-high-price-island","author":[{"family":"Albouy","given":"Martin"},{"family":"Bordes","given":"Gilles"}],"accessed":{"date-parts":[["2026",6,26]]},"issued":{"date-parts":[["2026"]]}}}],"schema":"https://github.com/citation-style-language/schema/raw/master/csl-citation.json"} </w:instrText>
      </w:r>
      <w:r w:rsidRPr="000040EC">
        <w:rPr>
          <w:rFonts w:ascii="Times New Roman" w:hAnsi="Times New Roman" w:cs="Times New Roman"/>
          <w:lang w:val="en-US"/>
        </w:rPr>
        <w:fldChar w:fldCharType="separate"/>
      </w:r>
      <w:r w:rsidR="00C35F3B" w:rsidRPr="000040EC">
        <w:rPr>
          <w:rFonts w:ascii="Times New Roman" w:hAnsi="Times New Roman" w:cs="Times New Roman"/>
          <w:lang w:val="en-US"/>
        </w:rPr>
        <w:t>(Albouy and Bordes 2026)</w:t>
      </w:r>
      <w:r w:rsidRPr="000040EC">
        <w:rPr>
          <w:rFonts w:ascii="Times New Roman" w:hAnsi="Times New Roman" w:cs="Times New Roman"/>
          <w:lang w:val="en-US"/>
        </w:rPr>
        <w:fldChar w:fldCharType="end"/>
      </w:r>
      <w:r w:rsidR="003E4351" w:rsidRPr="000040EC">
        <w:rPr>
          <w:rFonts w:ascii="Times New Roman" w:hAnsi="Times New Roman" w:cs="Times New Roman"/>
          <w:lang w:val="en-US"/>
        </w:rPr>
        <w:t xml:space="preserve">, </w:t>
      </w:r>
      <w:r w:rsidR="000233AD" w:rsidRPr="000040EC">
        <w:rPr>
          <w:rFonts w:ascii="Times New Roman" w:hAnsi="Times New Roman" w:cs="Times New Roman"/>
          <w:lang w:val="en-US"/>
        </w:rPr>
        <w:t>which contribute to Switzerland being characterized as an “island of high prices” due to its relatively very high price level.</w:t>
      </w:r>
      <w:r w:rsidR="00941504" w:rsidRPr="000040EC">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91B58C0" wp14:editId="17533DF0">
                <wp:simplePos x="0" y="0"/>
                <wp:positionH relativeFrom="column">
                  <wp:posOffset>-2540</wp:posOffset>
                </wp:positionH>
                <wp:positionV relativeFrom="paragraph">
                  <wp:posOffset>5816600</wp:posOffset>
                </wp:positionV>
                <wp:extent cx="5760720" cy="635"/>
                <wp:effectExtent l="0" t="0" r="0" b="0"/>
                <wp:wrapSquare wrapText="bothSides"/>
                <wp:docPr id="306231214"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9B6B3CC" w14:textId="097AA54A" w:rsidR="00941504" w:rsidRPr="00E22F4B" w:rsidRDefault="00941504" w:rsidP="00941504">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1</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Headline inflation rates in Switzerland since the 1960s compared to overall OECD countries average, Japan and the United States. Source: OECD Economic Outlook.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1B58C0" id="_x0000_t202" coordsize="21600,21600" o:spt="202" path="m,l,21600r21600,l21600,xe">
                <v:stroke joinstyle="miter"/>
                <v:path gradientshapeok="t" o:connecttype="rect"/>
              </v:shapetype>
              <v:shape id="Zone de texte 1" o:spid="_x0000_s1026" type="#_x0000_t202" style="position:absolute;left:0;text-align:left;margin-left:-.2pt;margin-top:458pt;width:45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CFZdNd8AAAAJAQAADwAAAGRycy9kb3ducmV2LnhtbEyPwU7DMBBE70j8g7VIXFDr&#10;BKKIhjhVVcEBLhWhF25uvI0D8TqKnTb8PQsXOO7MaHZeuZ5dL044hs6TgnSZgEBqvOmoVbB/e1rc&#10;gwhRk9G9J1TwhQHW1eVFqQvjz/SKpzq2gksoFFqBjXEopAyNRafD0g9I7B396HTkc2ylGfWZy10v&#10;b5Mkl053xB+sHnBrsfmsJ6dgl73v7M10fHzZZHfj837a5h9trdT11bx5ABFxjn9h+JnP06HiTQc/&#10;kQmiV7DIOKhgleaMxP4qyRnl8KukIKtS/ieovgEAAP//AwBQSwECLQAUAAYACAAAACEAtoM4kv4A&#10;AADhAQAAEwAAAAAAAAAAAAAAAAAAAAAAW0NvbnRlbnRfVHlwZXNdLnhtbFBLAQItABQABgAIAAAA&#10;IQA4/SH/1gAAAJQBAAALAAAAAAAAAAAAAAAAAC8BAABfcmVscy8ucmVsc1BLAQItABQABgAIAAAA&#10;IQAv6C9nFQIAADgEAAAOAAAAAAAAAAAAAAAAAC4CAABkcnMvZTJvRG9jLnhtbFBLAQItABQABgAI&#10;AAAAIQAIVl013wAAAAkBAAAPAAAAAAAAAAAAAAAAAG8EAABkcnMvZG93bnJldi54bWxQSwUGAAAA&#10;AAQABADzAAAAewUAAAAA&#10;" stroked="f">
                <v:textbox style="mso-fit-shape-to-text:t" inset="0,0,0,0">
                  <w:txbxContent>
                    <w:p w14:paraId="49B6B3CC" w14:textId="097AA54A" w:rsidR="00941504" w:rsidRPr="00E22F4B" w:rsidRDefault="00941504" w:rsidP="00941504">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1</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Headline inflation rates in Switzerland since the 1960s compared to overall OECD countries average, Japan and the United States. Source: OECD Economic Outlook.</w:t>
                      </w:r>
                    </w:p>
                  </w:txbxContent>
                </v:textbox>
                <w10:wrap type="square"/>
              </v:shape>
            </w:pict>
          </mc:Fallback>
        </mc:AlternateContent>
      </w:r>
      <w:r w:rsidR="00941504" w:rsidRPr="000040EC">
        <w:rPr>
          <w:rFonts w:ascii="Times New Roman" w:hAnsi="Times New Roman" w:cs="Times New Roman"/>
          <w:noProof/>
          <w:lang w:val="en-US"/>
        </w:rPr>
        <w:drawing>
          <wp:anchor distT="0" distB="0" distL="114300" distR="114300" simplePos="0" relativeHeight="251661312" behindDoc="0" locked="0" layoutInCell="1" allowOverlap="1" wp14:anchorId="02FAADB5" wp14:editId="08B986DE">
            <wp:simplePos x="0" y="0"/>
            <wp:positionH relativeFrom="column">
              <wp:posOffset>-2540</wp:posOffset>
            </wp:positionH>
            <wp:positionV relativeFrom="paragraph">
              <wp:posOffset>-1270</wp:posOffset>
            </wp:positionV>
            <wp:extent cx="5760720" cy="5760720"/>
            <wp:effectExtent l="0" t="0" r="0" b="0"/>
            <wp:wrapSquare wrapText="bothSides"/>
            <wp:docPr id="17971126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anchor>
        </w:drawing>
      </w:r>
    </w:p>
    <w:p w14:paraId="5845D9C2" w14:textId="0FBBF77F" w:rsidR="008E109A" w:rsidRPr="000040EC" w:rsidRDefault="00CE6245" w:rsidP="00DD2D62">
      <w:pPr>
        <w:jc w:val="both"/>
        <w:rPr>
          <w:rFonts w:ascii="Times New Roman" w:hAnsi="Times New Roman" w:cs="Times New Roman"/>
          <w:lang w:val="en-US"/>
        </w:rPr>
      </w:pPr>
      <w:r w:rsidRPr="000040EC">
        <w:rPr>
          <w:rFonts w:ascii="Times New Roman" w:hAnsi="Times New Roman" w:cs="Times New Roman"/>
          <w:lang w:val="en-US"/>
        </w:rPr>
        <w:t xml:space="preserve">What </w:t>
      </w:r>
      <w:r w:rsidR="00444C00" w:rsidRPr="000040EC">
        <w:rPr>
          <w:rFonts w:ascii="Times New Roman" w:hAnsi="Times New Roman" w:cs="Times New Roman"/>
          <w:lang w:val="en-US"/>
        </w:rPr>
        <w:t xml:space="preserve">factors lie behind the high price levels and low inflation rates in Switzerland? What makes this country particularly resistant to inflationary pressures? </w:t>
      </w:r>
      <w:r w:rsidR="0012669B" w:rsidRPr="000040EC">
        <w:rPr>
          <w:rFonts w:ascii="Times New Roman" w:hAnsi="Times New Roman" w:cs="Times New Roman"/>
          <w:lang w:val="en-US"/>
        </w:rPr>
        <w:t xml:space="preserve">The present contribution aims to contribute to the current debates </w:t>
      </w:r>
      <w:r w:rsidR="00EA6EF6" w:rsidRPr="000040EC">
        <w:rPr>
          <w:rFonts w:ascii="Times New Roman" w:hAnsi="Times New Roman" w:cs="Times New Roman"/>
          <w:lang w:val="en-US"/>
        </w:rPr>
        <w:t xml:space="preserve">around the return of inflation through an assessment of the </w:t>
      </w:r>
      <w:r w:rsidR="00EA6EF6" w:rsidRPr="000040EC">
        <w:rPr>
          <w:rFonts w:ascii="Times New Roman" w:hAnsi="Times New Roman" w:cs="Times New Roman"/>
          <w:lang w:val="en-US"/>
        </w:rPr>
        <w:lastRenderedPageBreak/>
        <w:t>institutional characteristics of the Swiss socio-economic model as well as its policy instruments which make it robust to inflation.</w:t>
      </w:r>
      <w:r w:rsidR="009F47F8" w:rsidRPr="000040EC">
        <w:rPr>
          <w:rFonts w:ascii="Times New Roman" w:hAnsi="Times New Roman" w:cs="Times New Roman"/>
          <w:lang w:val="en-US"/>
        </w:rPr>
        <w:t xml:space="preserve"> </w:t>
      </w:r>
      <w:r w:rsidR="006313A5" w:rsidRPr="000040EC">
        <w:rPr>
          <w:rFonts w:ascii="Times New Roman" w:hAnsi="Times New Roman" w:cs="Times New Roman"/>
          <w:lang w:val="en-US"/>
        </w:rPr>
        <w:t>Regarding the debates, t</w:t>
      </w:r>
      <w:r w:rsidR="009F47F8" w:rsidRPr="000040EC">
        <w:rPr>
          <w:rFonts w:ascii="Times New Roman" w:hAnsi="Times New Roman" w:cs="Times New Roman"/>
          <w:lang w:val="en-US"/>
        </w:rPr>
        <w:t xml:space="preserve">here are two main </w:t>
      </w:r>
      <w:r w:rsidR="00E43F5C" w:rsidRPr="000040EC">
        <w:rPr>
          <w:rFonts w:ascii="Times New Roman" w:hAnsi="Times New Roman" w:cs="Times New Roman"/>
          <w:lang w:val="en-US"/>
        </w:rPr>
        <w:t>currents</w:t>
      </w:r>
      <w:r w:rsidR="009F47F8" w:rsidRPr="000040EC">
        <w:rPr>
          <w:rFonts w:ascii="Times New Roman" w:hAnsi="Times New Roman" w:cs="Times New Roman"/>
          <w:lang w:val="en-US"/>
        </w:rPr>
        <w:t xml:space="preserve"> in that regard. On the one hand, New Keynesian</w:t>
      </w:r>
      <w:r w:rsidR="00E43F5C" w:rsidRPr="000040EC">
        <w:rPr>
          <w:rFonts w:ascii="Times New Roman" w:hAnsi="Times New Roman" w:cs="Times New Roman"/>
          <w:lang w:val="en-US"/>
        </w:rPr>
        <w:t>s</w:t>
      </w:r>
      <w:r w:rsidR="009F47F8" w:rsidRPr="000040EC">
        <w:rPr>
          <w:rFonts w:ascii="Times New Roman" w:hAnsi="Times New Roman" w:cs="Times New Roman"/>
          <w:lang w:val="en-US"/>
        </w:rPr>
        <w:t xml:space="preserve"> or New Consensus macroeconomists view inflation as the result of excess demand, that is, when there is a positive gap between actual GDP and potential GDP.</w:t>
      </w:r>
      <w:r w:rsidR="006F4A9E" w:rsidRPr="000040EC">
        <w:rPr>
          <w:rFonts w:ascii="Times New Roman" w:hAnsi="Times New Roman" w:cs="Times New Roman"/>
          <w:lang w:val="en-US"/>
        </w:rPr>
        <w:t xml:space="preserve"> According to this approach, the inflation of the 2020s is the result of either the fiscal and monetary stimulus in the aftermath of the Covid-19 crisis, or the result of a wage-price spiral. On the other hand, heterodox economists from post-Keynesian and institutionalist strands view inflation mainly as a cost-push phenomenon</w:t>
      </w:r>
      <w:r w:rsidR="00C35F3B" w:rsidRPr="000040EC">
        <w:rPr>
          <w:rFonts w:ascii="Times New Roman" w:hAnsi="Times New Roman" w:cs="Times New Roman"/>
          <w:lang w:val="en-US"/>
        </w:rPr>
        <w:t xml:space="preserve"> triggered by supply shocks affecting sectors with systemically significant prices which propagate more strongly to the rest of the economy such as energy </w:t>
      </w:r>
      <w:r w:rsidR="00C35F3B" w:rsidRPr="000040EC">
        <w:rPr>
          <w:rFonts w:ascii="Times New Roman" w:hAnsi="Times New Roman" w:cs="Times New Roman"/>
          <w:lang w:val="en-US"/>
        </w:rPr>
        <w:fldChar w:fldCharType="begin"/>
      </w:r>
      <w:r w:rsidR="00C35F3B" w:rsidRPr="000040EC">
        <w:rPr>
          <w:rFonts w:ascii="Times New Roman" w:hAnsi="Times New Roman" w:cs="Times New Roman"/>
          <w:lang w:val="en-US"/>
        </w:rPr>
        <w:instrText xml:space="preserve"> ADDIN ZOTERO_ITEM CSL_CITATION {"citationID":"23TK3jy2","properties":{"formattedCitation":"(Weber et al. 2024, 2026)","plainCitation":"(Weber et al. 2024, 2026)","noteIndex":0},"citationItems":[{"id":4944,"uris":["http://zotero.org/groups/6311349/items/I2LQMEPA"],"itemData":{"id":4944,"type":"article-journal","abstract":"In the overlapping global emergencies of the pandemic, climate change and geopolitical confrontations, supply shocks have become frequent and inflation has returned. This raises the question of how sector-specific shocks are related to overall price stability. This paper simulates price shocks in an input–output model to identify sectors which present systemic vulnerabilities for monetary stability in the United States. We call these prices systemically significant. We find that in our simulations the pre-pandemic average price volatilities and the price shocks in the COVID-19 and Ukraine war inflation yield an almost identical set of systemically significant prices. The sectors with systemically significant prices fall into four groups: energy, basic production inputs other than energy, basic necessities, and commercial infrastructure. Specifically, they are “Petroleum and coal products,” “Oil and gas extraction,” “Utilities,” “Chemical products,” “Farms,” “Food and beverage and tobacco products,” “Housing,” and “Wholesale trade.” We argue that in times of overlapping emergencies, economic stabilization needs to go beyond monetary policy and requires institutions and policies that can target these systemically significant sectors.","container-title":"Industrial and Corporate Change","DOI":"10.1093/icc/dtad080","ISSN":"0960-6491","issue":"2","journalAbbreviation":"Ind Corp Change","page":"297-341","source":"Silverchair","title":"Inflation in times of overlapping emergencies: Systemically significant prices from an input–output perspective","title-short":"Inflation in times of overlapping emergencies","volume":"33","author":[{"family":"Weber","given":"Isabella M"},{"family":"Lara Jauregui","given":"Jesus"},{"family":"Teixeira","given":"Lucas"},{"family":"Nassif Pires","given":"Luiza"}],"issued":{"date-parts":[["2024",4,1]]}}},{"id":6586,"uris":["http://zotero.org/groups/6311349/items/8YS97DDS"],"itemData":{"id":6586,"type":"article-journal","abstract":"Climate change and geopolitical tensions render supply shocks more likely, which can trigger inflation (“shockflation”). Additionally, the EU's reliance upon an emissions trading system as its chief climate mitigation policy can give rise to inflation (“carbonflation”). Through simulations using an input-output price model for Germany, we show that the same systemically significant sectors – those essential for human livelihoods, production and commerce – present points of vulnerability for shockflation and also carbonflation, if carbon markets are the only policy tool deployed to cut emissions. A total of up to 91.3 percent of potential carbonflation can be attributed to just six systemically significant sectors. Our findings remain robust under varying assumptions regarding substitution and passthrough effects. We identify three pathways to systemic significance: CPI weight, price volatility and upstreamness. This can inform decarbonization policies that pursue both a green transition of the energy system and stabilization.","container-title":"Energy Policy","DOI":"10.1016/j.enpol.2026.115395","ISSN":"0301-4215","journalAbbreviation":"Energy Policy","page":"115395","source":"ScienceDirect","title":"Carbon prices and inflation in a world of shocks: Systemically significant prices and industrial policy targeting in Germany","title-short":"Carbon prices and inflation in a world of shocks","volume":"217","author":[{"family":"Weber","given":"Isabella M."},{"family":"Thie","given":"Jan-Erik"},{"family":"Jauregui","given":"Jesus Lara"},{"family":"Teixeira","given":"Lucas"}],"issued":{"date-parts":[["2026",10,1]]}}}],"schema":"https://github.com/citation-style-language/schema/raw/master/csl-citation.json"} </w:instrText>
      </w:r>
      <w:r w:rsidR="00C35F3B" w:rsidRPr="000040EC">
        <w:rPr>
          <w:rFonts w:ascii="Times New Roman" w:hAnsi="Times New Roman" w:cs="Times New Roman"/>
          <w:lang w:val="en-US"/>
        </w:rPr>
        <w:fldChar w:fldCharType="separate"/>
      </w:r>
      <w:r w:rsidR="00C35F3B" w:rsidRPr="000040EC">
        <w:rPr>
          <w:rFonts w:ascii="Times New Roman" w:hAnsi="Times New Roman" w:cs="Times New Roman"/>
          <w:lang w:val="en-US"/>
        </w:rPr>
        <w:t>(Weber et al. 2024, 2026)</w:t>
      </w:r>
      <w:r w:rsidR="00C35F3B" w:rsidRPr="000040EC">
        <w:rPr>
          <w:rFonts w:ascii="Times New Roman" w:hAnsi="Times New Roman" w:cs="Times New Roman"/>
          <w:lang w:val="en-US"/>
        </w:rPr>
        <w:fldChar w:fldCharType="end"/>
      </w:r>
      <w:r w:rsidR="00C35F3B" w:rsidRPr="000040EC">
        <w:rPr>
          <w:rFonts w:ascii="Times New Roman" w:hAnsi="Times New Roman" w:cs="Times New Roman"/>
          <w:lang w:val="en-US"/>
        </w:rPr>
        <w:t xml:space="preserve">. Whereas </w:t>
      </w:r>
      <w:r w:rsidR="00DD2D62" w:rsidRPr="000040EC">
        <w:rPr>
          <w:rFonts w:ascii="Times New Roman" w:hAnsi="Times New Roman" w:cs="Times New Roman"/>
          <w:lang w:val="en-US"/>
        </w:rPr>
        <w:t xml:space="preserve">neo-Keynesians </w:t>
      </w:r>
      <w:r w:rsidR="00C35F3B" w:rsidRPr="000040EC">
        <w:rPr>
          <w:rFonts w:ascii="Times New Roman" w:hAnsi="Times New Roman" w:cs="Times New Roman"/>
          <w:lang w:val="en-US"/>
        </w:rPr>
        <w:t xml:space="preserve">advocate </w:t>
      </w:r>
      <w:r w:rsidR="006313A5" w:rsidRPr="000040EC">
        <w:rPr>
          <w:rFonts w:ascii="Times New Roman" w:hAnsi="Times New Roman" w:cs="Times New Roman"/>
          <w:lang w:val="en-US"/>
        </w:rPr>
        <w:t>restrictive</w:t>
      </w:r>
      <w:r w:rsidR="00C35F3B" w:rsidRPr="000040EC">
        <w:rPr>
          <w:rFonts w:ascii="Times New Roman" w:hAnsi="Times New Roman" w:cs="Times New Roman"/>
          <w:lang w:val="en-US"/>
        </w:rPr>
        <w:t xml:space="preserve"> monetary policy to reduce aggregate demand to fight inflation, heterodox economists propose more encompassing set of policies and reforms</w:t>
      </w:r>
      <w:r w:rsidR="00001764" w:rsidRPr="000040EC">
        <w:rPr>
          <w:rFonts w:ascii="Times New Roman" w:hAnsi="Times New Roman" w:cs="Times New Roman"/>
          <w:lang w:val="en-US"/>
        </w:rPr>
        <w:t xml:space="preserve"> such as maintaining strategic reserves and implementing buffer stock systems to fight price fluctuations</w:t>
      </w:r>
      <w:r w:rsidR="00C35F3B" w:rsidRPr="000040EC">
        <w:rPr>
          <w:rFonts w:ascii="Times New Roman" w:hAnsi="Times New Roman" w:cs="Times New Roman"/>
          <w:lang w:val="en-US"/>
        </w:rPr>
        <w:t xml:space="preserve">. </w:t>
      </w:r>
      <w:r w:rsidR="00554F3C" w:rsidRPr="000040EC">
        <w:rPr>
          <w:rFonts w:ascii="Times New Roman" w:hAnsi="Times New Roman" w:cs="Times New Roman"/>
          <w:lang w:val="en-US"/>
        </w:rPr>
        <w:t xml:space="preserve">Among those policies, price control is arguably the most salient instrument in that regard, as it is considered a relevant measure to </w:t>
      </w:r>
      <w:r w:rsidR="006313A5" w:rsidRPr="000040EC">
        <w:rPr>
          <w:rFonts w:ascii="Times New Roman" w:hAnsi="Times New Roman" w:cs="Times New Roman"/>
          <w:lang w:val="en-US"/>
        </w:rPr>
        <w:t>contexts in which inflation</w:t>
      </w:r>
      <w:r w:rsidR="00554F3C" w:rsidRPr="000040EC">
        <w:rPr>
          <w:rFonts w:ascii="Times New Roman" w:hAnsi="Times New Roman" w:cs="Times New Roman"/>
          <w:lang w:val="en-US"/>
        </w:rPr>
        <w:t xml:space="preserve"> </w:t>
      </w:r>
      <w:r w:rsidR="006313A5" w:rsidRPr="000040EC">
        <w:rPr>
          <w:rFonts w:ascii="Times New Roman" w:hAnsi="Times New Roman" w:cs="Times New Roman"/>
          <w:lang w:val="en-US"/>
        </w:rPr>
        <w:t xml:space="preserve">is </w:t>
      </w:r>
      <w:r w:rsidR="00554F3C" w:rsidRPr="000040EC">
        <w:rPr>
          <w:rFonts w:ascii="Times New Roman" w:hAnsi="Times New Roman" w:cs="Times New Roman"/>
          <w:lang w:val="en-US"/>
        </w:rPr>
        <w:t>driven by increases in the mark-ups of firms in highly cartelized and non-competitive sectors</w:t>
      </w:r>
      <w:r w:rsidR="001A7212" w:rsidRPr="000040EC">
        <w:rPr>
          <w:rFonts w:ascii="Times New Roman" w:hAnsi="Times New Roman" w:cs="Times New Roman"/>
          <w:lang w:val="en-US"/>
        </w:rPr>
        <w:t xml:space="preserve"> which take advantages of the scarcity of raw materials in times of shortage crisis.</w:t>
      </w:r>
      <w:r w:rsidR="00FC6519" w:rsidRPr="000040EC">
        <w:rPr>
          <w:rFonts w:ascii="Times New Roman" w:hAnsi="Times New Roman" w:cs="Times New Roman"/>
          <w:lang w:val="en-US"/>
        </w:rPr>
        <w:t xml:space="preserve"> </w:t>
      </w:r>
      <w:r w:rsidR="00001764" w:rsidRPr="000040EC">
        <w:rPr>
          <w:rFonts w:ascii="Times New Roman" w:hAnsi="Times New Roman" w:cs="Times New Roman"/>
          <w:lang w:val="en-US"/>
        </w:rPr>
        <w:t xml:space="preserve">With respect to unconventional policies, the Swiss economy is a particularly compelling case study. Despite its very conservative and monetarist central bank, </w:t>
      </w:r>
      <w:r w:rsidR="008E109A" w:rsidRPr="000040EC">
        <w:rPr>
          <w:rFonts w:ascii="Times New Roman" w:hAnsi="Times New Roman" w:cs="Times New Roman"/>
          <w:lang w:val="en-US"/>
        </w:rPr>
        <w:t>the Swiss economy is characterized by its very high share of administered prices in key sectors such as energy and transport, a feature which is often interpreted as a proof of active price control policy by the Swiss government. Switzerland is also one of the few European countries which actively maintain strategic reserves for key commodities</w:t>
      </w:r>
      <w:r w:rsidR="00FE7869" w:rsidRPr="000040EC">
        <w:rPr>
          <w:rFonts w:ascii="Times New Roman" w:hAnsi="Times New Roman" w:cs="Times New Roman"/>
          <w:lang w:val="en-US"/>
        </w:rPr>
        <w:t xml:space="preserve">. </w:t>
      </w:r>
    </w:p>
    <w:p w14:paraId="6DEBA3C1" w14:textId="260D2AE0" w:rsidR="007C1001" w:rsidRPr="000040EC" w:rsidRDefault="007C1001" w:rsidP="00DD2D62">
      <w:pPr>
        <w:jc w:val="both"/>
        <w:rPr>
          <w:rFonts w:ascii="Times New Roman" w:hAnsi="Times New Roman" w:cs="Times New Roman"/>
          <w:i/>
          <w:iCs/>
          <w:lang w:val="en-US"/>
        </w:rPr>
      </w:pPr>
      <w:r w:rsidRPr="000040EC">
        <w:rPr>
          <w:rFonts w:ascii="Times New Roman" w:hAnsi="Times New Roman" w:cs="Times New Roman"/>
          <w:lang w:val="en-US"/>
        </w:rPr>
        <w:t xml:space="preserve">The paper is structured as follows. The first section reviews the literature on the factors behind Switzerland’s low inflation and high price level. </w:t>
      </w:r>
      <w:r w:rsidR="00281FCA" w:rsidRPr="000040EC">
        <w:rPr>
          <w:rFonts w:ascii="Times New Roman" w:hAnsi="Times New Roman" w:cs="Times New Roman"/>
          <w:lang w:val="en-US"/>
        </w:rPr>
        <w:t xml:space="preserve">Using the concept of systemically significant prices as well as the results from a Leontief price model, the second section analyzes how price regulation operates in </w:t>
      </w:r>
      <w:r w:rsidR="00A81DA5" w:rsidRPr="000040EC">
        <w:rPr>
          <w:rFonts w:ascii="Times New Roman" w:hAnsi="Times New Roman" w:cs="Times New Roman"/>
          <w:lang w:val="en-US"/>
        </w:rPr>
        <w:t xml:space="preserve">key </w:t>
      </w:r>
      <w:r w:rsidR="00FC6519" w:rsidRPr="000040EC">
        <w:rPr>
          <w:rFonts w:ascii="Times New Roman" w:hAnsi="Times New Roman" w:cs="Times New Roman"/>
          <w:lang w:val="en-US"/>
        </w:rPr>
        <w:t>sectors of the Swiss economy where oligopolistic power an</w:t>
      </w:r>
      <w:r w:rsidR="00B011C3" w:rsidRPr="000040EC">
        <w:rPr>
          <w:rFonts w:ascii="Times New Roman" w:hAnsi="Times New Roman" w:cs="Times New Roman"/>
          <w:lang w:val="en-US"/>
        </w:rPr>
        <w:t>d/or systemically significant prices rule.</w:t>
      </w:r>
    </w:p>
    <w:p w14:paraId="5E5B3F24" w14:textId="107C1DD1" w:rsidR="007C1001" w:rsidRPr="000040EC" w:rsidRDefault="007C1001" w:rsidP="007C1001">
      <w:pPr>
        <w:pStyle w:val="Titre1"/>
        <w:rPr>
          <w:rFonts w:ascii="Times New Roman" w:hAnsi="Times New Roman" w:cs="Times New Roman"/>
          <w:color w:val="auto"/>
          <w:lang w:val="en-US"/>
        </w:rPr>
      </w:pPr>
      <w:r w:rsidRPr="000040EC">
        <w:rPr>
          <w:rFonts w:ascii="Times New Roman" w:hAnsi="Times New Roman" w:cs="Times New Roman"/>
          <w:color w:val="auto"/>
          <w:lang w:val="en-US"/>
        </w:rPr>
        <w:t>Literature Review</w:t>
      </w:r>
    </w:p>
    <w:p w14:paraId="253F78DC" w14:textId="0684566D" w:rsidR="00EB01A0" w:rsidRPr="000040EC" w:rsidRDefault="007C1001" w:rsidP="00766BC6">
      <w:pPr>
        <w:jc w:val="both"/>
        <w:rPr>
          <w:rFonts w:ascii="Times New Roman" w:hAnsi="Times New Roman" w:cs="Times New Roman"/>
          <w:lang w:val="en-US"/>
        </w:rPr>
      </w:pPr>
      <w:r w:rsidRPr="000040EC">
        <w:rPr>
          <w:rFonts w:ascii="Times New Roman" w:hAnsi="Times New Roman" w:cs="Times New Roman"/>
          <w:lang w:val="en-US"/>
        </w:rPr>
        <w:t xml:space="preserve"> Due to the </w:t>
      </w:r>
      <w:r w:rsidR="00FE7869" w:rsidRPr="000040EC">
        <w:rPr>
          <w:rFonts w:ascii="Times New Roman" w:hAnsi="Times New Roman" w:cs="Times New Roman"/>
          <w:lang w:val="en-US"/>
        </w:rPr>
        <w:t xml:space="preserve">relative lower </w:t>
      </w:r>
      <w:r w:rsidRPr="000040EC">
        <w:rPr>
          <w:rFonts w:ascii="Times New Roman" w:hAnsi="Times New Roman" w:cs="Times New Roman"/>
          <w:lang w:val="en-US"/>
        </w:rPr>
        <w:t>importance of inflation in Switzerland, the scientific literature on the determinants of the country’s inflation dynamics is rather scarce. One can nonetheless identify several types of explanations</w:t>
      </w:r>
      <w:r w:rsidR="00EB01A0" w:rsidRPr="000040EC">
        <w:rPr>
          <w:rFonts w:ascii="Times New Roman" w:hAnsi="Times New Roman" w:cs="Times New Roman"/>
          <w:lang w:val="en-US"/>
        </w:rPr>
        <w:t xml:space="preserve">: the strength of the Swiss franc, the construction of the Swiss CPI, and the </w:t>
      </w:r>
      <w:r w:rsidR="00D33F0E" w:rsidRPr="000040EC">
        <w:rPr>
          <w:rFonts w:ascii="Times New Roman" w:hAnsi="Times New Roman" w:cs="Times New Roman"/>
          <w:lang w:val="en-US"/>
        </w:rPr>
        <w:t>role of price administration.</w:t>
      </w:r>
    </w:p>
    <w:p w14:paraId="6E140B5B" w14:textId="2034F7BA" w:rsidR="00766BC6" w:rsidRPr="000040EC" w:rsidRDefault="006313A5" w:rsidP="00766BC6">
      <w:pPr>
        <w:jc w:val="both"/>
        <w:rPr>
          <w:rFonts w:ascii="Times New Roman" w:hAnsi="Times New Roman" w:cs="Times New Roman"/>
          <w:lang w:val="en-US"/>
        </w:rPr>
      </w:pPr>
      <w:r w:rsidRPr="000040EC">
        <w:rPr>
          <w:rFonts w:ascii="Times New Roman" w:hAnsi="Times New Roman" w:cs="Times New Roman"/>
          <w:lang w:val="en-US"/>
        </w:rPr>
        <w:t xml:space="preserve">The first type of explanation, and surely the most widespread one, associates low inflation rates to the strength of the Swiss franc which dampens the price of imported goods. </w:t>
      </w:r>
      <w:r w:rsidR="00E33023" w:rsidRPr="000040EC">
        <w:rPr>
          <w:rFonts w:ascii="Times New Roman" w:hAnsi="Times New Roman" w:cs="Times New Roman"/>
          <w:lang w:val="en-US"/>
        </w:rPr>
        <w:t>One of the most salient stylized facts of the Swiss economy is</w:t>
      </w:r>
      <w:r w:rsidRPr="000040EC">
        <w:rPr>
          <w:rFonts w:ascii="Times New Roman" w:hAnsi="Times New Roman" w:cs="Times New Roman"/>
          <w:lang w:val="en-US"/>
        </w:rPr>
        <w:t xml:space="preserve"> in effect</w:t>
      </w:r>
      <w:r w:rsidR="00E33023" w:rsidRPr="000040EC">
        <w:rPr>
          <w:rFonts w:ascii="Times New Roman" w:hAnsi="Times New Roman" w:cs="Times New Roman"/>
          <w:lang w:val="en-US"/>
        </w:rPr>
        <w:t xml:space="preserve"> the structural tendency of the Swiss franc to appreciate since the end of the Bretton Woods system</w:t>
      </w:r>
      <w:r w:rsidRPr="000040EC">
        <w:rPr>
          <w:rFonts w:ascii="Times New Roman" w:hAnsi="Times New Roman" w:cs="Times New Roman"/>
          <w:lang w:val="en-US"/>
        </w:rPr>
        <w:t>, a</w:t>
      </w:r>
      <w:r w:rsidR="00E33023" w:rsidRPr="000040EC">
        <w:rPr>
          <w:rFonts w:ascii="Times New Roman" w:hAnsi="Times New Roman" w:cs="Times New Roman"/>
          <w:lang w:val="en-US"/>
        </w:rPr>
        <w:t xml:space="preserve"> tendency </w:t>
      </w:r>
      <w:r w:rsidRPr="000040EC">
        <w:rPr>
          <w:rFonts w:ascii="Times New Roman" w:hAnsi="Times New Roman" w:cs="Times New Roman"/>
          <w:lang w:val="en-US"/>
        </w:rPr>
        <w:t xml:space="preserve">which </w:t>
      </w:r>
      <w:r w:rsidR="00E33023" w:rsidRPr="000040EC">
        <w:rPr>
          <w:rFonts w:ascii="Times New Roman" w:hAnsi="Times New Roman" w:cs="Times New Roman"/>
          <w:lang w:val="en-US"/>
        </w:rPr>
        <w:t xml:space="preserve">reflects the country’s </w:t>
      </w:r>
      <w:r w:rsidR="004304AD" w:rsidRPr="000040EC">
        <w:rPr>
          <w:rFonts w:ascii="Times New Roman" w:hAnsi="Times New Roman" w:cs="Times New Roman"/>
          <w:lang w:val="en-US"/>
        </w:rPr>
        <w:t>high</w:t>
      </w:r>
      <w:r w:rsidR="00E33023" w:rsidRPr="000040EC">
        <w:rPr>
          <w:rFonts w:ascii="Times New Roman" w:hAnsi="Times New Roman" w:cs="Times New Roman"/>
          <w:lang w:val="en-US"/>
        </w:rPr>
        <w:t xml:space="preserve"> competitiveness of its export-oriented industries which creates a </w:t>
      </w:r>
      <w:r w:rsidR="004304AD" w:rsidRPr="000040EC">
        <w:rPr>
          <w:rFonts w:ascii="Times New Roman" w:hAnsi="Times New Roman" w:cs="Times New Roman"/>
          <w:lang w:val="en-US"/>
        </w:rPr>
        <w:t>sustained</w:t>
      </w:r>
      <w:r w:rsidR="00E33023" w:rsidRPr="000040EC">
        <w:rPr>
          <w:rFonts w:ascii="Times New Roman" w:hAnsi="Times New Roman" w:cs="Times New Roman"/>
          <w:lang w:val="en-US"/>
        </w:rPr>
        <w:t xml:space="preserve"> international demand for Swiss franc</w:t>
      </w:r>
      <w:r w:rsidR="004304AD" w:rsidRPr="000040EC">
        <w:rPr>
          <w:rFonts w:ascii="Times New Roman" w:hAnsi="Times New Roman" w:cs="Times New Roman"/>
          <w:lang w:val="en-US"/>
        </w:rPr>
        <w:t>s</w:t>
      </w:r>
      <w:r w:rsidR="00E33023" w:rsidRPr="000040EC">
        <w:rPr>
          <w:rFonts w:ascii="Times New Roman" w:hAnsi="Times New Roman" w:cs="Times New Roman"/>
          <w:lang w:val="en-US"/>
        </w:rPr>
        <w:t xml:space="preserve"> </w:t>
      </w:r>
      <w:r w:rsidR="00E33023" w:rsidRPr="000040EC">
        <w:rPr>
          <w:rFonts w:ascii="Times New Roman" w:hAnsi="Times New Roman" w:cs="Times New Roman"/>
          <w:lang w:val="en-US"/>
        </w:rPr>
        <w:fldChar w:fldCharType="begin"/>
      </w:r>
      <w:r w:rsidR="00E33023" w:rsidRPr="000040EC">
        <w:rPr>
          <w:rFonts w:ascii="Times New Roman" w:hAnsi="Times New Roman" w:cs="Times New Roman"/>
          <w:lang w:val="en-US"/>
        </w:rPr>
        <w:instrText xml:space="preserve"> ADDIN ZOTERO_ITEM CSL_CITATION {"citationID":"7eD0wysV","properties":{"formattedCitation":"(Reynard 2009; Vallet 2016)","plainCitation":"(Reynard 2009; Vallet 2016)","noteIndex":0},"citationItems":[{"id":6623,"uris":["http://zotero.org/groups/6311349/items/P5HC7CL8"],"itemData":{"id":6623,"type":"article-journal","container-title":"Aussenwirtschaft","issue":"3","page":"335–363","publisher":"St. Gallen: Universität St. Gallen, Schweizerisches Institut für …","source":"Google Scholar","title":"What drives the Swiss franc?","volume":"64","author":[{"family":"Reynard","given":"Samuel"}],"issued":{"date-parts":[["2009"]]}}},{"id":6615,"uris":["http://zotero.org/groups/6311349/items/RXN2TV3A"],"itemData":{"id":6615,"type":"article-journal","abstract":"The case of Switzerland appears to be unique with regards to the European economic and monetary integration process, which began in 1957: although the country has had close and growing links with the European Union (EU) over time, it does not want to access full membership. Even though this situation of high integration without full membership entails certain constraints, it is also interesting for Switzerland in many respects. In particular, it allows the country to preserve the sovereignty of its money, which is the backbone of Switzerland’s modern existence. That is why I consider that the Swiss Franc is at the core of Switzerland’s European stance.","container-title":"Research in International Business and Finance","DOI":"10.1016/j.ribaf.2016.03.017","ISSN":"0275-5319","journalAbbreviation":"Research in International Business and Finance","page":"35-44","source":"ScienceDirect","title":"The role of the swiss franc in Switzerland’s European stance","volume":"38","author":[{"family":"Vallet","given":"Guillaume"}],"issued":{"date-parts":[["2016",9,1]]}}}],"schema":"https://github.com/citation-style-language/schema/raw/master/csl-citation.json"} </w:instrText>
      </w:r>
      <w:r w:rsidR="00E33023" w:rsidRPr="000040EC">
        <w:rPr>
          <w:rFonts w:ascii="Times New Roman" w:hAnsi="Times New Roman" w:cs="Times New Roman"/>
          <w:lang w:val="en-US"/>
        </w:rPr>
        <w:fldChar w:fldCharType="separate"/>
      </w:r>
      <w:r w:rsidR="00E33023" w:rsidRPr="000040EC">
        <w:rPr>
          <w:rFonts w:ascii="Times New Roman" w:hAnsi="Times New Roman" w:cs="Times New Roman"/>
          <w:lang w:val="en-US"/>
        </w:rPr>
        <w:t>(Reynard 2009; Vallet 2016)</w:t>
      </w:r>
      <w:r w:rsidR="00E33023" w:rsidRPr="000040EC">
        <w:rPr>
          <w:rFonts w:ascii="Times New Roman" w:hAnsi="Times New Roman" w:cs="Times New Roman"/>
          <w:lang w:val="en-US"/>
        </w:rPr>
        <w:fldChar w:fldCharType="end"/>
      </w:r>
      <w:r w:rsidR="00E33023" w:rsidRPr="000040EC">
        <w:rPr>
          <w:rFonts w:ascii="Times New Roman" w:hAnsi="Times New Roman" w:cs="Times New Roman"/>
          <w:lang w:val="en-US"/>
        </w:rPr>
        <w:t xml:space="preserve">. Another </w:t>
      </w:r>
      <w:r w:rsidRPr="000040EC">
        <w:rPr>
          <w:rFonts w:ascii="Times New Roman" w:hAnsi="Times New Roman" w:cs="Times New Roman"/>
          <w:lang w:val="en-US"/>
        </w:rPr>
        <w:t>variant of this explanation</w:t>
      </w:r>
      <w:r w:rsidR="007C1001" w:rsidRPr="000040EC">
        <w:rPr>
          <w:rFonts w:ascii="Times New Roman" w:hAnsi="Times New Roman" w:cs="Times New Roman"/>
          <w:lang w:val="en-US"/>
        </w:rPr>
        <w:t xml:space="preserve"> resides in the status of the Swiss franc as a </w:t>
      </w:r>
      <w:r w:rsidR="00012DD0" w:rsidRPr="000040EC">
        <w:rPr>
          <w:rFonts w:ascii="Times New Roman" w:hAnsi="Times New Roman" w:cs="Times New Roman"/>
          <w:lang w:val="en-US"/>
        </w:rPr>
        <w:t xml:space="preserve">strong </w:t>
      </w:r>
      <w:r w:rsidR="007C1001" w:rsidRPr="000040EC">
        <w:rPr>
          <w:rFonts w:ascii="Times New Roman" w:hAnsi="Times New Roman" w:cs="Times New Roman"/>
          <w:lang w:val="en-US"/>
        </w:rPr>
        <w:t>safe-haven currency.</w:t>
      </w:r>
      <w:r w:rsidR="00012DD0" w:rsidRPr="000040EC">
        <w:rPr>
          <w:rFonts w:ascii="Times New Roman" w:hAnsi="Times New Roman" w:cs="Times New Roman"/>
          <w:lang w:val="en-US"/>
        </w:rPr>
        <w:t xml:space="preserve"> The Swiss franc is indeed considered as one of the most sought-after assets in times of financial and economic crisis </w:t>
      </w:r>
      <w:r w:rsidR="00012DD0" w:rsidRPr="000040EC">
        <w:rPr>
          <w:rFonts w:ascii="Times New Roman" w:hAnsi="Times New Roman" w:cs="Times New Roman"/>
          <w:lang w:val="en-US"/>
        </w:rPr>
        <w:lastRenderedPageBreak/>
        <w:fldChar w:fldCharType="begin"/>
      </w:r>
      <w:r w:rsidR="00012DD0" w:rsidRPr="000040EC">
        <w:rPr>
          <w:rFonts w:ascii="Times New Roman" w:hAnsi="Times New Roman" w:cs="Times New Roman"/>
          <w:lang w:val="en-US"/>
        </w:rPr>
        <w:instrText xml:space="preserve"> ADDIN ZOTERO_ITEM CSL_CITATION {"citationID":"j1Z4ZU9l","properties":{"formattedCitation":"(Fatum and Yamamoto 2016; Lee 2017)","plainCitation":"(Fatum and Yamamoto 2016; Lee 2017)","noteIndex":0},"citationItems":[{"id":6630,"uris":["http://zotero.org/groups/6311349/items/TL76UYFZ"],"itemData":{"id":6630,"type":"article-journal","abstract":"We investigate intra-safe haven currency behavior during the recent global financial crisis. We first assess which safe haven currency is the “safest”. We then use non-temporal threshold analysis to investigate whether intra-safe haven currency behavior changes as market uncertainty increases. We find that the JPY is the “safest” of safe haven currencies and that only the JPY appreciates as market uncertainty increases regardless of the prevailing level of uncertainty. Our results may have important implications for central banks optimizing their relative composition of international currency reserve holdings with respect to returns in USD terms and for foreign currency market investors in general.","collection-title":"The New Normal in the Post-Crisis Era","container-title":"Journal of International Money and Finance","DOI":"10.1016/j.jimonfin.2015.12.007","ISSN":"0261-5606","journalAbbreviation":"Journal of International Money and Finance","page":"49-64","source":"ScienceDirect","title":"Intra-safe haven currency behavior during the global financial crisis","volume":"66","author":[{"family":"Fatum","given":"Rasmus"},{"family":"Yamamoto","given":"Yohei"}],"issued":{"date-parts":[["2016",9,1]]}}},{"id":6627,"uris":["http://zotero.org/groups/6311349/items/6ZV6WD2B"],"itemData":{"id":6627,"type":"article-journal","abstract":"This paper attempts to empirically identify strong safe havens among six currencies: the Swiss franc, Japanese yen, British pound, euro, Canadian dollar and Norwegian krone. Using Markov regime-switching vector autoregressive models, we test whether the currencies are negatively related to risky assets and whether the negative relation is stronger in times of crisis than in times of growth. We find that (1) the Swiss franc and Japanese yen qualify as strong safe havens, and (2) the other currencies qualify as “equity-like” or risky currencies.","container-title":"Review of International Economics","DOI":"10.1111/roie.12289","ISSN":"1467-9396","issue":"4","language":"en","license":"© 2017 John Wiley &amp; Sons Ltd","note":"_eprint: https://onlinelibrary.wiley.com/doi/pdf/10.1111/roie.12289","page":"924-947","source":"Wiley Online Library","title":"Safe-haven currency: An empirical identification","title-short":"Safe-haven currency","volume":"25","author":[{"family":"Lee","given":"Kang-Soek"}],"issued":{"date-parts":[["2017"]]}}}],"schema":"https://github.com/citation-style-language/schema/raw/master/csl-citation.json"} </w:instrText>
      </w:r>
      <w:r w:rsidR="00012DD0" w:rsidRPr="000040EC">
        <w:rPr>
          <w:rFonts w:ascii="Times New Roman" w:hAnsi="Times New Roman" w:cs="Times New Roman"/>
          <w:lang w:val="en-US"/>
        </w:rPr>
        <w:fldChar w:fldCharType="separate"/>
      </w:r>
      <w:r w:rsidR="00012DD0" w:rsidRPr="000040EC">
        <w:rPr>
          <w:rFonts w:ascii="Times New Roman" w:hAnsi="Times New Roman" w:cs="Times New Roman"/>
          <w:lang w:val="en-US"/>
        </w:rPr>
        <w:t>(Fatum and Yamamoto 2016; Lee 2017)</w:t>
      </w:r>
      <w:r w:rsidR="00012DD0" w:rsidRPr="000040EC">
        <w:rPr>
          <w:rFonts w:ascii="Times New Roman" w:hAnsi="Times New Roman" w:cs="Times New Roman"/>
          <w:lang w:val="en-US"/>
        </w:rPr>
        <w:fldChar w:fldCharType="end"/>
      </w:r>
      <w:r w:rsidR="00012DD0" w:rsidRPr="000040EC">
        <w:rPr>
          <w:rFonts w:ascii="Times New Roman" w:hAnsi="Times New Roman" w:cs="Times New Roman"/>
          <w:lang w:val="en-US"/>
        </w:rPr>
        <w:t>.</w:t>
      </w:r>
      <w:r w:rsidR="00E54D69" w:rsidRPr="000040EC">
        <w:rPr>
          <w:rFonts w:ascii="Times New Roman" w:hAnsi="Times New Roman" w:cs="Times New Roman"/>
          <w:lang w:val="en-US"/>
        </w:rPr>
        <w:t xml:space="preserve"> </w:t>
      </w:r>
      <w:r w:rsidR="00E54D69" w:rsidRPr="000040EC">
        <w:rPr>
          <w:rFonts w:ascii="Times New Roman" w:hAnsi="Times New Roman" w:cs="Times New Roman"/>
          <w:lang w:val="en-US"/>
        </w:rPr>
        <w:fldChar w:fldCharType="begin"/>
      </w:r>
      <w:r w:rsidR="00FD583F" w:rsidRPr="000040EC">
        <w:rPr>
          <w:rFonts w:ascii="Times New Roman" w:hAnsi="Times New Roman" w:cs="Times New Roman"/>
          <w:lang w:val="en-US"/>
        </w:rPr>
        <w:instrText xml:space="preserve"> ADDIN ZOTERO_ITEM CSL_CITATION {"citationID":"4IBWDFAi","properties":{"formattedCitation":"(Baltensperger and Kugler 2016)","plainCitation":"(Baltensperger and Kugler 2016)","dontUpdate":true,"noteIndex":0},"citationItems":[{"id":6474,"uris":["http://zotero.org/groups/6311349/items/EQMH2ABU"],"itemData":{"id":6474,"type":"article-journal","abstract":"An empirical analysis of international interest rates and of the behavior of the exchange rate of the Swiss franc since 1850 leads to the conclusion that World War I marks the origin of the strong currency and safe haven status of the Swiss franc. Before World War I, interest rates point to a weakness of the Swiss currency against the pound, the guilder and French franc (from 1881 to 1913) that is shared with the German mark. Thereafter, we see the pattern of the Swiss interest rate island develop and become especially pronounced during the Bretton Woods years. Deviations from metallic parities confirm these findings. For the period after World War I, we establish a strong and stable real and nominal trend appreciation against the pound and the dollar that reflects, to a sizeable extent, inflation differentials.","container-title":"Aussenwirtschaft","ISSN":"0004-8216","issue":"2","language":"eng","license":"http://www.econstor.eu/dspace/Nutzungsbedingungen","page":"1-30","publisher":"St.Gallen: Universität St.Gallen, Schweizerisches Institut für Aussenwirtschaft und Angewandte Wirtschaftsforschung (SIAW-HSG)","source":"www.econstor.eu","title":"The historical origins of the safe haven status of the Swiss franc","volume":"67","author":[{"family":"Baltensperger","given":"Ernst"},{"family":"Kugler","given":"Peter"}],"issued":{"date-parts":[["2016"]]}}}],"schema":"https://github.com/citation-style-language/schema/raw/master/csl-citation.json"} </w:instrText>
      </w:r>
      <w:r w:rsidR="00E54D69" w:rsidRPr="000040EC">
        <w:rPr>
          <w:rFonts w:ascii="Times New Roman" w:hAnsi="Times New Roman" w:cs="Times New Roman"/>
          <w:lang w:val="en-US"/>
        </w:rPr>
        <w:fldChar w:fldCharType="separate"/>
      </w:r>
      <w:r w:rsidR="00E54D69" w:rsidRPr="000040EC">
        <w:rPr>
          <w:rFonts w:ascii="Times New Roman" w:hAnsi="Times New Roman" w:cs="Times New Roman"/>
          <w:lang w:val="en-US"/>
        </w:rPr>
        <w:t>Baltensperger and Kugler (2016)</w:t>
      </w:r>
      <w:r w:rsidR="00E54D69" w:rsidRPr="000040EC">
        <w:rPr>
          <w:rFonts w:ascii="Times New Roman" w:hAnsi="Times New Roman" w:cs="Times New Roman"/>
          <w:lang w:val="en-US"/>
        </w:rPr>
        <w:fldChar w:fldCharType="end"/>
      </w:r>
      <w:r w:rsidR="00E54D69" w:rsidRPr="000040EC">
        <w:rPr>
          <w:rFonts w:ascii="Times New Roman" w:hAnsi="Times New Roman" w:cs="Times New Roman"/>
          <w:lang w:val="en-US"/>
        </w:rPr>
        <w:t xml:space="preserve"> dates the status of the Swiss franc as a safe-haven currency back to the first World War, when this status mirrored Switzerland’s strong political, economic and monetary stability.</w:t>
      </w:r>
      <w:r w:rsidR="007C4BFE" w:rsidRPr="000040EC">
        <w:rPr>
          <w:rFonts w:ascii="Times New Roman" w:hAnsi="Times New Roman" w:cs="Times New Roman"/>
          <w:lang w:val="en-US"/>
        </w:rPr>
        <w:t xml:space="preserve"> </w:t>
      </w:r>
      <w:r w:rsidR="00C17663" w:rsidRPr="000040EC">
        <w:rPr>
          <w:rFonts w:ascii="Times New Roman" w:hAnsi="Times New Roman" w:cs="Times New Roman"/>
          <w:lang w:val="en-US"/>
        </w:rPr>
        <w:t xml:space="preserve">For Swiss economic organizations and policy makers, the appreciation of the Swiss franc is considered as </w:t>
      </w:r>
      <w:r w:rsidR="00BC1676" w:rsidRPr="000040EC">
        <w:rPr>
          <w:rFonts w:ascii="Times New Roman" w:hAnsi="Times New Roman" w:cs="Times New Roman"/>
          <w:lang w:val="en-US"/>
        </w:rPr>
        <w:t xml:space="preserve">a double-edged sword. On the one hand, it represents a threat on the export-oriented industries which fear that an overvalued franc might a negative effect on Swiss exports abroad. This </w:t>
      </w:r>
      <w:r w:rsidR="009538D7" w:rsidRPr="000040EC">
        <w:rPr>
          <w:rFonts w:ascii="Times New Roman" w:hAnsi="Times New Roman" w:cs="Times New Roman"/>
          <w:lang w:val="en-US"/>
        </w:rPr>
        <w:t xml:space="preserve">fear is also shared by industries </w:t>
      </w:r>
      <w:r w:rsidR="00766BC6" w:rsidRPr="000040EC">
        <w:rPr>
          <w:rFonts w:ascii="Times New Roman" w:hAnsi="Times New Roman" w:cs="Times New Roman"/>
          <w:lang w:val="en-US"/>
        </w:rPr>
        <w:t>mostly</w:t>
      </w:r>
      <w:r w:rsidR="009538D7" w:rsidRPr="000040EC">
        <w:rPr>
          <w:rFonts w:ascii="Times New Roman" w:hAnsi="Times New Roman" w:cs="Times New Roman"/>
          <w:lang w:val="en-US"/>
        </w:rPr>
        <w:t xml:space="preserve"> oriented towards the domestic sector such as retail which are afraid that higher relative prices will result in an increase in cross-border shopping, a phenomenon that can be important in Switzerland given its geographical proximity to important European countries with a much lower cost of living </w:t>
      </w:r>
      <w:r w:rsidR="009538D7" w:rsidRPr="000040EC">
        <w:rPr>
          <w:rFonts w:ascii="Times New Roman" w:hAnsi="Times New Roman" w:cs="Times New Roman"/>
          <w:lang w:val="en-US"/>
        </w:rPr>
        <w:fldChar w:fldCharType="begin"/>
      </w:r>
      <w:r w:rsidR="00560976" w:rsidRPr="000040EC">
        <w:rPr>
          <w:rFonts w:ascii="Times New Roman" w:hAnsi="Times New Roman" w:cs="Times New Roman"/>
          <w:lang w:val="en-US"/>
        </w:rPr>
        <w:instrText xml:space="preserve"> ADDIN ZOTERO_ITEM CSL_CITATION {"citationID":"yyYfnqAE","properties":{"formattedCitation":"(Kluser 2025)","plainCitation":"(Kluser 2025)","noteIndex":0},"citationItems":[{"id":"b1yh4IJ2/BoC1vaVT","uris":["http://zotero.org/groups/6311349/items/X2AZ3UIB"],"itemData":{"id":6639,"type":"article-journal","abstract":"Cross-border shopping expands product variety and lowers prices for consumers in high-price countries, but it diminishes domestic tax revenues, reduces sales, and shifts demand away from local retailers. Exploiting Switzerland’s COVID-19-induced border closure as a natural experiment, I investigate the socioeconomic implications of cross-border shopping. Linking detailed grocery transaction records for 710,000 households to administrative data, I find that the border closure raises domestic grocery expenditures in border areas by an additional 10.4%. The benefits of cross-border shopping, however, are heterogeneous, and larger and lower-income households exhibit a particularly strong propensity to shop abroad. Based on these patterns, I estimate an annual loss of 1.5 billion Swiss francs in domestic grocery sales, equivalent to 3.8% of the total market.","container-title":"Swiss Journal of Economics and Statistics","DOI":"10.1186/s41937-025-00141-w","ISSN":"2235-6282","issue":"1","journalAbbreviation":"Swiss J Economics Statistics","language":"en","page":"9","source":"Springer Link","title":"Cross-border shopping: evidence from household transaction records","title-short":"Cross-border shopping","volume":"161","author":[{"family":"Kluser","given":"Frédéric"}],"issued":{"date-parts":[["2025",9,2]]}}}],"schema":"https://github.com/citation-style-language/schema/raw/master/csl-citation.json"} </w:instrText>
      </w:r>
      <w:r w:rsidR="009538D7" w:rsidRPr="000040EC">
        <w:rPr>
          <w:rFonts w:ascii="Times New Roman" w:hAnsi="Times New Roman" w:cs="Times New Roman"/>
          <w:lang w:val="en-US"/>
        </w:rPr>
        <w:fldChar w:fldCharType="separate"/>
      </w:r>
      <w:r w:rsidR="009538D7" w:rsidRPr="000040EC">
        <w:rPr>
          <w:rFonts w:ascii="Times New Roman" w:hAnsi="Times New Roman" w:cs="Times New Roman"/>
          <w:lang w:val="en-US"/>
        </w:rPr>
        <w:t>(Kluser 2025)</w:t>
      </w:r>
      <w:r w:rsidR="009538D7" w:rsidRPr="000040EC">
        <w:rPr>
          <w:rFonts w:ascii="Times New Roman" w:hAnsi="Times New Roman" w:cs="Times New Roman"/>
          <w:lang w:val="en-US"/>
        </w:rPr>
        <w:fldChar w:fldCharType="end"/>
      </w:r>
      <w:r w:rsidR="009538D7" w:rsidRPr="000040EC">
        <w:rPr>
          <w:rFonts w:ascii="Times New Roman" w:hAnsi="Times New Roman" w:cs="Times New Roman"/>
          <w:lang w:val="en-US"/>
        </w:rPr>
        <w:t xml:space="preserve">. On the other hand, a stronger currency implies cheaper imports and can thus help to mitigate inflation, especially since Switzerland is a small open economy with few natural resources and therefore highly dependent on imports. </w:t>
      </w:r>
      <w:r w:rsidR="00766BC6" w:rsidRPr="000040EC">
        <w:rPr>
          <w:rFonts w:ascii="Times New Roman" w:hAnsi="Times New Roman" w:cs="Times New Roman"/>
          <w:lang w:val="en-US"/>
        </w:rPr>
        <w:t xml:space="preserve">The SNB even considers that appreciations of the Swiss franc come with the risk of provoking a deflationary spiral in times of economic crisis. During the eurozone crisis, the SNB introduced a </w:t>
      </w:r>
      <w:r w:rsidR="00E46E24" w:rsidRPr="000040EC">
        <w:rPr>
          <w:rFonts w:ascii="Times New Roman" w:hAnsi="Times New Roman" w:cs="Times New Roman"/>
          <w:lang w:val="en-US"/>
        </w:rPr>
        <w:t>minimum exchange rate</w:t>
      </w:r>
      <w:r w:rsidR="00766BC6" w:rsidRPr="000040EC">
        <w:rPr>
          <w:rFonts w:ascii="Times New Roman" w:hAnsi="Times New Roman" w:cs="Times New Roman"/>
          <w:lang w:val="en-US"/>
        </w:rPr>
        <w:t xml:space="preserve"> (the so-called “</w:t>
      </w:r>
      <w:proofErr w:type="spellStart"/>
      <w:r w:rsidR="00766BC6" w:rsidRPr="000040EC">
        <w:rPr>
          <w:rFonts w:ascii="Times New Roman" w:hAnsi="Times New Roman" w:cs="Times New Roman"/>
          <w:lang w:val="en-US"/>
        </w:rPr>
        <w:t>taux</w:t>
      </w:r>
      <w:proofErr w:type="spellEnd"/>
      <w:r w:rsidR="00766BC6" w:rsidRPr="000040EC">
        <w:rPr>
          <w:rFonts w:ascii="Times New Roman" w:hAnsi="Times New Roman" w:cs="Times New Roman"/>
          <w:lang w:val="en-US"/>
        </w:rPr>
        <w:t xml:space="preserve"> </w:t>
      </w:r>
      <w:proofErr w:type="spellStart"/>
      <w:r w:rsidR="00766BC6" w:rsidRPr="000040EC">
        <w:rPr>
          <w:rFonts w:ascii="Times New Roman" w:hAnsi="Times New Roman" w:cs="Times New Roman"/>
          <w:lang w:val="en-US"/>
        </w:rPr>
        <w:t>plancher</w:t>
      </w:r>
      <w:proofErr w:type="spellEnd"/>
      <w:r w:rsidR="00766BC6" w:rsidRPr="000040EC">
        <w:rPr>
          <w:rFonts w:ascii="Times New Roman" w:hAnsi="Times New Roman" w:cs="Times New Roman"/>
          <w:lang w:val="en-US"/>
        </w:rPr>
        <w:t xml:space="preserve">”), </w:t>
      </w:r>
      <w:r w:rsidR="00E46E24" w:rsidRPr="000040EC">
        <w:rPr>
          <w:rFonts w:ascii="Times New Roman" w:hAnsi="Times New Roman" w:cs="Times New Roman"/>
          <w:lang w:val="en-US"/>
        </w:rPr>
        <w:t xml:space="preserve">of one franc against 1,2 euros to </w:t>
      </w:r>
      <w:r w:rsidR="00FE7869" w:rsidRPr="000040EC">
        <w:rPr>
          <w:rFonts w:ascii="Times New Roman" w:hAnsi="Times New Roman" w:cs="Times New Roman"/>
          <w:lang w:val="en-US"/>
        </w:rPr>
        <w:t>prevent</w:t>
      </w:r>
      <w:r w:rsidR="00766BC6" w:rsidRPr="000040EC">
        <w:rPr>
          <w:rFonts w:ascii="Times New Roman" w:hAnsi="Times New Roman" w:cs="Times New Roman"/>
          <w:lang w:val="en-US"/>
        </w:rPr>
        <w:t xml:space="preserve"> deflation. </w:t>
      </w:r>
      <w:r w:rsidR="00E46E24" w:rsidRPr="000040EC">
        <w:rPr>
          <w:rFonts w:ascii="Times New Roman" w:hAnsi="Times New Roman" w:cs="Times New Roman"/>
          <w:lang w:val="en-US"/>
        </w:rPr>
        <w:t xml:space="preserve">The fact that the zero lower bound for the policy rate had already </w:t>
      </w:r>
      <w:r w:rsidR="00BA338D" w:rsidRPr="000040EC">
        <w:rPr>
          <w:rFonts w:ascii="Times New Roman" w:hAnsi="Times New Roman" w:cs="Times New Roman"/>
          <w:lang w:val="en-US"/>
        </w:rPr>
        <w:t>been</w:t>
      </w:r>
      <w:r w:rsidR="00E46E24" w:rsidRPr="000040EC">
        <w:rPr>
          <w:rFonts w:ascii="Times New Roman" w:hAnsi="Times New Roman" w:cs="Times New Roman"/>
          <w:lang w:val="en-US"/>
        </w:rPr>
        <w:t xml:space="preserve"> reached entailed substantial purchase of foreign currency </w:t>
      </w:r>
      <w:r w:rsidR="00BA338D" w:rsidRPr="000040EC">
        <w:rPr>
          <w:rFonts w:ascii="Times New Roman" w:hAnsi="Times New Roman" w:cs="Times New Roman"/>
          <w:lang w:val="en-US"/>
        </w:rPr>
        <w:t>by the SNB which substantially increased its balance sheet until it decided to abandon the minimum exchange rate in January 2015.</w:t>
      </w:r>
    </w:p>
    <w:p w14:paraId="0D5EC346" w14:textId="47B4E6AC" w:rsidR="006313A5" w:rsidRPr="000040EC" w:rsidRDefault="004304AD" w:rsidP="006313A5">
      <w:pPr>
        <w:jc w:val="both"/>
        <w:rPr>
          <w:rFonts w:ascii="Times New Roman" w:hAnsi="Times New Roman" w:cs="Times New Roman"/>
          <w:lang w:val="en-US"/>
        </w:rPr>
      </w:pPr>
      <w:r w:rsidRPr="000040EC">
        <w:rPr>
          <w:rFonts w:ascii="Times New Roman" w:hAnsi="Times New Roman" w:cs="Times New Roman"/>
          <w:lang w:val="en-US"/>
        </w:rPr>
        <w:t>S</w:t>
      </w:r>
      <w:r w:rsidR="00BA338D" w:rsidRPr="000040EC">
        <w:rPr>
          <w:rFonts w:ascii="Times New Roman" w:hAnsi="Times New Roman" w:cs="Times New Roman"/>
          <w:lang w:val="en-US"/>
        </w:rPr>
        <w:t>tudies on the so-called exchange rate pass-through</w:t>
      </w:r>
      <w:r w:rsidR="00B25AD4" w:rsidRPr="000040EC">
        <w:rPr>
          <w:rFonts w:ascii="Times New Roman" w:hAnsi="Times New Roman" w:cs="Times New Roman"/>
          <w:lang w:val="en-US"/>
        </w:rPr>
        <w:t xml:space="preserve"> (ERPT)</w:t>
      </w:r>
      <w:r w:rsidR="00BA338D" w:rsidRPr="000040EC">
        <w:rPr>
          <w:rFonts w:ascii="Times New Roman" w:hAnsi="Times New Roman" w:cs="Times New Roman"/>
          <w:lang w:val="en-US"/>
        </w:rPr>
        <w:t xml:space="preserve"> on </w:t>
      </w:r>
      <w:r w:rsidR="00B25AD4" w:rsidRPr="000040EC">
        <w:rPr>
          <w:rFonts w:ascii="Times New Roman" w:hAnsi="Times New Roman" w:cs="Times New Roman"/>
          <w:lang w:val="en-US"/>
        </w:rPr>
        <w:t>inflation</w:t>
      </w:r>
      <w:r w:rsidR="00BA338D" w:rsidRPr="000040EC">
        <w:rPr>
          <w:rFonts w:ascii="Times New Roman" w:hAnsi="Times New Roman" w:cs="Times New Roman"/>
          <w:lang w:val="en-US"/>
        </w:rPr>
        <w:t xml:space="preserve"> </w:t>
      </w:r>
      <w:r w:rsidRPr="000040EC">
        <w:rPr>
          <w:rFonts w:ascii="Times New Roman" w:hAnsi="Times New Roman" w:cs="Times New Roman"/>
          <w:lang w:val="en-US"/>
        </w:rPr>
        <w:t>have nevertheless</w:t>
      </w:r>
      <w:r w:rsidR="000B4794" w:rsidRPr="000040EC">
        <w:rPr>
          <w:rFonts w:ascii="Times New Roman" w:hAnsi="Times New Roman" w:cs="Times New Roman"/>
          <w:lang w:val="en-US"/>
        </w:rPr>
        <w:t xml:space="preserve"> consistently found </w:t>
      </w:r>
      <w:r w:rsidR="00BA338D" w:rsidRPr="000040EC">
        <w:rPr>
          <w:rFonts w:ascii="Times New Roman" w:hAnsi="Times New Roman" w:cs="Times New Roman"/>
          <w:lang w:val="en-US"/>
        </w:rPr>
        <w:t>only a limited effect in Switzerland.</w:t>
      </w:r>
      <w:r w:rsidR="00B25AD4" w:rsidRPr="000040EC">
        <w:rPr>
          <w:rFonts w:ascii="Times New Roman" w:hAnsi="Times New Roman" w:cs="Times New Roman"/>
          <w:lang w:val="en-US"/>
        </w:rPr>
        <w:t xml:space="preserve"> </w:t>
      </w:r>
      <w:r w:rsidR="00B25AD4" w:rsidRPr="000040EC">
        <w:rPr>
          <w:rFonts w:ascii="Times New Roman" w:hAnsi="Times New Roman" w:cs="Times New Roman"/>
          <w:lang w:val="en-US"/>
        </w:rPr>
        <w:fldChar w:fldCharType="begin"/>
      </w:r>
      <w:r w:rsidR="00800352" w:rsidRPr="000040EC">
        <w:rPr>
          <w:rFonts w:ascii="Times New Roman" w:hAnsi="Times New Roman" w:cs="Times New Roman"/>
          <w:lang w:val="en-US"/>
        </w:rPr>
        <w:instrText xml:space="preserve"> ADDIN ZOTERO_ITEM CSL_CITATION {"citationID":"6JxjOXZk","properties":{"formattedCitation":"(Stulz 2007)","plainCitation":"(Stulz 2007)","dontUpdate":true,"noteIndex":0},"citationItems":[{"id":6613,"uris":["http://zotero.org/groups/6311349/items/P6ESWYXE"],"itemData":{"id":6613,"type":"article-journal","container-title":"Swiss National Bank Economic Studies","issue":"4","publisher-place":"Zürich","title":"Exchange rate pass-through in Switzerland: Evidence from vector autoregressions.","volume":"2007","author":[{"family":"Stulz","given":"Jonas"}],"issued":{"date-parts":[["2007"]]}}}],"schema":"https://github.com/citation-style-language/schema/raw/master/csl-citation.json"} </w:instrText>
      </w:r>
      <w:r w:rsidR="00B25AD4" w:rsidRPr="000040EC">
        <w:rPr>
          <w:rFonts w:ascii="Times New Roman" w:hAnsi="Times New Roman" w:cs="Times New Roman"/>
          <w:lang w:val="en-US"/>
        </w:rPr>
        <w:fldChar w:fldCharType="separate"/>
      </w:r>
      <w:r w:rsidR="00B25AD4" w:rsidRPr="000040EC">
        <w:rPr>
          <w:rFonts w:ascii="Times New Roman" w:hAnsi="Times New Roman" w:cs="Times New Roman"/>
          <w:lang w:val="en-US"/>
        </w:rPr>
        <w:t>Stulz (2007)</w:t>
      </w:r>
      <w:r w:rsidR="00B25AD4" w:rsidRPr="000040EC">
        <w:rPr>
          <w:rFonts w:ascii="Times New Roman" w:hAnsi="Times New Roman" w:cs="Times New Roman"/>
          <w:lang w:val="en-US"/>
        </w:rPr>
        <w:fldChar w:fldCharType="end"/>
      </w:r>
      <w:r w:rsidR="00B25AD4" w:rsidRPr="000040EC">
        <w:rPr>
          <w:rFonts w:ascii="Times New Roman" w:hAnsi="Times New Roman" w:cs="Times New Roman"/>
          <w:lang w:val="en-US"/>
        </w:rPr>
        <w:t xml:space="preserve"> </w:t>
      </w:r>
      <w:r w:rsidR="000B4794" w:rsidRPr="000040EC">
        <w:rPr>
          <w:rFonts w:ascii="Times New Roman" w:hAnsi="Times New Roman" w:cs="Times New Roman"/>
          <w:lang w:val="en-US"/>
        </w:rPr>
        <w:t>estimated</w:t>
      </w:r>
      <w:r w:rsidR="00B25AD4" w:rsidRPr="000040EC">
        <w:rPr>
          <w:rFonts w:ascii="Times New Roman" w:hAnsi="Times New Roman" w:cs="Times New Roman"/>
          <w:lang w:val="en-US"/>
        </w:rPr>
        <w:t xml:space="preserve"> a substantial but incomplete pass-through on import prices, with ERPT elasticities of 0,52 after twelve months and 0,37 in the long run, whereas ERPT to consumer prices amounts to 0,09 in the short run and merely 0,18 in the </w:t>
      </w:r>
      <w:r w:rsidR="00505858" w:rsidRPr="000040EC">
        <w:rPr>
          <w:rFonts w:ascii="Times New Roman" w:hAnsi="Times New Roman" w:cs="Times New Roman"/>
          <w:lang w:val="en-US"/>
        </w:rPr>
        <w:t>long run</w:t>
      </w:r>
      <w:r w:rsidR="00B25AD4" w:rsidRPr="000040EC">
        <w:rPr>
          <w:rFonts w:ascii="Times New Roman" w:hAnsi="Times New Roman" w:cs="Times New Roman"/>
          <w:lang w:val="en-US"/>
        </w:rPr>
        <w:t>.</w:t>
      </w:r>
      <w:r w:rsidR="00505858" w:rsidRPr="000040EC">
        <w:rPr>
          <w:rFonts w:ascii="Times New Roman" w:hAnsi="Times New Roman" w:cs="Times New Roman"/>
          <w:lang w:val="en-US"/>
        </w:rPr>
        <w:t xml:space="preserve"> </w:t>
      </w:r>
      <w:r w:rsidR="00A95995" w:rsidRPr="000040EC">
        <w:rPr>
          <w:rFonts w:ascii="Times New Roman" w:hAnsi="Times New Roman" w:cs="Times New Roman"/>
          <w:lang w:val="en-US"/>
        </w:rPr>
        <w:t xml:space="preserve">Using monthly data between 1999 and 2010, </w:t>
      </w:r>
      <w:r w:rsidR="00A95995" w:rsidRPr="000040EC">
        <w:rPr>
          <w:rFonts w:ascii="Times New Roman" w:hAnsi="Times New Roman" w:cs="Times New Roman"/>
          <w:lang w:val="en-US"/>
        </w:rPr>
        <w:fldChar w:fldCharType="begin"/>
      </w:r>
      <w:r w:rsidR="009E1D58" w:rsidRPr="000040EC">
        <w:rPr>
          <w:rFonts w:ascii="Times New Roman" w:hAnsi="Times New Roman" w:cs="Times New Roman"/>
          <w:lang w:val="en-US"/>
        </w:rPr>
        <w:instrText xml:space="preserve"> ADDIN ZOTERO_ITEM CSL_CITATION {"citationID":"d6Nw37Cg","properties":{"formattedCitation":"(Herger 2012)","plainCitation":"(Herger 2012)","dontUpdate":true,"noteIndex":0},"citationItems":[{"id":6671,"uris":["http://zotero.org/groups/6311349/items/ZA8BPLN6"],"itemData":{"id":6671,"type":"article-journal","abstract":"For the case of Switzerland, this paper endeavours to estimate the empirical extent to which exchange rates are “passed-through” onto import prices. For data covering the 1999 to 2010 period, the results suggest that (i) on aggregate, the exchange rate pass-through is highly incomplete with an elasticity of around 0.3 and (ii) major differences arise between industries. In particular, larger pass-through effects can be observed for certain commodities and other standardised products such as paper, timber, or minerals whilst for automobiles and textiles, the impact of the exchange rate upon import prices is almost always negligible and statistically far from significant.","container-title":"Swiss Journal of Economics and Statistics","DOI":"10.1007/BF03399371","ISSN":"2235-6282","issue":"3","journalAbbreviation":"Swiss J Economics Statistics","language":"en","page":"381-407","source":"Springer Link","title":"Exchange rates and import prices in Switzerland","volume":"148","author":[{"family":"Herger","given":"Nils"}],"issued":{"date-parts":[["2012",7,1]]}}}],"schema":"https://github.com/citation-style-language/schema/raw/master/csl-citation.json"} </w:instrText>
      </w:r>
      <w:r w:rsidR="00A95995" w:rsidRPr="000040EC">
        <w:rPr>
          <w:rFonts w:ascii="Times New Roman" w:hAnsi="Times New Roman" w:cs="Times New Roman"/>
          <w:lang w:val="en-US"/>
        </w:rPr>
        <w:fldChar w:fldCharType="separate"/>
      </w:r>
      <w:r w:rsidR="00A95995" w:rsidRPr="000040EC">
        <w:rPr>
          <w:rFonts w:ascii="Times New Roman" w:hAnsi="Times New Roman" w:cs="Times New Roman"/>
          <w:lang w:val="en-US"/>
        </w:rPr>
        <w:t>Herger (2012)</w:t>
      </w:r>
      <w:r w:rsidR="00A95995" w:rsidRPr="000040EC">
        <w:rPr>
          <w:rFonts w:ascii="Times New Roman" w:hAnsi="Times New Roman" w:cs="Times New Roman"/>
          <w:lang w:val="en-US"/>
        </w:rPr>
        <w:fldChar w:fldCharType="end"/>
      </w:r>
      <w:r w:rsidR="00A95995" w:rsidRPr="000040EC">
        <w:rPr>
          <w:rFonts w:ascii="Times New Roman" w:hAnsi="Times New Roman" w:cs="Times New Roman"/>
          <w:lang w:val="en-US"/>
        </w:rPr>
        <w:t xml:space="preserve"> found that the ERPT elasticity onto aggregate import prices is only 0,3. </w:t>
      </w:r>
      <w:r w:rsidR="00505858" w:rsidRPr="000040EC">
        <w:rPr>
          <w:rFonts w:ascii="Times New Roman" w:hAnsi="Times New Roman" w:cs="Times New Roman"/>
          <w:lang w:val="en-US"/>
        </w:rPr>
        <w:t>Other studies have found either small or insignificant ERPT effects</w:t>
      </w:r>
      <w:r w:rsidR="00505858" w:rsidRPr="000040EC">
        <w:rPr>
          <w:rStyle w:val="Appelnotedebasdep"/>
          <w:rFonts w:ascii="Times New Roman" w:hAnsi="Times New Roman" w:cs="Times New Roman"/>
          <w:lang w:val="en-US"/>
        </w:rPr>
        <w:footnoteReference w:id="4"/>
      </w:r>
      <w:r w:rsidR="00505858" w:rsidRPr="000040EC">
        <w:rPr>
          <w:rFonts w:ascii="Times New Roman" w:hAnsi="Times New Roman" w:cs="Times New Roman"/>
          <w:lang w:val="en-US"/>
        </w:rPr>
        <w:t>.</w:t>
      </w:r>
      <w:r w:rsidR="00E12D4F" w:rsidRPr="000040EC">
        <w:rPr>
          <w:rFonts w:ascii="Times New Roman" w:hAnsi="Times New Roman" w:cs="Times New Roman"/>
          <w:lang w:val="en-US"/>
        </w:rPr>
        <w:t xml:space="preserve"> Even studies that have examined the causal effect of the sharp and sudden appreciation of the Swiss franc following the </w:t>
      </w:r>
      <w:r w:rsidR="006313A5" w:rsidRPr="000040EC">
        <w:rPr>
          <w:rFonts w:ascii="Times New Roman" w:hAnsi="Times New Roman" w:cs="Times New Roman"/>
          <w:lang w:val="en-US"/>
        </w:rPr>
        <w:t>removal</w:t>
      </w:r>
      <w:r w:rsidR="00E12D4F" w:rsidRPr="000040EC">
        <w:rPr>
          <w:rFonts w:ascii="Times New Roman" w:hAnsi="Times New Roman" w:cs="Times New Roman"/>
          <w:lang w:val="en-US"/>
        </w:rPr>
        <w:t xml:space="preserve"> of the </w:t>
      </w:r>
      <w:r w:rsidR="00FF3E0A" w:rsidRPr="000040EC">
        <w:rPr>
          <w:rFonts w:ascii="Times New Roman" w:hAnsi="Times New Roman" w:cs="Times New Roman"/>
          <w:lang w:val="en-US"/>
        </w:rPr>
        <w:t>minimum exchange rate</w:t>
      </w:r>
      <w:r w:rsidR="00E12D4F" w:rsidRPr="000040EC">
        <w:rPr>
          <w:rFonts w:ascii="Times New Roman" w:hAnsi="Times New Roman" w:cs="Times New Roman"/>
          <w:lang w:val="en-US"/>
        </w:rPr>
        <w:t xml:space="preserve"> in 2015 have found only a limited impact</w:t>
      </w:r>
      <w:r w:rsidR="001C24FA" w:rsidRPr="000040EC">
        <w:rPr>
          <w:rFonts w:ascii="Times New Roman" w:hAnsi="Times New Roman" w:cs="Times New Roman"/>
          <w:lang w:val="en-US"/>
        </w:rPr>
        <w:t xml:space="preserve">. </w:t>
      </w:r>
      <w:r w:rsidR="001C24FA" w:rsidRPr="000040EC">
        <w:rPr>
          <w:rFonts w:ascii="Times New Roman" w:hAnsi="Times New Roman" w:cs="Times New Roman"/>
          <w:lang w:val="en-US"/>
        </w:rPr>
        <w:fldChar w:fldCharType="begin"/>
      </w:r>
      <w:r w:rsidR="00800352" w:rsidRPr="000040EC">
        <w:rPr>
          <w:rFonts w:ascii="Times New Roman" w:hAnsi="Times New Roman" w:cs="Times New Roman"/>
          <w:lang w:val="en-US"/>
        </w:rPr>
        <w:instrText xml:space="preserve"> ADDIN ZOTERO_ITEM CSL_CITATION {"citationID":"TPPbd221","properties":{"formattedCitation":"(Auer et al. 2021)","plainCitation":"(Auer et al. 2021)","dontUpdate":true,"noteIndex":0},"citationItems":[{"id":6515,"uris":["http://zotero.org/groups/6311349/items/PUW8HFY7"],"itemData":{"id":6515,"type":"article-journal","abstract":"We dissect the impact of a large and sudden exchange rate appreciation on Swiss border import prices, retail prices, and consumer expenditures on domestic and imported nondurable goods, following the removal of the EUR/CHF floor in January 2015. Cross-sectional variation in border price changes by currency of invoicing carries over to consumer prices and allocations, impacting retail prices of imports and competing domestic goods, as well as import expenditures. We provide measures of the sensitivity of retail import prices to border prices and the sensitivity of import shares to relative prices, which is higher when using retail prices than border prices.","container-title":"American Economic Review","DOI":"10.1257/aer.20181415","ISSN":"0002-8282","issue":"2","language":"en","page":"652-686","source":"www.aeaweb.org","title":"Exchange Rates and Prices: Evidence from the 2015 Swiss Franc Appreciation","title-short":"Exchange Rates and Prices","volume":"111","author":[{"family":"Auer","given":"Raphael"},{"family":"Burstein","given":"Ariel"},{"family":"Lein","given":"Sarah M."}],"issued":{"date-parts":[["2021",2]]}}}],"schema":"https://github.com/citation-style-language/schema/raw/master/csl-citation.json"} </w:instrText>
      </w:r>
      <w:r w:rsidR="001C24FA" w:rsidRPr="000040EC">
        <w:rPr>
          <w:rFonts w:ascii="Times New Roman" w:hAnsi="Times New Roman" w:cs="Times New Roman"/>
          <w:lang w:val="en-US"/>
        </w:rPr>
        <w:fldChar w:fldCharType="separate"/>
      </w:r>
      <w:r w:rsidR="001C24FA" w:rsidRPr="000040EC">
        <w:rPr>
          <w:rFonts w:ascii="Times New Roman" w:hAnsi="Times New Roman" w:cs="Times New Roman"/>
          <w:lang w:val="en-US"/>
        </w:rPr>
        <w:t>Auer et al. (2021)</w:t>
      </w:r>
      <w:r w:rsidR="001C24FA" w:rsidRPr="000040EC">
        <w:rPr>
          <w:rFonts w:ascii="Times New Roman" w:hAnsi="Times New Roman" w:cs="Times New Roman"/>
          <w:lang w:val="en-US"/>
        </w:rPr>
        <w:fldChar w:fldCharType="end"/>
      </w:r>
      <w:r w:rsidR="001C24FA" w:rsidRPr="000040EC">
        <w:rPr>
          <w:rFonts w:ascii="Times New Roman" w:hAnsi="Times New Roman" w:cs="Times New Roman"/>
          <w:lang w:val="en-US"/>
        </w:rPr>
        <w:t xml:space="preserve"> </w:t>
      </w:r>
      <w:r w:rsidR="00A95995" w:rsidRPr="000040EC">
        <w:rPr>
          <w:rFonts w:ascii="Times New Roman" w:hAnsi="Times New Roman" w:cs="Times New Roman"/>
          <w:lang w:val="en-US"/>
        </w:rPr>
        <w:t>found</w:t>
      </w:r>
      <w:r w:rsidR="001C24FA" w:rsidRPr="000040EC">
        <w:rPr>
          <w:rFonts w:ascii="Times New Roman" w:hAnsi="Times New Roman" w:cs="Times New Roman"/>
          <w:lang w:val="en-US"/>
        </w:rPr>
        <w:t xml:space="preserve"> a one-year pass-through effect of 0,075 for retail domestic prices and 0,366 for retail imported products. The results of </w:t>
      </w:r>
      <w:r w:rsidR="001C24FA" w:rsidRPr="000040EC">
        <w:rPr>
          <w:rFonts w:ascii="Times New Roman" w:hAnsi="Times New Roman" w:cs="Times New Roman"/>
          <w:lang w:val="en-US"/>
        </w:rPr>
        <w:fldChar w:fldCharType="begin"/>
      </w:r>
      <w:r w:rsidR="00800352" w:rsidRPr="000040EC">
        <w:rPr>
          <w:rFonts w:ascii="Times New Roman" w:hAnsi="Times New Roman" w:cs="Times New Roman"/>
          <w:lang w:val="en-US"/>
        </w:rPr>
        <w:instrText xml:space="preserve"> ADDIN ZOTERO_ITEM CSL_CITATION {"citationID":"y4N6wySo","properties":{"formattedCitation":"(Oktay 2022)","plainCitation":"(Oktay 2022)","dontUpdate":true,"noteIndex":0},"citationItems":[{"id":6398,"uris":["http://zotero.org/groups/6311349/items/YLJG9I4R"],"itemData":{"id":6398,"type":"article-journal","abstract":"This paper analyzes the exchange rate pass-through to consumer prices for 85 categories of goods and services in Switzerland. The pass-through estimates are computed using a synthetic difference-in-differences approach that exploits the large Swiss franc appreciation that followed the unexpected removal of the Swiss franc-Euro floor in January 2015. The overall 1-year all-items pass-through is 0.12, which shows that the pass-through is highly incomplete. There is an important heterogeneity across product categories, where pass-through can be as high as 0.80. These variations are linked to the international trade characteristics of the products, as the prices of goods with a high degree of international tradability, with a high import share, or that depend on tourism are shown to be more sensitive to the exchange rate.","container-title":"Swiss Journal of Economics and Statistics","DOI":"10.1186/s41937-022-00102-7","ISSN":"2235-6282","issue":"1","journalAbbreviation":"Swiss J Economics Statistics","language":"en","page":"21","source":"Springer Link","title":"Heterogeneity in the exchange rate pass-through to consumer prices: the Swiss franc appreciation of 2015","title-short":"Heterogeneity in the exchange rate pass-through to consumer prices","volume":"158","author":[{"family":"Oktay","given":"Alex"}],"issued":{"date-parts":[["2022",12,5]]}}}],"schema":"https://github.com/citation-style-language/schema/raw/master/csl-citation.json"} </w:instrText>
      </w:r>
      <w:r w:rsidR="001C24FA" w:rsidRPr="000040EC">
        <w:rPr>
          <w:rFonts w:ascii="Times New Roman" w:hAnsi="Times New Roman" w:cs="Times New Roman"/>
          <w:lang w:val="en-US"/>
        </w:rPr>
        <w:fldChar w:fldCharType="separate"/>
      </w:r>
      <w:r w:rsidR="001C24FA" w:rsidRPr="000040EC">
        <w:rPr>
          <w:rFonts w:ascii="Times New Roman" w:hAnsi="Times New Roman" w:cs="Times New Roman"/>
          <w:lang w:val="en-US"/>
        </w:rPr>
        <w:t>Oktay (2022)</w:t>
      </w:r>
      <w:r w:rsidR="001C24FA" w:rsidRPr="000040EC">
        <w:rPr>
          <w:rFonts w:ascii="Times New Roman" w:hAnsi="Times New Roman" w:cs="Times New Roman"/>
          <w:lang w:val="en-US"/>
        </w:rPr>
        <w:fldChar w:fldCharType="end"/>
      </w:r>
      <w:r w:rsidR="001C24FA" w:rsidRPr="000040EC">
        <w:rPr>
          <w:rFonts w:ascii="Times New Roman" w:hAnsi="Times New Roman" w:cs="Times New Roman"/>
          <w:lang w:val="en-US"/>
        </w:rPr>
        <w:t xml:space="preserve"> underline</w:t>
      </w:r>
      <w:r w:rsidR="00A95995" w:rsidRPr="000040EC">
        <w:rPr>
          <w:rFonts w:ascii="Times New Roman" w:hAnsi="Times New Roman" w:cs="Times New Roman"/>
          <w:lang w:val="en-US"/>
        </w:rPr>
        <w:t>d</w:t>
      </w:r>
      <w:r w:rsidR="001C24FA" w:rsidRPr="000040EC">
        <w:rPr>
          <w:rFonts w:ascii="Times New Roman" w:hAnsi="Times New Roman" w:cs="Times New Roman"/>
          <w:lang w:val="en-US"/>
        </w:rPr>
        <w:t xml:space="preserve"> important heterogeneities in the pass-through across categories of goods and services, with non-tradable goods and services having lower pass-through than tradable ones. However, the aggregate result of the pass-through is found to be very small as only 12% of the euro/franc shock of 2015 was passed on the overall Swiss consumer price index.</w:t>
      </w:r>
      <w:r w:rsidR="00B700A9" w:rsidRPr="000040EC">
        <w:rPr>
          <w:rFonts w:ascii="Times New Roman" w:hAnsi="Times New Roman" w:cs="Times New Roman"/>
          <w:lang w:val="en-US"/>
        </w:rPr>
        <w:t xml:space="preserve"> Low inflation rates in Switzerland cannot therefore be attributed solely based on the strength of the Swiss franc as the ERPT effect is in fact very limited.</w:t>
      </w:r>
    </w:p>
    <w:p w14:paraId="0A7BEFE6" w14:textId="56120A9A" w:rsidR="004304AD" w:rsidRPr="000040EC" w:rsidRDefault="004304AD" w:rsidP="006313A5">
      <w:pPr>
        <w:jc w:val="both"/>
        <w:rPr>
          <w:rFonts w:ascii="Times New Roman" w:hAnsi="Times New Roman" w:cs="Times New Roman"/>
          <w:lang w:val="en-US"/>
        </w:rPr>
      </w:pPr>
      <w:r w:rsidRPr="000040EC">
        <w:rPr>
          <w:rFonts w:ascii="Times New Roman" w:hAnsi="Times New Roman" w:cs="Times New Roman"/>
          <w:lang w:val="en-US"/>
        </w:rPr>
        <w:t xml:space="preserve">However, a low ERPT does not necessarily imply that movements in the exchange rate and the price of imports are of no importance regarding inflation dynamics in Switzerland. The results from a historical decomposition of a structural vector error correction model </w:t>
      </w:r>
      <w:r w:rsidR="008D1618" w:rsidRPr="000040EC">
        <w:rPr>
          <w:rFonts w:ascii="Times New Roman" w:hAnsi="Times New Roman" w:cs="Times New Roman"/>
          <w:lang w:val="en-US"/>
        </w:rPr>
        <w:t xml:space="preserve">by </w:t>
      </w:r>
      <w:r w:rsidR="009E1D58" w:rsidRPr="000040EC">
        <w:rPr>
          <w:rFonts w:ascii="Times New Roman" w:hAnsi="Times New Roman" w:cs="Times New Roman"/>
          <w:lang w:val="en-US"/>
        </w:rPr>
        <w:fldChar w:fldCharType="begin"/>
      </w:r>
      <w:r w:rsidR="00281FCA" w:rsidRPr="000040EC">
        <w:rPr>
          <w:rFonts w:ascii="Times New Roman" w:hAnsi="Times New Roman" w:cs="Times New Roman"/>
          <w:lang w:val="en-US"/>
        </w:rPr>
        <w:instrText xml:space="preserve"> ADDIN ZOTERO_ITEM CSL_CITATION {"citationID":"Lf7s4Sa6","properties":{"formattedCitation":"(Leutert et al. 2026)","plainCitation":"(Leutert et al. 2026)","dontUpdate":true,"noteIndex":0},"citationItems":[{"id":6392,"uris":["http://zotero.org/groups/6311349/items/5DL5NGET"],"itemData":{"id":6392,"type":"article-journal","abstract":"We analyse the historical relationship between consumer prices and wages in Switzerland. Our results show that, between 1980 and 2019, the pass-through from prices to wages was substantial. At the same time, nominal wage increases only had a modest effect on prices. Other factors—such as imported inflation, inflation expectations and economic slack—clearly dominate wages in explaining price movements in Switzerland. Second-round effects of inflation, in turn, are mainly explained by inflation expectations. Our results suggest that the pass-through from wages to prices could be higher in an environment of elevated inflation. However, even in the 1980s and 1990s, the pass-through was only modest. It follows that periods of simultaneously high inflation and high wage growth were not the result of a wage-price spiral. Instead, the long-term comovement of the two variables can mostly be explained by common drivers (e.g. inflation expectations, economic slack) and by the gradual adjustment of wages to prices.","container-title":"Swiss Journal of Economics and Statistics","DOI":"10.1186/s41937-026-00148-x","ISSN":"2235-6282","issue":"1","journalAbbreviation":"Swiss J Economics Statistics","language":"en","page":"2","source":"Springer Link","title":"Wage-price pass-through in Switzerland","volume":"162","author":[{"family":"Leutert","given":"Jessica"},{"family":"Scheufele","given":"Rolf"},{"family":"Schön","given":"Selina"}],"issued":{"date-parts":[["2026",2,5]]}}}],"schema":"https://github.com/citation-style-language/schema/raw/master/csl-citation.json"} </w:instrText>
      </w:r>
      <w:r w:rsidR="009E1D58" w:rsidRPr="000040EC">
        <w:rPr>
          <w:rFonts w:ascii="Times New Roman" w:hAnsi="Times New Roman" w:cs="Times New Roman"/>
          <w:lang w:val="en-US"/>
        </w:rPr>
        <w:fldChar w:fldCharType="separate"/>
      </w:r>
      <w:r w:rsidR="009E1D58" w:rsidRPr="000040EC">
        <w:rPr>
          <w:rFonts w:ascii="Times New Roman" w:hAnsi="Times New Roman" w:cs="Times New Roman"/>
          <w:lang w:val="en-US"/>
        </w:rPr>
        <w:t>Leutert et al. (2026)</w:t>
      </w:r>
      <w:r w:rsidR="009E1D58" w:rsidRPr="000040EC">
        <w:rPr>
          <w:rFonts w:ascii="Times New Roman" w:hAnsi="Times New Roman" w:cs="Times New Roman"/>
          <w:lang w:val="en-US"/>
        </w:rPr>
        <w:fldChar w:fldCharType="end"/>
      </w:r>
      <w:r w:rsidR="008D1618" w:rsidRPr="000040EC">
        <w:rPr>
          <w:rFonts w:ascii="Times New Roman" w:hAnsi="Times New Roman" w:cs="Times New Roman"/>
          <w:lang w:val="en-US"/>
        </w:rPr>
        <w:t xml:space="preserve"> showed that, whereas increases in unit </w:t>
      </w:r>
      <w:proofErr w:type="spellStart"/>
      <w:r w:rsidR="008D1618" w:rsidRPr="000040EC">
        <w:rPr>
          <w:rFonts w:ascii="Times New Roman" w:hAnsi="Times New Roman" w:cs="Times New Roman"/>
          <w:lang w:val="en-US"/>
        </w:rPr>
        <w:t>labour</w:t>
      </w:r>
      <w:proofErr w:type="spellEnd"/>
      <w:r w:rsidR="008D1618" w:rsidRPr="000040EC">
        <w:rPr>
          <w:rFonts w:ascii="Times New Roman" w:hAnsi="Times New Roman" w:cs="Times New Roman"/>
          <w:lang w:val="en-US"/>
        </w:rPr>
        <w:t xml:space="preserve"> costs</w:t>
      </w:r>
      <w:r w:rsidR="00092DB5" w:rsidRPr="000040EC">
        <w:rPr>
          <w:rFonts w:ascii="Times New Roman" w:hAnsi="Times New Roman" w:cs="Times New Roman"/>
          <w:lang w:val="en-US"/>
        </w:rPr>
        <w:t xml:space="preserve"> (UCL)</w:t>
      </w:r>
      <w:r w:rsidR="008D1618" w:rsidRPr="000040EC">
        <w:rPr>
          <w:rFonts w:ascii="Times New Roman" w:hAnsi="Times New Roman" w:cs="Times New Roman"/>
          <w:lang w:val="en-US"/>
        </w:rPr>
        <w:t xml:space="preserve"> had only a modest impact on CPI inflation in the last 40 years, variations in import prices due to oil price shocks, foreign inflation and the exchange rate explain a substantial part of Swiss CPI movements since the </w:t>
      </w:r>
      <w:r w:rsidR="008D1618" w:rsidRPr="000040EC">
        <w:rPr>
          <w:rFonts w:ascii="Times New Roman" w:hAnsi="Times New Roman" w:cs="Times New Roman"/>
          <w:lang w:val="en-US"/>
        </w:rPr>
        <w:lastRenderedPageBreak/>
        <w:t>1980s. This indicates that</w:t>
      </w:r>
      <w:r w:rsidR="00B02988" w:rsidRPr="000040EC">
        <w:rPr>
          <w:rFonts w:ascii="Times New Roman" w:hAnsi="Times New Roman" w:cs="Times New Roman"/>
          <w:lang w:val="en-US"/>
        </w:rPr>
        <w:t xml:space="preserve"> even though import prices have a low pass-through, they </w:t>
      </w:r>
      <w:r w:rsidR="009E1D58" w:rsidRPr="000040EC">
        <w:rPr>
          <w:rFonts w:ascii="Times New Roman" w:hAnsi="Times New Roman" w:cs="Times New Roman"/>
          <w:lang w:val="en-US"/>
        </w:rPr>
        <w:t>remain</w:t>
      </w:r>
      <w:r w:rsidR="00B02988" w:rsidRPr="000040EC">
        <w:rPr>
          <w:rFonts w:ascii="Times New Roman" w:hAnsi="Times New Roman" w:cs="Times New Roman"/>
          <w:lang w:val="en-US"/>
        </w:rPr>
        <w:t xml:space="preserve"> important drivers of inflation dynamics in Switzerland.</w:t>
      </w:r>
      <w:r w:rsidR="00092DB5" w:rsidRPr="000040EC">
        <w:rPr>
          <w:rFonts w:ascii="Times New Roman" w:hAnsi="Times New Roman" w:cs="Times New Roman"/>
          <w:lang w:val="en-US"/>
        </w:rPr>
        <w:t xml:space="preserve"> On the other hand, the very limited pass-through of UCL on CPI inflation can be explained by the fact that Swiss ULC are more relevant for export prices than for domestic consumer prices as most items of the latter are composed by categories which only marginally depend on </w:t>
      </w:r>
      <w:proofErr w:type="spellStart"/>
      <w:r w:rsidR="00092DB5" w:rsidRPr="000040EC">
        <w:rPr>
          <w:rFonts w:ascii="Times New Roman" w:hAnsi="Times New Roman" w:cs="Times New Roman"/>
          <w:lang w:val="en-US"/>
        </w:rPr>
        <w:t>labour</w:t>
      </w:r>
      <w:proofErr w:type="spellEnd"/>
      <w:r w:rsidR="00092DB5" w:rsidRPr="000040EC">
        <w:rPr>
          <w:rFonts w:ascii="Times New Roman" w:hAnsi="Times New Roman" w:cs="Times New Roman"/>
          <w:lang w:val="en-US"/>
        </w:rPr>
        <w:t xml:space="preserve"> input for instance rents and health which account for around 40% of the Swiss CPI) </w:t>
      </w:r>
      <w:r w:rsidR="00092DB5" w:rsidRPr="000040EC">
        <w:rPr>
          <w:rFonts w:ascii="Times New Roman" w:hAnsi="Times New Roman" w:cs="Times New Roman"/>
          <w:lang w:val="en-US"/>
        </w:rPr>
        <w:fldChar w:fldCharType="begin"/>
      </w:r>
      <w:r w:rsidR="00281FCA" w:rsidRPr="000040EC">
        <w:rPr>
          <w:rFonts w:ascii="Times New Roman" w:hAnsi="Times New Roman" w:cs="Times New Roman"/>
          <w:lang w:val="en-US"/>
        </w:rPr>
        <w:instrText xml:space="preserve"> ADDIN ZOTERO_ITEM CSL_CITATION {"citationID":"K7Hq116Q","properties":{"formattedCitation":"(Leutert et al. 2026)","plainCitation":"(Leutert et al. 2026)","dontUpdate":true,"noteIndex":0},"citationItems":[{"id":6392,"uris":["http://zotero.org/groups/6311349/items/5DL5NGET"],"itemData":{"id":6392,"type":"article-journal","abstract":"We analyse the historical relationship between consumer prices and wages in Switzerland. Our results show that, between 1980 and 2019, the pass-through from prices to wages was substantial. At the same time, nominal wage increases only had a modest effect on prices. Other factors—such as imported inflation, inflation expectations and economic slack—clearly dominate wages in explaining price movements in Switzerland. Second-round effects of inflation, in turn, are mainly explained by inflation expectations. Our results suggest that the pass-through from wages to prices could be higher in an environment of elevated inflation. However, even in the 1980s and 1990s, the pass-through was only modest. It follows that periods of simultaneously high inflation and high wage growth were not the result of a wage-price spiral. Instead, the long-term comovement of the two variables can mostly be explained by common drivers (e.g. inflation expectations, economic slack) and by the gradual adjustment of wages to prices.","container-title":"Swiss Journal of Economics and Statistics","DOI":"10.1186/s41937-026-00148-x","ISSN":"2235-6282","issue":"1","journalAbbreviation":"Swiss J Economics Statistics","language":"en","page":"2","source":"Springer Link","title":"Wage-price pass-through in Switzerland","volume":"162","author":[{"family":"Leutert","given":"Jessica"},{"family":"Scheufele","given":"Rolf"},{"family":"Schön","given":"Selina"}],"issued":{"date-parts":[["2026",2,5]]}}}],"schema":"https://github.com/citation-style-language/schema/raw/master/csl-citation.json"} </w:instrText>
      </w:r>
      <w:r w:rsidR="00092DB5" w:rsidRPr="000040EC">
        <w:rPr>
          <w:rFonts w:ascii="Times New Roman" w:hAnsi="Times New Roman" w:cs="Times New Roman"/>
          <w:lang w:val="en-US"/>
        </w:rPr>
        <w:fldChar w:fldCharType="separate"/>
      </w:r>
      <w:r w:rsidR="00092DB5" w:rsidRPr="000040EC">
        <w:rPr>
          <w:rFonts w:ascii="Times New Roman" w:hAnsi="Times New Roman" w:cs="Times New Roman"/>
          <w:lang w:val="en-US"/>
        </w:rPr>
        <w:t>(Leutert et al. 2026, 11)</w:t>
      </w:r>
      <w:r w:rsidR="00092DB5" w:rsidRPr="000040EC">
        <w:rPr>
          <w:rFonts w:ascii="Times New Roman" w:hAnsi="Times New Roman" w:cs="Times New Roman"/>
          <w:lang w:val="en-US"/>
        </w:rPr>
        <w:fldChar w:fldCharType="end"/>
      </w:r>
      <w:r w:rsidR="00092DB5" w:rsidRPr="000040EC">
        <w:rPr>
          <w:rFonts w:ascii="Times New Roman" w:hAnsi="Times New Roman" w:cs="Times New Roman"/>
          <w:lang w:val="en-US"/>
        </w:rPr>
        <w:t>.</w:t>
      </w:r>
    </w:p>
    <w:p w14:paraId="221B742D" w14:textId="1DF4420E" w:rsidR="008A6600" w:rsidRPr="000040EC" w:rsidRDefault="00330145" w:rsidP="008A6600">
      <w:pPr>
        <w:jc w:val="both"/>
        <w:rPr>
          <w:rFonts w:ascii="Times New Roman" w:hAnsi="Times New Roman" w:cs="Times New Roman"/>
          <w:lang w:val="en-US"/>
        </w:rPr>
      </w:pPr>
      <w:r w:rsidRPr="000040EC">
        <w:rPr>
          <w:rFonts w:ascii="Times New Roman" w:hAnsi="Times New Roman" w:cs="Times New Roman"/>
          <w:lang w:val="en-US"/>
        </w:rPr>
        <w:t xml:space="preserve">Some comparative case studies </w:t>
      </w:r>
      <w:r w:rsidR="008A6600" w:rsidRPr="000040EC">
        <w:rPr>
          <w:rFonts w:ascii="Times New Roman" w:hAnsi="Times New Roman" w:cs="Times New Roman"/>
          <w:lang w:val="en-US"/>
        </w:rPr>
        <w:t xml:space="preserve">hold that </w:t>
      </w:r>
      <w:r w:rsidRPr="000040EC">
        <w:rPr>
          <w:rFonts w:ascii="Times New Roman" w:hAnsi="Times New Roman" w:cs="Times New Roman"/>
          <w:lang w:val="en-US"/>
        </w:rPr>
        <w:t>lower inflation rate in Switzerland can be explained to a considerable extent by the different weights assigned to the items of the CPI</w:t>
      </w:r>
      <w:r w:rsidR="000F1D1E" w:rsidRPr="000040EC">
        <w:rPr>
          <w:rFonts w:ascii="Times New Roman" w:hAnsi="Times New Roman" w:cs="Times New Roman"/>
          <w:lang w:val="en-US"/>
        </w:rPr>
        <w:t xml:space="preserve"> compared to other countries</w:t>
      </w:r>
      <w:r w:rsidR="008A6600" w:rsidRPr="000040EC">
        <w:rPr>
          <w:rFonts w:ascii="Times New Roman" w:hAnsi="Times New Roman" w:cs="Times New Roman"/>
          <w:lang w:val="en-US"/>
        </w:rPr>
        <w:t>, implying that Switzerland's low inflation is in part a statistical artefact, reflecting the specific structure and expenditure weights of the Swiss CPI basket. These studies underline</w:t>
      </w:r>
      <w:r w:rsidR="00A95995" w:rsidRPr="000040EC">
        <w:rPr>
          <w:rFonts w:ascii="Times New Roman" w:hAnsi="Times New Roman" w:cs="Times New Roman"/>
          <w:lang w:val="en-US"/>
        </w:rPr>
        <w:t>d</w:t>
      </w:r>
      <w:r w:rsidR="008A6600" w:rsidRPr="000040EC">
        <w:rPr>
          <w:rFonts w:ascii="Times New Roman" w:hAnsi="Times New Roman" w:cs="Times New Roman"/>
          <w:lang w:val="en-US"/>
        </w:rPr>
        <w:t xml:space="preserve"> the relatively low weight assigned to energy (5%) and the exclusion of certain important expenditure items such as the compulsory health insurance premiums and have provided estimations of Swiss inflation using the expenditure weights applied in other countries such as Germany. </w:t>
      </w:r>
      <w:r w:rsidR="00FE7869" w:rsidRPr="000040EC">
        <w:rPr>
          <w:rFonts w:ascii="Times New Roman" w:hAnsi="Times New Roman" w:cs="Times New Roman"/>
          <w:lang w:val="en-US"/>
        </w:rPr>
        <w:t>U</w:t>
      </w:r>
      <w:r w:rsidR="008A6600" w:rsidRPr="000040EC">
        <w:rPr>
          <w:rFonts w:ascii="Times New Roman" w:hAnsi="Times New Roman" w:cs="Times New Roman"/>
          <w:lang w:val="en-US"/>
        </w:rPr>
        <w:t xml:space="preserve">nder these counterfactual weighting schemes, Swiss inflation remains nonetheless substantially lower than in </w:t>
      </w:r>
      <w:r w:rsidR="00FE7869" w:rsidRPr="000040EC">
        <w:rPr>
          <w:rFonts w:ascii="Times New Roman" w:hAnsi="Times New Roman" w:cs="Times New Roman"/>
          <w:lang w:val="en-US"/>
        </w:rPr>
        <w:t>other</w:t>
      </w:r>
      <w:r w:rsidR="008A6600" w:rsidRPr="000040EC">
        <w:rPr>
          <w:rFonts w:ascii="Times New Roman" w:hAnsi="Times New Roman" w:cs="Times New Roman"/>
          <w:lang w:val="en-US"/>
        </w:rPr>
        <w:t xml:space="preserve"> economies </w:t>
      </w:r>
      <w:r w:rsidR="008614C6" w:rsidRPr="000040EC">
        <w:rPr>
          <w:rFonts w:ascii="Times New Roman" w:hAnsi="Times New Roman" w:cs="Times New Roman"/>
          <w:lang w:val="en-US"/>
        </w:rPr>
        <w:t>as it gains only 1 to 2 percentage points</w:t>
      </w:r>
      <w:r w:rsidR="008A6600" w:rsidRPr="000040EC">
        <w:rPr>
          <w:rFonts w:ascii="Times New Roman" w:hAnsi="Times New Roman" w:cs="Times New Roman"/>
          <w:lang w:val="en-US"/>
        </w:rPr>
        <w:t xml:space="preserve"> </w:t>
      </w:r>
      <w:r w:rsidR="008A6600" w:rsidRPr="000040EC">
        <w:rPr>
          <w:rFonts w:ascii="Times New Roman" w:hAnsi="Times New Roman" w:cs="Times New Roman"/>
          <w:lang w:val="en-US"/>
        </w:rPr>
        <w:fldChar w:fldCharType="begin"/>
      </w:r>
      <w:r w:rsidR="008A6600" w:rsidRPr="000040EC">
        <w:rPr>
          <w:rFonts w:ascii="Times New Roman" w:hAnsi="Times New Roman" w:cs="Times New Roman"/>
          <w:lang w:val="en-US"/>
        </w:rPr>
        <w:instrText xml:space="preserve"> ADDIN ZOTERO_ITEM CSL_CITATION {"citationID":"d1WzfQt4","properties":{"formattedCitation":"(Sonnenberg 2022; Dullien et al. 2024)","plainCitation":"(Sonnenberg 2022; Dullien et al. 2024)","noteIndex":0},"citationItems":[{"id":6661,"uris":["http://zotero.org/groups/6311349/items/AFIXD8C5"],"itemData":{"id":6661,"type":"article-journal","abstract":"Die Inflation ist in Europa seit Anfang 2021 stark gestiegen, das Ausmaß des Anstiegs unterscheidet sich zwischen den einzelnen Ländern indes beträchtlich. Besonders niedrig ist die Inflation in der Schweiz, wo sie im Juli bei lediglich 3,3 Prozent (HVPI) lag. Demgegenüber ist die Inflation im Euroraum im August auf ein Rekordniveau von 9,1 Prozent gestiegen, in Deutschland lag sie bei 8,8 Prozent und in Spanien bei 10,3 Prozent. Mithilfe der detaillierten Preisstatistik des Harmonisierten Verbraucherpreisindex aus dem Juli werden in diesem Beitrag die Ursachen dieser Unterschiede herausgearbeitet. Der HVPI besteht aus vielen Preisreihen, die jeweils mit ihrem Ausgabenanteil gewichtet zum Gesamtindex zusammengefügt werden. Unterschiede in den Inflationsraten zwischen den Ländern können entweder aus Unterschieden in der Entwicklung der einzelnen Preisreihen oder durch Unterschiede in den Gewichten entstehen. Im Folgenden werden die wesentlichen Unterschiede in den vier Überkategorien Energie, Lebensmittel, Waren und Dienstleistungen diskutiert.","language":"ger","license":"http://www.econstor.eu/dspace/Nutzungsbedingungen","publisher":"Kiel: Kiel Institut für Weltwirtschaft (IfW Kiel)","source":"www.econstor.eu","title":"Zu den Inflationsunterschieden zwischen der Schweiz, Spanien und Deutschland","URL":"https://www.econstor.eu/handle/10419/265303","author":[{"family":"Sonnenberg","given":"Nils"}],"accessed":{"date-parts":[["2026",7,8]]},"issued":{"date-parts":[["2022"]]}}},{"id":6508,"uris":["http://zotero.org/groups/6311349/items/A79KYH9F"],"itemData":{"id":6508,"type":"report","abstract":"Als Folge der massiven Preisschocks 2021 und 2022 schnellte die HVPI-Rate in Deutschland teilweise auf über 11 %, überschritt in der Schweiz aber nur kurzzeitig 3 %. Entscheidend war, dass die Energiepreise in der Spitze in Deutschland 5,3 Prozentpunkte zur Inflation beitrugen (Oktober 2022) verglichen mit 1,5 Prozentpunkten in der Schweiz (Juni 2022) und weitgefasste Nahrungsmittel 3,1 Prozentpunkte verglichen mit 0,8 Prozentpunkten (März 2023). Dieser Beitrag untersucht die Rolle struktureller Unterschiede beim Durchwirken der internationalen Preisschocks auf die inländische Inflation. Von Bedeutung sind dabei erstens regulatorische Unterschiede und der ausgeprägte Protektionismus des Agrarsektors in der Schweiz. Ein zweiter Faktor sind unterschiedliche Warenkorbstrukturen. Eingriffe des Staates in die Preisbildung sowie Veränderungen indirekter Steuern und Abgaben begründen drittens, warum die Inflationsunterschiede nicht noch ausgeprägter ausfielen und warum die Strompreise in der Schweiz trotz der Bedeutung der Wasserkraft letztlich ähnlich stark anzogen wie in Deutschland. Demgegenüber dürfte die geldpolitische Reaktion bestenfalls eine untergeordnete Rolle gespielt haben, auch wenn die deutlichere Abwertung des Euro die externen Preisschocks verstärkt hat.","genre":"Working Paper","language":"ger","license":"https://www.econstor.eu/dspace/Nutzungsbedingungen","number":"224","publisher":"IMK Working Paper","source":"www.econstor.eu","title":"Historische Preissteigerungen in Deutschland, niedrige Inflation in der Schweiz: Die Rolle von Regulierung","title-short":"Historische Preissteigerungen in Deutschland, niedrige Inflation in der Schweiz","URL":"https://www.econstor.eu/handle/10419/302161","author":[{"family":"Dullien","given":"Sebastian"},{"family":"Gallusser","given":"David"},{"family":"Tober","given":"Silke"}],"accessed":{"date-parts":[["2026",6,3]]},"issued":{"date-parts":[["2024"]]}}}],"schema":"https://github.com/citation-style-language/schema/raw/master/csl-citation.json"} </w:instrText>
      </w:r>
      <w:r w:rsidR="008A6600" w:rsidRPr="000040EC">
        <w:rPr>
          <w:rFonts w:ascii="Times New Roman" w:hAnsi="Times New Roman" w:cs="Times New Roman"/>
          <w:lang w:val="en-US"/>
        </w:rPr>
        <w:fldChar w:fldCharType="separate"/>
      </w:r>
      <w:r w:rsidR="008A6600" w:rsidRPr="000040EC">
        <w:rPr>
          <w:rFonts w:ascii="Times New Roman" w:hAnsi="Times New Roman" w:cs="Times New Roman"/>
          <w:lang w:val="en-US"/>
        </w:rPr>
        <w:t>(Sonnenberg 2022; Dullien et al. 2024)</w:t>
      </w:r>
      <w:r w:rsidR="008A6600" w:rsidRPr="000040EC">
        <w:rPr>
          <w:rFonts w:ascii="Times New Roman" w:hAnsi="Times New Roman" w:cs="Times New Roman"/>
          <w:lang w:val="en-US"/>
        </w:rPr>
        <w:fldChar w:fldCharType="end"/>
      </w:r>
      <w:r w:rsidR="008A6600" w:rsidRPr="000040EC">
        <w:rPr>
          <w:rFonts w:ascii="Times New Roman" w:hAnsi="Times New Roman" w:cs="Times New Roman"/>
          <w:lang w:val="en-US"/>
        </w:rPr>
        <w:t>.</w:t>
      </w:r>
      <w:r w:rsidR="008614C6" w:rsidRPr="000040EC">
        <w:rPr>
          <w:rFonts w:ascii="Times New Roman" w:hAnsi="Times New Roman" w:cs="Times New Roman"/>
          <w:lang w:val="en-US"/>
        </w:rPr>
        <w:t xml:space="preserve"> The dynamics of the CPI remains furthermore the same, as only its level is changed under </w:t>
      </w:r>
      <w:r w:rsidR="00DD0F7F" w:rsidRPr="000040EC">
        <w:rPr>
          <w:rFonts w:ascii="Times New Roman" w:hAnsi="Times New Roman" w:cs="Times New Roman"/>
          <w:lang w:val="en-US"/>
        </w:rPr>
        <w:t>the re-weighting calculation. The weighting differences are thus not a great explanation of Swiss price dynamics and the relative resistance of the latter to inflationary pressures.</w:t>
      </w:r>
    </w:p>
    <w:p w14:paraId="24A45601" w14:textId="40564C7D" w:rsidR="00E67A87" w:rsidRPr="000040EC" w:rsidRDefault="008415D0" w:rsidP="00014443">
      <w:pPr>
        <w:jc w:val="both"/>
        <w:rPr>
          <w:rFonts w:ascii="Times New Roman" w:hAnsi="Times New Roman" w:cs="Times New Roman"/>
          <w:lang w:val="en-US"/>
        </w:rPr>
      </w:pPr>
      <w:r w:rsidRPr="000040EC">
        <w:rPr>
          <w:rFonts w:ascii="Times New Roman" w:hAnsi="Times New Roman" w:cs="Times New Roman"/>
          <w:lang w:val="en-US"/>
        </w:rPr>
        <w:t xml:space="preserve">Regarding the structure of the Swiss CPI, another line of explanation </w:t>
      </w:r>
      <w:r w:rsidR="001E6524" w:rsidRPr="000040EC">
        <w:rPr>
          <w:rFonts w:ascii="Times New Roman" w:hAnsi="Times New Roman" w:cs="Times New Roman"/>
          <w:lang w:val="en-US"/>
        </w:rPr>
        <w:t>has emphasized the importance of the high share of administered prices in the basket as a factor behind Switzerland’s price stability.</w:t>
      </w:r>
      <w:r w:rsidR="00A95995" w:rsidRPr="000040EC">
        <w:rPr>
          <w:rFonts w:ascii="Times New Roman" w:hAnsi="Times New Roman" w:cs="Times New Roman"/>
          <w:lang w:val="en-US"/>
        </w:rPr>
        <w:t xml:space="preserve"> The share of administered prices, defined </w:t>
      </w:r>
      <w:r w:rsidR="009B6415" w:rsidRPr="000040EC">
        <w:rPr>
          <w:rFonts w:ascii="Times New Roman" w:hAnsi="Times New Roman" w:cs="Times New Roman"/>
          <w:lang w:val="en-US"/>
        </w:rPr>
        <w:t>as prices set or regulated by the government that are not determined solely by market supply and demand, is particularly high in Switzerland</w:t>
      </w:r>
      <w:r w:rsidR="00710E8A" w:rsidRPr="000040EC">
        <w:rPr>
          <w:rFonts w:ascii="Times New Roman" w:hAnsi="Times New Roman" w:cs="Times New Roman"/>
          <w:lang w:val="en-US"/>
        </w:rPr>
        <w:t xml:space="preserve"> as it represents around one-quarter of the CPI</w:t>
      </w:r>
      <w:r w:rsidR="009B6415" w:rsidRPr="000040EC">
        <w:rPr>
          <w:rFonts w:ascii="Times New Roman" w:hAnsi="Times New Roman" w:cs="Times New Roman"/>
          <w:lang w:val="en-US"/>
        </w:rPr>
        <w:t xml:space="preserve">. In 2025, the share of administrated prices in the harmonized consumer price index was </w:t>
      </w:r>
      <w:r w:rsidR="00374EE4" w:rsidRPr="000040EC">
        <w:rPr>
          <w:rFonts w:ascii="Times New Roman" w:hAnsi="Times New Roman" w:cs="Times New Roman"/>
          <w:lang w:val="en-US"/>
        </w:rPr>
        <w:t>25</w:t>
      </w:r>
      <w:r w:rsidR="009B6415" w:rsidRPr="000040EC">
        <w:rPr>
          <w:rFonts w:ascii="Times New Roman" w:hAnsi="Times New Roman" w:cs="Times New Roman"/>
          <w:lang w:val="en-US"/>
        </w:rPr>
        <w:t>% in Switzerland, compared to around 12% in the European Union.</w:t>
      </w:r>
      <w:r w:rsidR="004F583C" w:rsidRPr="000040EC">
        <w:rPr>
          <w:rFonts w:ascii="Times New Roman" w:hAnsi="Times New Roman" w:cs="Times New Roman"/>
          <w:lang w:val="en-US"/>
        </w:rPr>
        <w:t xml:space="preserve"> The fact that one third of Swiss prices are administered naturally raises the hypothesis that the Swiss government exercises substantial price controls </w:t>
      </w:r>
      <w:r w:rsidR="006457CF" w:rsidRPr="000040EC">
        <w:rPr>
          <w:rFonts w:ascii="Times New Roman" w:hAnsi="Times New Roman" w:cs="Times New Roman"/>
          <w:lang w:val="en-US"/>
        </w:rPr>
        <w:t>to</w:t>
      </w:r>
      <w:r w:rsidR="004F583C" w:rsidRPr="000040EC">
        <w:rPr>
          <w:rFonts w:ascii="Times New Roman" w:hAnsi="Times New Roman" w:cs="Times New Roman"/>
          <w:lang w:val="en-US"/>
        </w:rPr>
        <w:t xml:space="preserve"> keep inflation low</w:t>
      </w:r>
      <w:r w:rsidR="006457CF" w:rsidRPr="000040EC">
        <w:rPr>
          <w:rFonts w:ascii="Times New Roman" w:hAnsi="Times New Roman" w:cs="Times New Roman"/>
          <w:lang w:val="en-US"/>
        </w:rPr>
        <w:t>.</w:t>
      </w:r>
      <w:r w:rsidR="00AC3DE0" w:rsidRPr="000040EC">
        <w:rPr>
          <w:rFonts w:ascii="Times New Roman" w:hAnsi="Times New Roman" w:cs="Times New Roman"/>
          <w:lang w:val="en-US"/>
        </w:rPr>
        <w:t xml:space="preserve"> However, </w:t>
      </w:r>
      <w:r w:rsidR="00F575D3" w:rsidRPr="000040EC">
        <w:rPr>
          <w:rFonts w:ascii="Times New Roman" w:hAnsi="Times New Roman" w:cs="Times New Roman"/>
          <w:lang w:val="en-US"/>
        </w:rPr>
        <w:t>the scarce literature on this topic supports that administered prices are not an important driver of low inflation in Switzerland nor a significant factor to explain Switzerland’s inflation gap in comparison with the euro area. On the one hand, despite the importance of administered prices in the Swiss CPI basket, an indicator of inflation excluding them would not have changed substantially price dynamics in the country over the last 20 years, as CPI inflation excluding administered prices was only 0.1 percentage points higher than CPI inflation including them. On the other hand, both administered and non-administered prices increased considerably less in Switzerland than in the euro area</w:t>
      </w:r>
      <w:r w:rsidR="00530576" w:rsidRPr="000040EC">
        <w:rPr>
          <w:rFonts w:ascii="Times New Roman" w:hAnsi="Times New Roman" w:cs="Times New Roman"/>
          <w:lang w:val="en-US"/>
        </w:rPr>
        <w:t xml:space="preserve">. This suggests that inflation gap between the two economies cannot be attributed solely to administered prices, but must also reflect differences in the evolution of non-administered prices </w:t>
      </w:r>
      <w:r w:rsidR="00530576" w:rsidRPr="000040EC">
        <w:rPr>
          <w:rFonts w:ascii="Times New Roman" w:hAnsi="Times New Roman" w:cs="Times New Roman"/>
          <w:lang w:val="en-US"/>
        </w:rPr>
        <w:fldChar w:fldCharType="begin"/>
      </w:r>
      <w:r w:rsidR="00530576" w:rsidRPr="000040EC">
        <w:rPr>
          <w:rFonts w:ascii="Times New Roman" w:hAnsi="Times New Roman" w:cs="Times New Roman"/>
          <w:lang w:val="en-US"/>
        </w:rPr>
        <w:instrText xml:space="preserve"> ADDIN ZOTERO_ITEM CSL_CITATION {"citationID":"bWyPTIYZ","properties":{"formattedCitation":"(S. Auer et al. 2025)","plainCitation":"(S. Auer et al. 2025)","noteIndex":0},"citationItems":[{"id":6463,"uris":["http://zotero.org/groups/6311349/items/7KFBSAG5"],"itemData":{"id":6463,"type":"report","number":"10/2025","publisher":"Swiss National Bank","publisher-place":"Zürich","title":"How large is the impact of administered prices on inflation in Switzerland?","URL":"https://www.snb.ch/en/publications/research/economic-notes/2025/economic_note_2025_10","author":[{"family":"Auer","given":"Simone"},{"family":"Beyeler","given":"Simon"},{"family":"Meier","given":"Jonas"}],"accessed":{"date-parts":[["2026",5,28]]},"issued":{"date-parts":[["2025"]]}}}],"schema":"https://github.com/citation-style-language/schema/raw/master/csl-citation.json"} </w:instrText>
      </w:r>
      <w:r w:rsidR="00530576" w:rsidRPr="000040EC">
        <w:rPr>
          <w:rFonts w:ascii="Times New Roman" w:hAnsi="Times New Roman" w:cs="Times New Roman"/>
          <w:lang w:val="en-US"/>
        </w:rPr>
        <w:fldChar w:fldCharType="separate"/>
      </w:r>
      <w:r w:rsidR="00530576" w:rsidRPr="000040EC">
        <w:rPr>
          <w:rFonts w:ascii="Times New Roman" w:hAnsi="Times New Roman" w:cs="Times New Roman"/>
          <w:lang w:val="en-US"/>
        </w:rPr>
        <w:t>(S. Auer et al. 2025)</w:t>
      </w:r>
      <w:r w:rsidR="00530576" w:rsidRPr="000040EC">
        <w:rPr>
          <w:rFonts w:ascii="Times New Roman" w:hAnsi="Times New Roman" w:cs="Times New Roman"/>
          <w:lang w:val="en-US"/>
        </w:rPr>
        <w:fldChar w:fldCharType="end"/>
      </w:r>
      <w:r w:rsidR="00530576" w:rsidRPr="000040EC">
        <w:rPr>
          <w:rFonts w:ascii="Times New Roman" w:hAnsi="Times New Roman" w:cs="Times New Roman"/>
          <w:lang w:val="en-US"/>
        </w:rPr>
        <w:t>.</w:t>
      </w:r>
    </w:p>
    <w:p w14:paraId="0A85CF08" w14:textId="229D3A0F" w:rsidR="001B2C57" w:rsidRPr="000040EC" w:rsidRDefault="00F65685" w:rsidP="00014443">
      <w:pPr>
        <w:jc w:val="both"/>
        <w:rPr>
          <w:rFonts w:ascii="Times New Roman" w:hAnsi="Times New Roman" w:cs="Times New Roman"/>
          <w:lang w:val="en-US"/>
        </w:rPr>
      </w:pPr>
      <w:r w:rsidRPr="000040EC">
        <w:rPr>
          <w:rFonts w:ascii="Times New Roman" w:hAnsi="Times New Roman" w:cs="Times New Roman"/>
          <w:lang w:val="en-US"/>
        </w:rPr>
        <w:t xml:space="preserve"> </w:t>
      </w:r>
      <w:r w:rsidR="00D266D1" w:rsidRPr="000040EC">
        <w:rPr>
          <w:rFonts w:ascii="Times New Roman" w:hAnsi="Times New Roman" w:cs="Times New Roman"/>
          <w:lang w:val="en-US"/>
        </w:rPr>
        <w:t>In place of</w:t>
      </w:r>
      <w:r w:rsidR="00A41042" w:rsidRPr="000040EC">
        <w:rPr>
          <w:rFonts w:ascii="Times New Roman" w:hAnsi="Times New Roman" w:cs="Times New Roman"/>
          <w:lang w:val="en-US"/>
        </w:rPr>
        <w:t xml:space="preserve"> a deliberate policy design</w:t>
      </w:r>
      <w:r w:rsidR="00D266D1" w:rsidRPr="000040EC">
        <w:rPr>
          <w:rFonts w:ascii="Times New Roman" w:hAnsi="Times New Roman" w:cs="Times New Roman"/>
          <w:lang w:val="en-US"/>
        </w:rPr>
        <w:t>ed</w:t>
      </w:r>
      <w:r w:rsidR="00A41042" w:rsidRPr="000040EC">
        <w:rPr>
          <w:rFonts w:ascii="Times New Roman" w:hAnsi="Times New Roman" w:cs="Times New Roman"/>
          <w:lang w:val="en-US"/>
        </w:rPr>
        <w:t xml:space="preserve"> to control pr</w:t>
      </w:r>
      <w:r w:rsidR="00D266D1" w:rsidRPr="000040EC">
        <w:rPr>
          <w:rFonts w:ascii="Times New Roman" w:hAnsi="Times New Roman" w:cs="Times New Roman"/>
          <w:lang w:val="en-US"/>
        </w:rPr>
        <w:t xml:space="preserve">ice level and </w:t>
      </w:r>
      <w:r w:rsidR="00A41042" w:rsidRPr="000040EC">
        <w:rPr>
          <w:rFonts w:ascii="Times New Roman" w:hAnsi="Times New Roman" w:cs="Times New Roman"/>
          <w:lang w:val="en-US"/>
        </w:rPr>
        <w:t>inflation, the high share of administered prices</w:t>
      </w:r>
      <w:r w:rsidR="00D266D1" w:rsidRPr="000040EC">
        <w:rPr>
          <w:rFonts w:ascii="Times New Roman" w:hAnsi="Times New Roman" w:cs="Times New Roman"/>
          <w:lang w:val="en-US"/>
        </w:rPr>
        <w:t xml:space="preserve"> rather</w:t>
      </w:r>
      <w:r w:rsidR="00A41042" w:rsidRPr="000040EC">
        <w:rPr>
          <w:rFonts w:ascii="Times New Roman" w:hAnsi="Times New Roman" w:cs="Times New Roman"/>
          <w:lang w:val="en-US"/>
        </w:rPr>
        <w:t xml:space="preserve"> reflects</w:t>
      </w:r>
      <w:r w:rsidR="00D266D1" w:rsidRPr="000040EC">
        <w:rPr>
          <w:rFonts w:ascii="Times New Roman" w:hAnsi="Times New Roman" w:cs="Times New Roman"/>
          <w:lang w:val="en-US"/>
        </w:rPr>
        <w:t xml:space="preserve"> in great part</w:t>
      </w:r>
      <w:r w:rsidR="00A41042" w:rsidRPr="000040EC">
        <w:rPr>
          <w:rFonts w:ascii="Times New Roman" w:hAnsi="Times New Roman" w:cs="Times New Roman"/>
          <w:lang w:val="en-US"/>
        </w:rPr>
        <w:t xml:space="preserve"> Switzerland’s peculiar welfare state system, notably its mandatory health insurance system. </w:t>
      </w:r>
      <w:r w:rsidR="00E67A87" w:rsidRPr="000040EC">
        <w:rPr>
          <w:rFonts w:ascii="Times New Roman" w:hAnsi="Times New Roman" w:cs="Times New Roman"/>
          <w:lang w:val="en-US"/>
        </w:rPr>
        <w:t>Unlike</w:t>
      </w:r>
      <w:r w:rsidR="00A41042" w:rsidRPr="000040EC">
        <w:rPr>
          <w:rFonts w:ascii="Times New Roman" w:hAnsi="Times New Roman" w:cs="Times New Roman"/>
          <w:lang w:val="en-US"/>
        </w:rPr>
        <w:t xml:space="preserve"> other European countries</w:t>
      </w:r>
      <w:r w:rsidR="00D266D1" w:rsidRPr="000040EC">
        <w:rPr>
          <w:rFonts w:ascii="Times New Roman" w:hAnsi="Times New Roman" w:cs="Times New Roman"/>
          <w:lang w:val="en-US"/>
        </w:rPr>
        <w:t xml:space="preserve"> where all health services and products covered by mandatory health insurance are </w:t>
      </w:r>
      <w:r w:rsidR="0058130A" w:rsidRPr="000040EC">
        <w:rPr>
          <w:rFonts w:ascii="Times New Roman" w:hAnsi="Times New Roman" w:cs="Times New Roman"/>
          <w:lang w:val="en-US"/>
        </w:rPr>
        <w:t xml:space="preserve">directly taken in charge </w:t>
      </w:r>
      <w:r w:rsidR="0058130A" w:rsidRPr="000040EC">
        <w:rPr>
          <w:rFonts w:ascii="Times New Roman" w:hAnsi="Times New Roman" w:cs="Times New Roman"/>
          <w:lang w:val="en-US"/>
        </w:rPr>
        <w:lastRenderedPageBreak/>
        <w:t xml:space="preserve">by the state, Swiss </w:t>
      </w:r>
      <w:r w:rsidR="00797B62" w:rsidRPr="000040EC">
        <w:rPr>
          <w:rFonts w:ascii="Times New Roman" w:hAnsi="Times New Roman" w:cs="Times New Roman"/>
          <w:lang w:val="en-US"/>
        </w:rPr>
        <w:t>residents</w:t>
      </w:r>
      <w:r w:rsidR="0058130A" w:rsidRPr="000040EC">
        <w:rPr>
          <w:rFonts w:ascii="Times New Roman" w:hAnsi="Times New Roman" w:cs="Times New Roman"/>
          <w:lang w:val="en-US"/>
        </w:rPr>
        <w:t xml:space="preserve"> must </w:t>
      </w:r>
      <w:r w:rsidR="00797B62" w:rsidRPr="000040EC">
        <w:rPr>
          <w:rFonts w:ascii="Times New Roman" w:hAnsi="Times New Roman" w:cs="Times New Roman"/>
          <w:lang w:val="en-US"/>
        </w:rPr>
        <w:t xml:space="preserve">finance by themselves a great part of health expenditures through out-of-pocket payments </w:t>
      </w:r>
      <w:r w:rsidR="0058130A" w:rsidRPr="000040EC">
        <w:rPr>
          <w:rFonts w:ascii="Times New Roman" w:hAnsi="Times New Roman" w:cs="Times New Roman"/>
          <w:lang w:val="en-US"/>
        </w:rPr>
        <w:t xml:space="preserve">until a minimum franchise is reached in addition to the premiums which are not taken into account into the Swiss CPI basket. As a result, the </w:t>
      </w:r>
      <w:r w:rsidR="00374EE4" w:rsidRPr="000040EC">
        <w:rPr>
          <w:rFonts w:ascii="Times New Roman" w:hAnsi="Times New Roman" w:cs="Times New Roman"/>
          <w:lang w:val="en-US"/>
        </w:rPr>
        <w:t>25% share of</w:t>
      </w:r>
      <w:r w:rsidR="0058130A" w:rsidRPr="000040EC">
        <w:rPr>
          <w:rFonts w:ascii="Times New Roman" w:hAnsi="Times New Roman" w:cs="Times New Roman"/>
          <w:lang w:val="en-US"/>
        </w:rPr>
        <w:t xml:space="preserve"> administered</w:t>
      </w:r>
      <w:r w:rsidR="00374EE4" w:rsidRPr="000040EC">
        <w:rPr>
          <w:rFonts w:ascii="Times New Roman" w:hAnsi="Times New Roman" w:cs="Times New Roman"/>
          <w:lang w:val="en-US"/>
        </w:rPr>
        <w:t xml:space="preserve"> price</w:t>
      </w:r>
      <w:r w:rsidR="0058130A" w:rsidRPr="000040EC">
        <w:rPr>
          <w:rFonts w:ascii="Times New Roman" w:hAnsi="Times New Roman" w:cs="Times New Roman"/>
          <w:lang w:val="en-US"/>
        </w:rPr>
        <w:t xml:space="preserve"> </w:t>
      </w:r>
      <w:r w:rsidR="00374EE4" w:rsidRPr="000040EC">
        <w:rPr>
          <w:rFonts w:ascii="Times New Roman" w:hAnsi="Times New Roman" w:cs="Times New Roman"/>
          <w:lang w:val="en-US"/>
        </w:rPr>
        <w:t xml:space="preserve">is artificially inflated by a high share of health goods and services (around 14%) which are administered as they are covered and thus regulated by the compulsory public plan, but whose expenses must still be supported </w:t>
      </w:r>
      <w:r w:rsidR="00F86060" w:rsidRPr="000040EC">
        <w:rPr>
          <w:rFonts w:ascii="Times New Roman" w:hAnsi="Times New Roman" w:cs="Times New Roman"/>
          <w:lang w:val="en-US"/>
        </w:rPr>
        <w:t>through</w:t>
      </w:r>
      <w:r w:rsidR="00374EE4" w:rsidRPr="000040EC">
        <w:rPr>
          <w:rFonts w:ascii="Times New Roman" w:hAnsi="Times New Roman" w:cs="Times New Roman"/>
          <w:lang w:val="en-US"/>
        </w:rPr>
        <w:t xml:space="preserve"> out-of-pocket payments by households.</w:t>
      </w:r>
      <w:r w:rsidR="00E67A87" w:rsidRPr="000040EC">
        <w:rPr>
          <w:rFonts w:ascii="Times New Roman" w:hAnsi="Times New Roman" w:cs="Times New Roman"/>
          <w:lang w:val="en-US"/>
        </w:rPr>
        <w:t xml:space="preserve"> In contrast, the share of products and services with administered prices </w:t>
      </w:r>
      <w:r w:rsidR="001B2C57" w:rsidRPr="000040EC">
        <w:rPr>
          <w:rFonts w:ascii="Times New Roman" w:hAnsi="Times New Roman" w:cs="Times New Roman"/>
          <w:lang w:val="en-US"/>
        </w:rPr>
        <w:t xml:space="preserve">for other key items </w:t>
      </w:r>
      <w:r w:rsidR="00E67A87" w:rsidRPr="000040EC">
        <w:rPr>
          <w:rFonts w:ascii="Times New Roman" w:hAnsi="Times New Roman" w:cs="Times New Roman"/>
          <w:lang w:val="en-US"/>
        </w:rPr>
        <w:t xml:space="preserve">are significantly lower: 3% for energy or 2,3% for transports </w:t>
      </w:r>
      <w:r w:rsidR="00E67A87" w:rsidRPr="000040EC">
        <w:rPr>
          <w:rFonts w:ascii="Times New Roman" w:hAnsi="Times New Roman" w:cs="Times New Roman"/>
          <w:lang w:val="en-US"/>
        </w:rPr>
        <w:fldChar w:fldCharType="begin"/>
      </w:r>
      <w:r w:rsidR="00E67A87" w:rsidRPr="000040EC">
        <w:rPr>
          <w:rFonts w:ascii="Times New Roman" w:hAnsi="Times New Roman" w:cs="Times New Roman"/>
          <w:lang w:val="en-US"/>
        </w:rPr>
        <w:instrText xml:space="preserve"> ADDIN ZOTERO_ITEM CSL_CITATION {"citationID":"4DtIyZIQ","properties":{"formattedCitation":"(S. Auer et al. 2025; Mergele et al. 2026)","plainCitation":"(S. Auer et al. 2025; Mergele et al. 2026)","noteIndex":0},"citationItems":[{"id":6463,"uris":["http://zotero.org/groups/6311349/items/7KFBSAG5"],"itemData":{"id":6463,"type":"report","number":"10/2025","publisher":"Swiss National Bank","publisher-place":"Zürich","title":"How large is the impact of administered prices on inflation in Switzerland?","URL":"https://www.snb.ch/en/publications/research/economic-notes/2025/economic_note_2025_10","author":[{"family":"Auer","given":"Simone"},{"family":"Beyeler","given":"Simon"},{"family":"Meier","given":"Jonas"}],"accessed":{"date-parts":[["2026",5,28]]},"issued":{"date-parts":[["2025"]]}}},{"id":6665,"uris":["http://zotero.org/groups/6311349/items/EEFFBZEW"],"itemData":{"id":6665,"type":"article-journal","container-title":"Grundlagen für die Wirtschaftspolitik","issue":"62","publisher":"SECO","publisher-place":"Bern","title":"Administriete Preise","author":[{"family":"Mergele","given":"Lukas"},{"family":"Wehrli","given":"Damian"},{"family":"Winistörfer","given":"Nils"}],"issued":{"date-parts":[["2026"]]}}}],"schema":"https://github.com/citation-style-language/schema/raw/master/csl-citation.json"} </w:instrText>
      </w:r>
      <w:r w:rsidR="00E67A87" w:rsidRPr="000040EC">
        <w:rPr>
          <w:rFonts w:ascii="Times New Roman" w:hAnsi="Times New Roman" w:cs="Times New Roman"/>
          <w:lang w:val="en-US"/>
        </w:rPr>
        <w:fldChar w:fldCharType="separate"/>
      </w:r>
      <w:r w:rsidR="00E67A87" w:rsidRPr="000040EC">
        <w:rPr>
          <w:rFonts w:ascii="Times New Roman" w:hAnsi="Times New Roman" w:cs="Times New Roman"/>
          <w:lang w:val="en-US"/>
        </w:rPr>
        <w:t>(S. Auer et al. 2025; Mergele et al. 2026)</w:t>
      </w:r>
      <w:r w:rsidR="00E67A87" w:rsidRPr="000040EC">
        <w:rPr>
          <w:rFonts w:ascii="Times New Roman" w:hAnsi="Times New Roman" w:cs="Times New Roman"/>
          <w:lang w:val="en-US"/>
        </w:rPr>
        <w:fldChar w:fldCharType="end"/>
      </w:r>
      <w:r w:rsidR="00E67A87" w:rsidRPr="000040EC">
        <w:rPr>
          <w:rFonts w:ascii="Times New Roman" w:hAnsi="Times New Roman" w:cs="Times New Roman"/>
          <w:lang w:val="en-US"/>
        </w:rPr>
        <w:t>.</w:t>
      </w:r>
      <w:r w:rsidR="001B2C57" w:rsidRPr="000040EC">
        <w:rPr>
          <w:rFonts w:ascii="Times New Roman" w:hAnsi="Times New Roman" w:cs="Times New Roman"/>
          <w:lang w:val="en-US"/>
        </w:rPr>
        <w:t xml:space="preserve"> </w:t>
      </w:r>
    </w:p>
    <w:p w14:paraId="07F5ED2F" w14:textId="46A68733" w:rsidR="008614C6" w:rsidRPr="000040EC" w:rsidRDefault="008614C6" w:rsidP="008614C6">
      <w:pPr>
        <w:pStyle w:val="Titre1"/>
        <w:rPr>
          <w:rFonts w:ascii="Times New Roman" w:hAnsi="Times New Roman" w:cs="Times New Roman"/>
          <w:color w:val="auto"/>
          <w:lang w:val="en-US"/>
        </w:rPr>
      </w:pPr>
      <w:r w:rsidRPr="000040EC">
        <w:rPr>
          <w:rFonts w:ascii="Times New Roman" w:hAnsi="Times New Roman" w:cs="Times New Roman"/>
          <w:color w:val="auto"/>
          <w:lang w:val="en-US"/>
        </w:rPr>
        <w:t>The role of price administration</w:t>
      </w:r>
      <w:r w:rsidR="00265EFF" w:rsidRPr="000040EC">
        <w:rPr>
          <w:rFonts w:ascii="Times New Roman" w:hAnsi="Times New Roman" w:cs="Times New Roman"/>
          <w:color w:val="auto"/>
          <w:lang w:val="en-US"/>
        </w:rPr>
        <w:t xml:space="preserve"> </w:t>
      </w:r>
      <w:r w:rsidRPr="000040EC">
        <w:rPr>
          <w:rFonts w:ascii="Times New Roman" w:hAnsi="Times New Roman" w:cs="Times New Roman"/>
          <w:color w:val="auto"/>
          <w:lang w:val="en-US"/>
        </w:rPr>
        <w:t>in systemically significant sectors</w:t>
      </w:r>
    </w:p>
    <w:p w14:paraId="0BCA859F" w14:textId="5391A8BD" w:rsidR="00835200" w:rsidRPr="000040EC" w:rsidRDefault="00835200" w:rsidP="00835200">
      <w:pPr>
        <w:jc w:val="both"/>
        <w:rPr>
          <w:rFonts w:ascii="Times New Roman" w:hAnsi="Times New Roman" w:cs="Times New Roman"/>
          <w:lang w:val="en-US"/>
        </w:rPr>
      </w:pPr>
      <w:r w:rsidRPr="000040EC">
        <w:rPr>
          <w:rFonts w:ascii="Times New Roman" w:hAnsi="Times New Roman" w:cs="Times New Roman"/>
          <w:lang w:val="en-US"/>
        </w:rPr>
        <w:t xml:space="preserve">Does price administration </w:t>
      </w:r>
      <w:r w:rsidR="00744192" w:rsidRPr="000040EC">
        <w:rPr>
          <w:rFonts w:ascii="Times New Roman" w:hAnsi="Times New Roman" w:cs="Times New Roman"/>
          <w:lang w:val="en-US"/>
        </w:rPr>
        <w:t xml:space="preserve">truly </w:t>
      </w:r>
      <w:r w:rsidRPr="000040EC">
        <w:rPr>
          <w:rFonts w:ascii="Times New Roman" w:hAnsi="Times New Roman" w:cs="Times New Roman"/>
          <w:lang w:val="en-US"/>
        </w:rPr>
        <w:t>play</w:t>
      </w:r>
      <w:r w:rsidR="00744192" w:rsidRPr="000040EC">
        <w:rPr>
          <w:rFonts w:ascii="Times New Roman" w:hAnsi="Times New Roman" w:cs="Times New Roman"/>
          <w:lang w:val="en-US"/>
        </w:rPr>
        <w:t xml:space="preserve"> </w:t>
      </w:r>
      <w:r w:rsidRPr="000040EC">
        <w:rPr>
          <w:rFonts w:ascii="Times New Roman" w:hAnsi="Times New Roman" w:cs="Times New Roman"/>
          <w:lang w:val="en-US"/>
        </w:rPr>
        <w:t xml:space="preserve">no role behind Switzerland’s resistance to inflation? In this section, we show that the arguments against a substantial effect of price administration on price stability in Switzerland outlined </w:t>
      </w:r>
      <w:r w:rsidR="00F30EDB" w:rsidRPr="000040EC">
        <w:rPr>
          <w:rFonts w:ascii="Times New Roman" w:hAnsi="Times New Roman" w:cs="Times New Roman"/>
          <w:lang w:val="en-US"/>
        </w:rPr>
        <w:t>in the previous section</w:t>
      </w:r>
      <w:r w:rsidRPr="000040EC">
        <w:rPr>
          <w:rFonts w:ascii="Times New Roman" w:hAnsi="Times New Roman" w:cs="Times New Roman"/>
          <w:lang w:val="en-US"/>
        </w:rPr>
        <w:t xml:space="preserve"> </w:t>
      </w:r>
      <w:r w:rsidR="007D40EB" w:rsidRPr="000040EC">
        <w:rPr>
          <w:rFonts w:ascii="Times New Roman" w:hAnsi="Times New Roman" w:cs="Times New Roman"/>
          <w:lang w:val="en-US"/>
        </w:rPr>
        <w:t>do not hold when we account for the fact that price administration is present in sector</w:t>
      </w:r>
      <w:r w:rsidR="003C705A" w:rsidRPr="000040EC">
        <w:rPr>
          <w:rFonts w:ascii="Times New Roman" w:hAnsi="Times New Roman" w:cs="Times New Roman"/>
          <w:lang w:val="en-US"/>
        </w:rPr>
        <w:t>s</w:t>
      </w:r>
      <w:r w:rsidR="007D40EB" w:rsidRPr="000040EC">
        <w:rPr>
          <w:rFonts w:ascii="Times New Roman" w:hAnsi="Times New Roman" w:cs="Times New Roman"/>
          <w:lang w:val="en-US"/>
        </w:rPr>
        <w:t xml:space="preserve"> with systemically significant prices</w:t>
      </w:r>
      <w:r w:rsidR="00710E8A" w:rsidRPr="000040EC">
        <w:rPr>
          <w:rFonts w:ascii="Times New Roman" w:hAnsi="Times New Roman" w:cs="Times New Roman"/>
          <w:lang w:val="en-US"/>
        </w:rPr>
        <w:t xml:space="preserve">. </w:t>
      </w:r>
      <w:r w:rsidR="00B464A8" w:rsidRPr="000040EC">
        <w:rPr>
          <w:rFonts w:ascii="Times New Roman" w:hAnsi="Times New Roman" w:cs="Times New Roman"/>
          <w:lang w:val="en-US"/>
        </w:rPr>
        <w:t>We cannot evaluate the impact of administered price simply by comparing the differences in level and evolution of a</w:t>
      </w:r>
      <w:r w:rsidR="002B302B" w:rsidRPr="000040EC">
        <w:rPr>
          <w:rFonts w:ascii="Times New Roman" w:hAnsi="Times New Roman" w:cs="Times New Roman"/>
          <w:lang w:val="en-US"/>
        </w:rPr>
        <w:t>n</w:t>
      </w:r>
      <w:r w:rsidR="00B464A8" w:rsidRPr="000040EC">
        <w:rPr>
          <w:rFonts w:ascii="Times New Roman" w:hAnsi="Times New Roman" w:cs="Times New Roman"/>
          <w:lang w:val="en-US"/>
        </w:rPr>
        <w:t xml:space="preserve"> administered prices-free CPI and one excluding them as such an approach overlooks prices interrelationships and potential cascade effects through the cost structures of the economy.</w:t>
      </w:r>
      <w:r w:rsidR="002B302B" w:rsidRPr="000040EC">
        <w:rPr>
          <w:rFonts w:ascii="Times New Roman" w:hAnsi="Times New Roman" w:cs="Times New Roman"/>
          <w:lang w:val="en-US"/>
        </w:rPr>
        <w:t xml:space="preserve"> This is especially relevant when price administration operates in sectors with systemically significant prices.</w:t>
      </w:r>
      <w:r w:rsidR="00097824" w:rsidRPr="000040EC">
        <w:rPr>
          <w:rFonts w:ascii="Times New Roman" w:hAnsi="Times New Roman" w:cs="Times New Roman"/>
          <w:lang w:val="en-US"/>
        </w:rPr>
        <w:t xml:space="preserve"> In the context of price stability, </w:t>
      </w:r>
      <w:r w:rsidR="00F30EDB" w:rsidRPr="000040EC">
        <w:rPr>
          <w:rFonts w:ascii="Times New Roman" w:hAnsi="Times New Roman" w:cs="Times New Roman"/>
          <w:lang w:val="en-US"/>
        </w:rPr>
        <w:t xml:space="preserve">the concept of systemically significant prices developed by </w:t>
      </w:r>
      <w:r w:rsidR="00F30EDB" w:rsidRPr="000040EC">
        <w:rPr>
          <w:rFonts w:ascii="Times New Roman" w:hAnsi="Times New Roman" w:cs="Times New Roman"/>
          <w:lang w:val="en-US"/>
        </w:rPr>
        <w:fldChar w:fldCharType="begin"/>
      </w:r>
      <w:r w:rsidR="007B0599" w:rsidRPr="000040EC">
        <w:rPr>
          <w:rFonts w:ascii="Times New Roman" w:hAnsi="Times New Roman" w:cs="Times New Roman"/>
          <w:lang w:val="en-US"/>
        </w:rPr>
        <w:instrText xml:space="preserve"> ADDIN ZOTERO_ITEM CSL_CITATION {"citationID":"I4rdK7le","properties":{"formattedCitation":"(Weber et al. 2024)","plainCitation":"(Weber et al. 2024)","dontUpdate":true,"noteIndex":0},"citationItems":[{"id":4944,"uris":["http://zotero.org/groups/6311349/items/I2LQMEPA"],"itemData":{"id":4944,"type":"article-journal","abstract":"In the overlapping global emergencies of the pandemic, climate change and geopolitical confrontations, supply shocks have become frequent and inflation has returned. This raises the question of how sector-specific shocks are related to overall price stability. This paper simulates price shocks in an input–output model to identify sectors which present systemic vulnerabilities for monetary stability in the United States. We call these prices systemically significant. We find that in our simulations the pre-pandemic average price volatilities and the price shocks in the COVID-19 and Ukraine war inflation yield an almost identical set of systemically significant prices. The sectors with systemically significant prices fall into four groups: energy, basic production inputs other than energy, basic necessities, and commercial infrastructure. Specifically, they are “Petroleum and coal products,” “Oil and gas extraction,” “Utilities,” “Chemical products,” “Farms,” “Food and beverage and tobacco products,” “Housing,” and “Wholesale trade.” We argue that in times of overlapping emergencies, economic stabilization needs to go beyond monetary policy and requires institutions and policies that can target these systemically significant sectors.","container-title":"Industrial and Corporate Change","DOI":"10.1093/icc/dtad080","ISSN":"0960-6491","issue":"2","journalAbbreviation":"Ind Corp Change","page":"297-341","source":"Silverchair","title":"Inflation in times of overlapping emergencies: Systemically significant prices from an input–output perspective","title-short":"Inflation in times of overlapping emergencies","volume":"33","author":[{"family":"Weber","given":"Isabella M"},{"family":"Lara Jauregui","given":"Jesus"},{"family":"Teixeira","given":"Lucas"},{"family":"Nassif Pires","given":"Luiza"}],"issued":{"date-parts":[["2024",4,1]]}}}],"schema":"https://github.com/citation-style-language/schema/raw/master/csl-citation.json"} </w:instrText>
      </w:r>
      <w:r w:rsidR="00F30EDB" w:rsidRPr="000040EC">
        <w:rPr>
          <w:rFonts w:ascii="Times New Roman" w:hAnsi="Times New Roman" w:cs="Times New Roman"/>
          <w:lang w:val="en-US"/>
        </w:rPr>
        <w:fldChar w:fldCharType="separate"/>
      </w:r>
      <w:r w:rsidR="00F30EDB" w:rsidRPr="000040EC">
        <w:rPr>
          <w:rFonts w:ascii="Times New Roman" w:hAnsi="Times New Roman" w:cs="Times New Roman"/>
          <w:lang w:val="en-US"/>
        </w:rPr>
        <w:t>Weber et al. (2024)</w:t>
      </w:r>
      <w:r w:rsidR="00F30EDB" w:rsidRPr="000040EC">
        <w:rPr>
          <w:rFonts w:ascii="Times New Roman" w:hAnsi="Times New Roman" w:cs="Times New Roman"/>
          <w:lang w:val="en-US"/>
        </w:rPr>
        <w:fldChar w:fldCharType="end"/>
      </w:r>
      <w:r w:rsidR="00F30EDB" w:rsidRPr="000040EC">
        <w:rPr>
          <w:rFonts w:ascii="Times New Roman" w:hAnsi="Times New Roman" w:cs="Times New Roman"/>
          <w:lang w:val="en-US"/>
        </w:rPr>
        <w:t xml:space="preserve"> (after </w:t>
      </w:r>
      <w:r w:rsidR="00F30EDB" w:rsidRPr="000040EC">
        <w:rPr>
          <w:rFonts w:ascii="Times New Roman" w:hAnsi="Times New Roman" w:cs="Times New Roman"/>
          <w:lang w:val="en-US"/>
        </w:rPr>
        <w:fldChar w:fldCharType="begin"/>
      </w:r>
      <w:r w:rsidR="00C044BD" w:rsidRPr="000040EC">
        <w:rPr>
          <w:rFonts w:ascii="Times New Roman" w:hAnsi="Times New Roman" w:cs="Times New Roman"/>
          <w:lang w:val="en-US"/>
        </w:rPr>
        <w:instrText xml:space="preserve"> ADDIN ZOTERO_ITEM CSL_CITATION {"citationID":"2EzF4PzN","properties":{"formattedCitation":"(Hockett and Omarova 2016)","plainCitation":"(Hockett and Omarova 2016)","dontUpdate":true,"noteIndex":0},"citationItems":[{"id":6704,"uris":["http://zotero.org/groups/6311349/items/NZ4TQUBJ"],"itemData":{"id":6704,"type":"article-journal","abstract":"Some prices and indices in domestic or global markets take on particular market-wide importance. This can occur either because (i) they are associated with ubiquitous inputs to production, (ii) they are associated with highly popular asset classes, (iii) by convention they tend to be used as benchmarks in determining other prices, or (iv) some combination of the above.  Examples include prevailing wage and salary rates, certain energy and commodity prices, and such indices and borrowing rates as the Standard &amp;amp; Poor’s 500, the Federal Funds Rate, and the Libor and Euribor interbank lending rate benchmarks.We call such prices and indices ‘systemically important’ prices and indices, or ‘SIPIs’. Over the long term, these prices and indices tend towards certain statistical mean values that reflect determinants that can plausibly be treated as ‘fundamentals’, be these demographic, technological, or global-quantity-rooted in character.  At times, however, SIPIs can move out of alignment with mean values and associated fundamentals owing to distortions stemming from missing information, recursive collective action problems (including ‘noise’ trading and ‘herd’ behaviour), or even deliberately manipulative behaviour on the part of influential or colluding market actors. We develop a general account of systemically important prices and indices as well as of the market vulnerabilities to which they can give rise. We then develop a menu of regulatory strategies for addressing these vulnerabilities in manners that protect markets’ capacities to translate fundamental values into (more) accurate prices or indices when such prices or indices are systemically important.  Key to the effort is recognizing that what we propose is in some cases what regulators are committed to doing already in maintaining market integrity, and in other cases is what central banks do already in determining appropriate money rental (‘interest‘) rates and securing them through open market operations.","container-title":"Journal of Financial Regulation","DOI":"10.1093/jfr/fjw007","ISSN":"2053-4833","issue":"1","journalAbbreviation":"J Financ Regul","page":"1-20","source":"Silverchair","title":"Systemically Significant Prices","volume":"2","author":[{"family":"Hockett","given":"Robert C."},{"family":"Omarova","given":"Saule T."}],"issued":{"date-parts":[["2016",3,1]]}}}],"schema":"https://github.com/citation-style-language/schema/raw/master/csl-citation.json"} </w:instrText>
      </w:r>
      <w:r w:rsidR="00F30EDB" w:rsidRPr="000040EC">
        <w:rPr>
          <w:rFonts w:ascii="Times New Roman" w:hAnsi="Times New Roman" w:cs="Times New Roman"/>
          <w:lang w:val="en-US"/>
        </w:rPr>
        <w:fldChar w:fldCharType="separate"/>
      </w:r>
      <w:r w:rsidR="00F30EDB" w:rsidRPr="000040EC">
        <w:rPr>
          <w:rFonts w:ascii="Times New Roman" w:hAnsi="Times New Roman" w:cs="Times New Roman"/>
          <w:lang w:val="en-US"/>
        </w:rPr>
        <w:t>Hockett and Omarova (2016)</w:t>
      </w:r>
      <w:r w:rsidR="00F30EDB" w:rsidRPr="000040EC">
        <w:rPr>
          <w:rFonts w:ascii="Times New Roman" w:hAnsi="Times New Roman" w:cs="Times New Roman"/>
          <w:lang w:val="en-US"/>
        </w:rPr>
        <w:fldChar w:fldCharType="end"/>
      </w:r>
      <w:r w:rsidR="00F30EDB" w:rsidRPr="000040EC">
        <w:rPr>
          <w:rFonts w:ascii="Times New Roman" w:hAnsi="Times New Roman" w:cs="Times New Roman"/>
          <w:lang w:val="en-US"/>
        </w:rPr>
        <w:t>) refer</w:t>
      </w:r>
      <w:r w:rsidR="003C705A" w:rsidRPr="000040EC">
        <w:rPr>
          <w:rFonts w:ascii="Times New Roman" w:hAnsi="Times New Roman" w:cs="Times New Roman"/>
          <w:lang w:val="en-US"/>
        </w:rPr>
        <w:t>s</w:t>
      </w:r>
      <w:r w:rsidR="004B46A3" w:rsidRPr="000040EC">
        <w:rPr>
          <w:rFonts w:ascii="Times New Roman" w:hAnsi="Times New Roman" w:cs="Times New Roman"/>
          <w:lang w:val="en-US"/>
        </w:rPr>
        <w:t xml:space="preserve"> to prices which have a considerable impact on the general price level measured by the CPI. </w:t>
      </w:r>
      <w:r w:rsidR="00EB26C4" w:rsidRPr="000040EC">
        <w:rPr>
          <w:rFonts w:ascii="Times New Roman" w:hAnsi="Times New Roman" w:cs="Times New Roman"/>
          <w:lang w:val="en-US"/>
        </w:rPr>
        <w:t xml:space="preserve">Prices should not therefore be analyzed in isolation, but as part of a complex interdependent input-output system in which shocks to some prices matter more than others since they will have a greater impact on overall inflation due to the ubiquity of their products. The interest of this approach is thus to identify </w:t>
      </w:r>
      <w:r w:rsidR="007D40EB" w:rsidRPr="000040EC">
        <w:rPr>
          <w:rFonts w:ascii="Times New Roman" w:hAnsi="Times New Roman" w:cs="Times New Roman"/>
          <w:lang w:val="en-US"/>
        </w:rPr>
        <w:t>specific points</w:t>
      </w:r>
      <w:r w:rsidR="00EB26C4" w:rsidRPr="000040EC">
        <w:rPr>
          <w:rFonts w:ascii="Times New Roman" w:hAnsi="Times New Roman" w:cs="Times New Roman"/>
          <w:lang w:val="en-US"/>
        </w:rPr>
        <w:t xml:space="preserve"> of vulnerability among prices that matter the most for inflation, considering the cost relationships between sectors.</w:t>
      </w:r>
    </w:p>
    <w:p w14:paraId="63A53026" w14:textId="7C5238CF" w:rsidR="007B0599" w:rsidRPr="000040EC" w:rsidRDefault="00351431" w:rsidP="00835200">
      <w:pPr>
        <w:jc w:val="both"/>
        <w:rPr>
          <w:rFonts w:ascii="Times New Roman" w:hAnsi="Times New Roman" w:cs="Times New Roman"/>
          <w:lang w:val="en-US"/>
        </w:rPr>
      </w:pPr>
      <w:r w:rsidRPr="000040EC">
        <w:rPr>
          <w:rFonts w:ascii="Times New Roman" w:hAnsi="Times New Roman" w:cs="Times New Roman"/>
          <w:lang w:val="en-US"/>
        </w:rPr>
        <w:t xml:space="preserve">The foundational study by </w:t>
      </w:r>
      <w:r w:rsidRPr="000040EC">
        <w:rPr>
          <w:rFonts w:ascii="Times New Roman" w:hAnsi="Times New Roman" w:cs="Times New Roman"/>
          <w:lang w:val="en-US"/>
        </w:rPr>
        <w:fldChar w:fldCharType="begin"/>
      </w:r>
      <w:r w:rsidR="007B0599" w:rsidRPr="000040EC">
        <w:rPr>
          <w:rFonts w:ascii="Times New Roman" w:hAnsi="Times New Roman" w:cs="Times New Roman"/>
          <w:lang w:val="en-US"/>
        </w:rPr>
        <w:instrText xml:space="preserve"> ADDIN ZOTERO_ITEM CSL_CITATION {"citationID":"AEUcrdhb","properties":{"formattedCitation":"(Weber et al. 2024)","plainCitation":"(Weber et al. 2024)","dontUpdate":true,"noteIndex":0},"citationItems":[{"id":4944,"uris":["http://zotero.org/groups/6311349/items/I2LQMEPA"],"itemData":{"id":4944,"type":"article-journal","abstract":"In the overlapping global emergencies of the pandemic, climate change and geopolitical confrontations, supply shocks have become frequent and inflation has returned. This raises the question of how sector-specific shocks are related to overall price stability. This paper simulates price shocks in an input–output model to identify sectors which present systemic vulnerabilities for monetary stability in the United States. We call these prices systemically significant. We find that in our simulations the pre-pandemic average price volatilities and the price shocks in the COVID-19 and Ukraine war inflation yield an almost identical set of systemically significant prices. The sectors with systemically significant prices fall into four groups: energy, basic production inputs other than energy, basic necessities, and commercial infrastructure. Specifically, they are “Petroleum and coal products,” “Oil and gas extraction,” “Utilities,” “Chemical products,” “Farms,” “Food and beverage and tobacco products,” “Housing,” and “Wholesale trade.” We argue that in times of overlapping emergencies, economic stabilization needs to go beyond monetary policy and requires institutions and policies that can target these systemically significant sectors.","container-title":"Industrial and Corporate Change","DOI":"10.1093/icc/dtad080","ISSN":"0960-6491","issue":"2","journalAbbreviation":"Ind Corp Change","page":"297-341","source":"Silverchair","title":"Inflation in times of overlapping emergencies: Systemically significant prices from an input–output perspective","title-short":"Inflation in times of overlapping emergencies","volume":"33","author":[{"family":"Weber","given":"Isabella M"},{"family":"Lara Jauregui","given":"Jesus"},{"family":"Teixeira","given":"Lucas"},{"family":"Nassif Pires","given":"Luiza"}],"issued":{"date-parts":[["2024",4,1]]}}}],"schema":"https://github.com/citation-style-language/schema/raw/master/csl-citation.json"} </w:instrText>
      </w:r>
      <w:r w:rsidRPr="000040EC">
        <w:rPr>
          <w:rFonts w:ascii="Times New Roman" w:hAnsi="Times New Roman" w:cs="Times New Roman"/>
          <w:lang w:val="en-US"/>
        </w:rPr>
        <w:fldChar w:fldCharType="separate"/>
      </w:r>
      <w:r w:rsidRPr="000040EC">
        <w:rPr>
          <w:rFonts w:ascii="Times New Roman" w:hAnsi="Times New Roman" w:cs="Times New Roman"/>
          <w:lang w:val="en-US"/>
        </w:rPr>
        <w:t>Weber et al. (2024)</w:t>
      </w:r>
      <w:r w:rsidRPr="000040EC">
        <w:rPr>
          <w:rFonts w:ascii="Times New Roman" w:hAnsi="Times New Roman" w:cs="Times New Roman"/>
          <w:lang w:val="en-US"/>
        </w:rPr>
        <w:fldChar w:fldCharType="end"/>
      </w:r>
      <w:r w:rsidRPr="000040EC">
        <w:rPr>
          <w:rFonts w:ascii="Times New Roman" w:hAnsi="Times New Roman" w:cs="Times New Roman"/>
          <w:lang w:val="en-US"/>
        </w:rPr>
        <w:t xml:space="preserve"> captured these cost-prices interrelationships using a Leontief price model on input-output table for the US economy in which they ran simulation shocks to explore how price volatility in each sector propagates through indirect and direct effect on </w:t>
      </w:r>
      <w:r w:rsidR="007D40EB" w:rsidRPr="000040EC">
        <w:rPr>
          <w:rFonts w:ascii="Times New Roman" w:hAnsi="Times New Roman" w:cs="Times New Roman"/>
          <w:lang w:val="en-US"/>
        </w:rPr>
        <w:t>CPI inflation</w:t>
      </w:r>
      <w:r w:rsidRPr="000040EC">
        <w:rPr>
          <w:rFonts w:ascii="Times New Roman" w:hAnsi="Times New Roman" w:cs="Times New Roman"/>
          <w:lang w:val="en-US"/>
        </w:rPr>
        <w:t xml:space="preserve">. </w:t>
      </w:r>
      <w:r w:rsidR="00E14A52" w:rsidRPr="000040EC">
        <w:rPr>
          <w:rFonts w:ascii="Times New Roman" w:hAnsi="Times New Roman" w:cs="Times New Roman"/>
          <w:lang w:val="en-US"/>
        </w:rPr>
        <w:t>The results of their simulations of price shocks identified petroleum &amp; coal</w:t>
      </w:r>
      <w:r w:rsidR="00510BC8" w:rsidRPr="000040EC">
        <w:rPr>
          <w:rFonts w:ascii="Times New Roman" w:hAnsi="Times New Roman" w:cs="Times New Roman"/>
          <w:lang w:val="en-US"/>
        </w:rPr>
        <w:t xml:space="preserve"> and</w:t>
      </w:r>
      <w:r w:rsidR="00E14A52" w:rsidRPr="000040EC">
        <w:rPr>
          <w:rFonts w:ascii="Times New Roman" w:hAnsi="Times New Roman" w:cs="Times New Roman"/>
          <w:lang w:val="en-US"/>
        </w:rPr>
        <w:t xml:space="preserve"> oil &amp; gas as the most systemically significant prices considering their price volatility for the period 2000-2022, followed by other items such as food, farming, chemicals, housing or wholesale trade.</w:t>
      </w:r>
      <w:r w:rsidR="007B0599" w:rsidRPr="000040EC">
        <w:rPr>
          <w:rFonts w:ascii="Times New Roman" w:hAnsi="Times New Roman" w:cs="Times New Roman"/>
          <w:lang w:val="en-US"/>
        </w:rPr>
        <w:t xml:space="preserve"> In other words, they group three types of systemically significant sectors: those essential for human livelihood such as food, housing and utilities; those providing for the infrastructure of commerce such as wholesale trade; and those that provide key production inputs like oil, petroleum and chemicals. This typology of systemically significant sectors</w:t>
      </w:r>
      <w:r w:rsidR="00D54014" w:rsidRPr="000040EC">
        <w:rPr>
          <w:rFonts w:ascii="Times New Roman" w:hAnsi="Times New Roman" w:cs="Times New Roman"/>
          <w:lang w:val="en-US"/>
        </w:rPr>
        <w:t xml:space="preserve"> as well of their overall results</w:t>
      </w:r>
      <w:r w:rsidR="007B0599" w:rsidRPr="000040EC">
        <w:rPr>
          <w:rFonts w:ascii="Times New Roman" w:hAnsi="Times New Roman" w:cs="Times New Roman"/>
          <w:lang w:val="en-US"/>
        </w:rPr>
        <w:t xml:space="preserve"> </w:t>
      </w:r>
      <w:r w:rsidR="00D54014" w:rsidRPr="000040EC">
        <w:rPr>
          <w:rFonts w:ascii="Times New Roman" w:hAnsi="Times New Roman" w:cs="Times New Roman"/>
          <w:lang w:val="en-US"/>
        </w:rPr>
        <w:t xml:space="preserve">were </w:t>
      </w:r>
      <w:r w:rsidR="007B0599" w:rsidRPr="000040EC">
        <w:rPr>
          <w:rFonts w:ascii="Times New Roman" w:hAnsi="Times New Roman" w:cs="Times New Roman"/>
          <w:lang w:val="en-US"/>
        </w:rPr>
        <w:t xml:space="preserve">confirmed </w:t>
      </w:r>
      <w:r w:rsidR="00D54014" w:rsidRPr="000040EC">
        <w:rPr>
          <w:rFonts w:ascii="Times New Roman" w:hAnsi="Times New Roman" w:cs="Times New Roman"/>
          <w:lang w:val="en-US"/>
        </w:rPr>
        <w:t xml:space="preserve">in subsequent studies for instance </w:t>
      </w:r>
      <w:r w:rsidR="007B0599" w:rsidRPr="000040EC">
        <w:rPr>
          <w:rFonts w:ascii="Times New Roman" w:hAnsi="Times New Roman" w:cs="Times New Roman"/>
          <w:lang w:val="en-US"/>
        </w:rPr>
        <w:t xml:space="preserve">by </w:t>
      </w:r>
      <w:r w:rsidR="007B0599" w:rsidRPr="000040EC">
        <w:rPr>
          <w:rFonts w:ascii="Times New Roman" w:hAnsi="Times New Roman" w:cs="Times New Roman"/>
          <w:lang w:val="en-US"/>
        </w:rPr>
        <w:fldChar w:fldCharType="begin"/>
      </w:r>
      <w:r w:rsidR="00C044BD" w:rsidRPr="000040EC">
        <w:rPr>
          <w:rFonts w:ascii="Times New Roman" w:hAnsi="Times New Roman" w:cs="Times New Roman"/>
          <w:lang w:val="en-US"/>
        </w:rPr>
        <w:instrText xml:space="preserve"> ADDIN ZOTERO_ITEM CSL_CITATION {"citationID":"g4aZEgwN","properties":{"formattedCitation":"(Weber et al. 2026)","plainCitation":"(Weber et al. 2026)","dontUpdate":true,"noteIndex":0},"citationItems":[{"id":6586,"uris":["http://zotero.org/groups/6311349/items/8YS97DDS"],"itemData":{"id":6586,"type":"article-journal","abstract":"Climate change and geopolitical tensions render supply shocks more likely, which can trigger inflation (“shockflation”). Additionally, the EU's reliance upon an emissions trading system as its chief climate mitigation policy can give rise to inflation (“carbonflation”). Through simulations using an input-output price model for Germany, we show that the same systemically significant sectors – those essential for human livelihoods, production and commerce – present points of vulnerability for shockflation and also carbonflation, if carbon markets are the only policy tool deployed to cut emissions. A total of up to 91.3 percent of potential carbonflation can be attributed to just six systemically significant sectors. Our findings remain robust under varying assumptions regarding substitution and passthrough effects. We identify three pathways to systemic significance: CPI weight, price volatility and upstreamness. This can inform decarbonization policies that pursue both a green transition of the energy system and stabilization.","container-title":"Energy Policy","DOI":"10.1016/j.enpol.2026.115395","ISSN":"0301-4215","journalAbbreviation":"Energy Policy","page":"115395","source":"ScienceDirect","title":"Carbon prices and inflation in a world of shocks: Systemically significant prices and industrial policy targeting in Germany","title-short":"Carbon prices and inflation in a world of shocks","volume":"217","author":[{"family":"Weber","given":"Isabella M."},{"family":"Thie","given":"Jan-Erik"},{"family":"Jauregui","given":"Jesus Lara"},{"family":"Teixeira","given":"Lucas"}],"issued":{"date-parts":[["2026",10,1]]}}}],"schema":"https://github.com/citation-style-language/schema/raw/master/csl-citation.json"} </w:instrText>
      </w:r>
      <w:r w:rsidR="007B0599" w:rsidRPr="000040EC">
        <w:rPr>
          <w:rFonts w:ascii="Times New Roman" w:hAnsi="Times New Roman" w:cs="Times New Roman"/>
          <w:lang w:val="en-US"/>
        </w:rPr>
        <w:fldChar w:fldCharType="separate"/>
      </w:r>
      <w:r w:rsidR="007B0599" w:rsidRPr="000040EC">
        <w:rPr>
          <w:rFonts w:ascii="Times New Roman" w:hAnsi="Times New Roman" w:cs="Times New Roman"/>
          <w:lang w:val="en-US"/>
        </w:rPr>
        <w:t>Weber et al. (2026)</w:t>
      </w:r>
      <w:r w:rsidR="007B0599" w:rsidRPr="000040EC">
        <w:rPr>
          <w:rFonts w:ascii="Times New Roman" w:hAnsi="Times New Roman" w:cs="Times New Roman"/>
          <w:lang w:val="en-US"/>
        </w:rPr>
        <w:fldChar w:fldCharType="end"/>
      </w:r>
      <w:r w:rsidR="007B0599" w:rsidRPr="000040EC">
        <w:rPr>
          <w:rFonts w:ascii="Times New Roman" w:hAnsi="Times New Roman" w:cs="Times New Roman"/>
          <w:lang w:val="en-US"/>
        </w:rPr>
        <w:t xml:space="preserve"> for the German economy</w:t>
      </w:r>
      <w:r w:rsidR="00D54014" w:rsidRPr="000040EC">
        <w:rPr>
          <w:rFonts w:ascii="Times New Roman" w:hAnsi="Times New Roman" w:cs="Times New Roman"/>
          <w:lang w:val="en-US"/>
        </w:rPr>
        <w:t xml:space="preserve"> and </w:t>
      </w:r>
      <w:r w:rsidR="0086370E" w:rsidRPr="000040EC">
        <w:rPr>
          <w:rFonts w:ascii="Times New Roman" w:hAnsi="Times New Roman" w:cs="Times New Roman"/>
          <w:lang w:val="en-US"/>
        </w:rPr>
        <w:fldChar w:fldCharType="begin"/>
      </w:r>
      <w:r w:rsidR="00C044BD" w:rsidRPr="000040EC">
        <w:rPr>
          <w:rFonts w:ascii="Times New Roman" w:hAnsi="Times New Roman" w:cs="Times New Roman"/>
          <w:lang w:val="en-US"/>
        </w:rPr>
        <w:instrText xml:space="preserve"> ADDIN ZOTERO_ITEM CSL_CITATION {"citationID":"GIPrjWvE","properties":{"formattedCitation":"(Goldztejn 2024)","plainCitation":"(Goldztejn 2024)","dontUpdate":true,"noteIndex":0},"citationItems":[{"id":6700,"uris":["http://zotero.org/groups/6311349/items/I3H2DAXF"],"itemData":{"id":6700,"type":"report","abstract":"In this paper, we analyse the recent inflation period (2021-2023) in the case of France. We first study the cost-push dimension of inflation with an Input-Output price model (Leontief price model) using the methodology developed by Weber et al (2024) for the USA, which we extend to include the sensitivity of the CPI to import prices; this allows us to identify, in the case of France, the 'systemically significant' sectors as defined by Weber et al (2024) (after Hockett &amp; Omarova (2016)). In the second part, based on detailed National Accounts data, we study the evolution of price components and value sharing, accounting for the sector heterogeneity of the dynamics. In this section, we also provide elements to the debate on 'profit inflation'. Based on the results obtained, it seems that the term 'cost-push-profit-led inflation' (Nikiforos et al (2024)) appropriately describes the phenomenon observed in France over the period studied. These results call for a rethinking and renewing of the policy toolbox against inflation. These considerations prove particularly relevant in the context of ecological transition, because of the various issues it raises: in terms of energy, raw materials and provisioning (Miller et al (2023)), but also of satisfying essential needs through the production and distribution of specific goods and services in a post-growth context (Doyal &amp; Gough (1984), Briens (2015), Millward-Hopkins (2020), Durand et al (2024)).","genre":"Working Paper","language":"eng","license":"https://www.econstor.eu/dspace/Nutzungsbedingungen","number":"110","publisher":"FMM Working Paper","source":"www.econstor.eu","title":"Cost-push and conflict inflation: The case of France between 2021 and 2023","title-short":"Cost-push and conflict inflation","URL":"https://www.econstor.eu/handle/10419/324475","author":[{"family":"Goldztejn","given":"Dimitri"}],"accessed":{"date-parts":[["2026",7,13]]},"issued":{"date-parts":[["2024"]]}}}],"schema":"https://github.com/citation-style-language/schema/raw/master/csl-citation.json"} </w:instrText>
      </w:r>
      <w:r w:rsidR="0086370E" w:rsidRPr="000040EC">
        <w:rPr>
          <w:rFonts w:ascii="Times New Roman" w:hAnsi="Times New Roman" w:cs="Times New Roman"/>
          <w:lang w:val="en-US"/>
        </w:rPr>
        <w:fldChar w:fldCharType="separate"/>
      </w:r>
      <w:r w:rsidR="0086370E" w:rsidRPr="000040EC">
        <w:rPr>
          <w:rFonts w:ascii="Times New Roman" w:hAnsi="Times New Roman" w:cs="Times New Roman"/>
          <w:lang w:val="en-US"/>
        </w:rPr>
        <w:t>Goldztejn (2024)</w:t>
      </w:r>
      <w:r w:rsidR="0086370E" w:rsidRPr="000040EC">
        <w:rPr>
          <w:rFonts w:ascii="Times New Roman" w:hAnsi="Times New Roman" w:cs="Times New Roman"/>
          <w:lang w:val="en-US"/>
        </w:rPr>
        <w:fldChar w:fldCharType="end"/>
      </w:r>
      <w:r w:rsidR="00D54014" w:rsidRPr="000040EC">
        <w:rPr>
          <w:rFonts w:ascii="Times New Roman" w:hAnsi="Times New Roman" w:cs="Times New Roman"/>
          <w:lang w:val="en-US"/>
        </w:rPr>
        <w:t xml:space="preserve"> for France.</w:t>
      </w:r>
      <w:r w:rsidR="0086370E" w:rsidRPr="000040EC">
        <w:rPr>
          <w:rFonts w:ascii="Times New Roman" w:hAnsi="Times New Roman" w:cs="Times New Roman"/>
          <w:lang w:val="en-US"/>
        </w:rPr>
        <w:t xml:space="preserve"> </w:t>
      </w:r>
      <w:r w:rsidR="009A0225" w:rsidRPr="000040EC">
        <w:rPr>
          <w:rFonts w:ascii="Times New Roman" w:hAnsi="Times New Roman" w:cs="Times New Roman"/>
          <w:lang w:val="en-US"/>
        </w:rPr>
        <w:t xml:space="preserve">Using the World Input Output Database rather than national input output tables, </w:t>
      </w:r>
      <w:r w:rsidR="009A0225" w:rsidRPr="000040EC">
        <w:rPr>
          <w:rFonts w:ascii="Times New Roman" w:hAnsi="Times New Roman" w:cs="Times New Roman"/>
          <w:lang w:val="en-US"/>
        </w:rPr>
        <w:fldChar w:fldCharType="begin"/>
      </w:r>
      <w:r w:rsidR="00C044BD" w:rsidRPr="000040EC">
        <w:rPr>
          <w:rFonts w:ascii="Times New Roman" w:hAnsi="Times New Roman" w:cs="Times New Roman"/>
          <w:lang w:val="en-US"/>
        </w:rPr>
        <w:instrText xml:space="preserve"> ADDIN ZOTERO_ITEM CSL_CITATION {"citationID":"vEpmvEfA","properties":{"formattedCitation":"(Ipsen et al. 2025)","plainCitation":"(Ipsen et al. 2025)","dontUpdate":true,"noteIndex":0},"citationItems":[{"id":6694,"uris":["http://zotero.org/groups/6311349/items/EYAZQBGE"],"itemData":{"id":6694,"type":"article-journal","abstract":"This paper documents asymmetries in price shock exposure for the EU, EU core and periphery within the global production network. Building on the foundational work of Weber et al. (2024a), we run a cost-push stress-test using data from the World Input Output Database to estimate a region’s exposure to globally originating and propagating price shocks. We confirm the existence of systemically significant sectors which dominate the overall price level. While the final goods price effects of various sectors are significant, about half are the result of higher-order propagation. This indirect effect is even larger for peripheral countries. Tracing disaggregated shock trajectories uncovers that price volatility originating in core and non-EU countries impacts the peripheral countries more than vice versa. Simultaneously, our method of recovering consumption substitution effects shows that substitution is more limited in the European periphery. The stark asymmetries in exposure have profound implications for fiscal and monetary policy.","container-title":"Structural Change and Economic Dynamics","DOI":"10.1016/j.strueco.2025.05.010","ISSN":"0954-349X","journalAbbreviation":"Structural Change and Economic Dynamics","page":"713-724","source":"ScienceDirect","title":"Stress-testing Inflation Exposure: Systemically significant prices and asymmetric shock propagation in the EU","title-short":"Stress-testing Inflation Exposure","volume":"74","author":[{"family":"Ipsen","given":"Leonhard"},{"family":"Aminian","given":"Armin"},{"family":"Schulz","given":"Jan"}],"issued":{"date-parts":[["2025",9,1]]}}}],"schema":"https://github.com/citation-style-language/schema/raw/master/csl-citation.json"} </w:instrText>
      </w:r>
      <w:r w:rsidR="009A0225" w:rsidRPr="000040EC">
        <w:rPr>
          <w:rFonts w:ascii="Times New Roman" w:hAnsi="Times New Roman" w:cs="Times New Roman"/>
          <w:lang w:val="en-US"/>
        </w:rPr>
        <w:fldChar w:fldCharType="separate"/>
      </w:r>
      <w:r w:rsidR="009A0225" w:rsidRPr="000040EC">
        <w:rPr>
          <w:rFonts w:ascii="Times New Roman" w:hAnsi="Times New Roman" w:cs="Times New Roman"/>
          <w:lang w:val="en-US"/>
        </w:rPr>
        <w:t xml:space="preserve">Ipsen et al. </w:t>
      </w:r>
      <w:r w:rsidR="009A0225" w:rsidRPr="000040EC">
        <w:rPr>
          <w:rFonts w:ascii="Times New Roman" w:hAnsi="Times New Roman" w:cs="Times New Roman"/>
          <w:lang w:val="en-US"/>
        </w:rPr>
        <w:lastRenderedPageBreak/>
        <w:t>(2025)</w:t>
      </w:r>
      <w:r w:rsidR="009A0225" w:rsidRPr="000040EC">
        <w:rPr>
          <w:rFonts w:ascii="Times New Roman" w:hAnsi="Times New Roman" w:cs="Times New Roman"/>
          <w:lang w:val="en-US"/>
        </w:rPr>
        <w:fldChar w:fldCharType="end"/>
      </w:r>
      <w:r w:rsidR="009A0225" w:rsidRPr="000040EC">
        <w:rPr>
          <w:rFonts w:ascii="Times New Roman" w:hAnsi="Times New Roman" w:cs="Times New Roman"/>
          <w:lang w:val="en-US"/>
        </w:rPr>
        <w:t xml:space="preserve"> ran cost-push stress tests to estimate </w:t>
      </w:r>
      <w:proofErr w:type="spellStart"/>
      <w:r w:rsidR="009A0225" w:rsidRPr="000040EC">
        <w:rPr>
          <w:rFonts w:ascii="Times New Roman" w:hAnsi="Times New Roman" w:cs="Times New Roman"/>
          <w:lang w:val="en-US"/>
        </w:rPr>
        <w:t>shockflation</w:t>
      </w:r>
      <w:proofErr w:type="spellEnd"/>
      <w:r w:rsidR="009A0225" w:rsidRPr="000040EC">
        <w:rPr>
          <w:rFonts w:ascii="Times New Roman" w:hAnsi="Times New Roman" w:cs="Times New Roman"/>
          <w:lang w:val="en-US"/>
        </w:rPr>
        <w:t xml:space="preserve"> exposure within the European Union (EU), distinguishing asymmetries of exposures between the EU core and periphery. On the one hand, </w:t>
      </w:r>
      <w:r w:rsidR="00B5790D" w:rsidRPr="000040EC">
        <w:rPr>
          <w:rFonts w:ascii="Times New Roman" w:hAnsi="Times New Roman" w:cs="Times New Roman"/>
          <w:lang w:val="en-US"/>
        </w:rPr>
        <w:t>they found that common systemically significant sectors in both the core and periphery include real estate activities, energy provision, financial services and food manufacturing. On the other hand, real estate is relatively more significant in the core while energy supply and production matter more in the periphery.</w:t>
      </w:r>
    </w:p>
    <w:p w14:paraId="3E6682A5" w14:textId="23BF9726" w:rsidR="00365D58" w:rsidRPr="000040EC" w:rsidRDefault="00941504" w:rsidP="00365D58">
      <w:pPr>
        <w:jc w:val="both"/>
        <w:rPr>
          <w:rFonts w:ascii="Times New Roman" w:hAnsi="Times New Roman" w:cs="Times New Roman"/>
          <w:lang w:val="en-US"/>
        </w:rPr>
      </w:pPr>
      <w:r w:rsidRPr="000040EC">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816465A" wp14:editId="343FE65E">
                <wp:simplePos x="0" y="0"/>
                <wp:positionH relativeFrom="column">
                  <wp:posOffset>635</wp:posOffset>
                </wp:positionH>
                <wp:positionV relativeFrom="paragraph">
                  <wp:posOffset>5863590</wp:posOffset>
                </wp:positionV>
                <wp:extent cx="5759450" cy="635"/>
                <wp:effectExtent l="0" t="0" r="0" b="0"/>
                <wp:wrapSquare wrapText="bothSides"/>
                <wp:docPr id="1043774006" name="Zone de text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B57DF9D" w14:textId="16F341F3" w:rsidR="00941504" w:rsidRPr="00E22F4B" w:rsidRDefault="00941504" w:rsidP="00941504">
                            <w:pPr>
                              <w:pStyle w:val="Lgende"/>
                              <w:rPr>
                                <w:rFonts w:ascii="Times New Roman" w:hAnsi="Times New Roman" w:cs="Times New Roman"/>
                                <w:i w:val="0"/>
                                <w:iCs w:val="0"/>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2</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xml:space="preserve">: Capture of annual inflation by profits and wages. Inflation is measured as percentage change in the gross value added (GVA) deflator (red line). Source: Author's own elaboration based </w:t>
                            </w:r>
                            <w:r w:rsidR="00BE7C70" w:rsidRPr="00E22F4B">
                              <w:rPr>
                                <w:rFonts w:ascii="Times New Roman" w:hAnsi="Times New Roman" w:cs="Times New Roman"/>
                                <w:i w:val="0"/>
                                <w:iCs w:val="0"/>
                                <w:color w:val="000000" w:themeColor="text1"/>
                                <w:sz w:val="24"/>
                                <w:szCs w:val="24"/>
                                <w:lang w:val="en-US"/>
                              </w:rPr>
                              <w:t xml:space="preserve">on data from the </w:t>
                            </w:r>
                            <w:r w:rsidRPr="00E22F4B">
                              <w:rPr>
                                <w:rFonts w:ascii="Times New Roman" w:hAnsi="Times New Roman" w:cs="Times New Roman"/>
                                <w:i w:val="0"/>
                                <w:iCs w:val="0"/>
                                <w:color w:val="000000" w:themeColor="text1"/>
                                <w:sz w:val="24"/>
                                <w:szCs w:val="24"/>
                                <w:lang w:val="en-US"/>
                              </w:rPr>
                              <w:t>Swiss Secretariat of Economic Affaire (SECO).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6465A" id="_x0000_s1027" type="#_x0000_t202" style="position:absolute;left:0;text-align:left;margin-left:.05pt;margin-top:461.7pt;width:4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qGAIAAD8EAAAOAAAAZHJzL2Uyb0RvYy54bWysU8Fu2zAMvQ/YPwi6L066pduMOEWWIsOA&#10;oi2QDj0rshwLkEWNUmJnXz9KtpOu22nYRaZJihTfe1zcdI1hR4Vegy34bDLlTFkJpbb7gn9/2rz7&#10;xJkPwpbCgFUFPynPb5Zv3yxal6srqMGUChkVsT5vXcHrEFyeZV7WqhF+Ak5ZClaAjQj0i/usRNFS&#10;9cZkV9PpddYClg5BKu/Je9sH+TLVryolw0NVeRWYKTi9LaQT07mLZ7ZciHyPwtVaDs8Q//CKRmhL&#10;Tc+lbkUQ7ID6j1KNlggeqjCR0GRQVVqqNANNM5u+mmZbC6fSLASOd2eY/P8rK++PW/eILHRfoCMC&#10;IyCt87knZ5ynq7CJX3opozhBeDrDprrAJDnnH+efP8wpJCl2/X4e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Jge3u98AAAAIAQAADwAAAGRycy9kb3ducmV2LnhtbEyPwU7DMBBE70j9B2sr&#10;cUHUoQ2lTeNUVQUHeqkIvXBz420ciNeR7bTh73G5wHFmVrNv8vVgWnZG5xtLAh4mCTCkyqqGagGH&#10;95f7BTAfJCnZWkIB3+hhXYxucpkpe6E3PJehZrGEfCYF6BC6jHNfaTTST2yHFLOTdUaGKF3NlZOX&#10;WG5aPk2SOTeyofhByw63GquvsjcC9unHXt/1p+fdJp2510O/nX/WpRC342GzAhZwCH/HcMWP6FBE&#10;pqPtSXnWXjULApbTWQosxsvkKTrHX+cReJHz/wOKHwAAAP//AwBQSwECLQAUAAYACAAAACEAtoM4&#10;kv4AAADhAQAAEwAAAAAAAAAAAAAAAAAAAAAAW0NvbnRlbnRfVHlwZXNdLnhtbFBLAQItABQABgAI&#10;AAAAIQA4/SH/1gAAAJQBAAALAAAAAAAAAAAAAAAAAC8BAABfcmVscy8ucmVsc1BLAQItABQABgAI&#10;AAAAIQDcj/MqGAIAAD8EAAAOAAAAAAAAAAAAAAAAAC4CAABkcnMvZTJvRG9jLnhtbFBLAQItABQA&#10;BgAIAAAAIQAmB7e73wAAAAgBAAAPAAAAAAAAAAAAAAAAAHIEAABkcnMvZG93bnJldi54bWxQSwUG&#10;AAAAAAQABADzAAAAfgUAAAAA&#10;" stroked="f">
                <v:textbox style="mso-fit-shape-to-text:t" inset="0,0,0,0">
                  <w:txbxContent>
                    <w:p w14:paraId="2B57DF9D" w14:textId="16F341F3" w:rsidR="00941504" w:rsidRPr="00E22F4B" w:rsidRDefault="00941504" w:rsidP="00941504">
                      <w:pPr>
                        <w:pStyle w:val="Lgende"/>
                        <w:rPr>
                          <w:rFonts w:ascii="Times New Roman" w:hAnsi="Times New Roman" w:cs="Times New Roman"/>
                          <w:i w:val="0"/>
                          <w:iCs w:val="0"/>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2</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xml:space="preserve">: Capture of annual inflation by profits and wages. Inflation is measured as percentage change in the gross value added (GVA) deflator (red line). Source: Author's own elaboration based </w:t>
                      </w:r>
                      <w:r w:rsidR="00BE7C70" w:rsidRPr="00E22F4B">
                        <w:rPr>
                          <w:rFonts w:ascii="Times New Roman" w:hAnsi="Times New Roman" w:cs="Times New Roman"/>
                          <w:i w:val="0"/>
                          <w:iCs w:val="0"/>
                          <w:color w:val="000000" w:themeColor="text1"/>
                          <w:sz w:val="24"/>
                          <w:szCs w:val="24"/>
                          <w:lang w:val="en-US"/>
                        </w:rPr>
                        <w:t xml:space="preserve">on data from the </w:t>
                      </w:r>
                      <w:r w:rsidRPr="00E22F4B">
                        <w:rPr>
                          <w:rFonts w:ascii="Times New Roman" w:hAnsi="Times New Roman" w:cs="Times New Roman"/>
                          <w:i w:val="0"/>
                          <w:iCs w:val="0"/>
                          <w:color w:val="000000" w:themeColor="text1"/>
                          <w:sz w:val="24"/>
                          <w:szCs w:val="24"/>
                          <w:lang w:val="en-US"/>
                        </w:rPr>
                        <w:t>Swiss Secretariat of Economic Affaire (SECO).</w:t>
                      </w:r>
                    </w:p>
                  </w:txbxContent>
                </v:textbox>
                <w10:wrap type="square"/>
              </v:shape>
            </w:pict>
          </mc:Fallback>
        </mc:AlternateContent>
      </w:r>
      <w:r w:rsidR="00365D58" w:rsidRPr="000040EC">
        <w:rPr>
          <w:rFonts w:ascii="Times New Roman" w:hAnsi="Times New Roman" w:cs="Times New Roman"/>
          <w:noProof/>
          <w:lang w:val="en-US"/>
        </w:rPr>
        <w:drawing>
          <wp:anchor distT="0" distB="0" distL="114300" distR="114300" simplePos="0" relativeHeight="251658240" behindDoc="0" locked="0" layoutInCell="1" allowOverlap="1" wp14:anchorId="6F9A8687" wp14:editId="52A0B8D1">
            <wp:simplePos x="0" y="0"/>
            <wp:positionH relativeFrom="margin">
              <wp:align>center</wp:align>
            </wp:positionH>
            <wp:positionV relativeFrom="paragraph">
              <wp:posOffset>1691640</wp:posOffset>
            </wp:positionV>
            <wp:extent cx="5759450" cy="4114800"/>
            <wp:effectExtent l="0" t="0" r="0" b="0"/>
            <wp:wrapSquare wrapText="bothSides"/>
            <wp:docPr id="6280258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4114800"/>
                    </a:xfrm>
                    <a:prstGeom prst="rect">
                      <a:avLst/>
                    </a:prstGeom>
                    <a:noFill/>
                    <a:ln>
                      <a:noFill/>
                    </a:ln>
                  </pic:spPr>
                </pic:pic>
              </a:graphicData>
            </a:graphic>
          </wp:anchor>
        </w:drawing>
      </w:r>
      <w:r w:rsidR="00595F0E" w:rsidRPr="000040EC">
        <w:rPr>
          <w:rFonts w:ascii="Times New Roman" w:hAnsi="Times New Roman" w:cs="Times New Roman"/>
          <w:lang w:val="en-US"/>
        </w:rPr>
        <w:t xml:space="preserve">Sectors with systemically significant prices play a great role </w:t>
      </w:r>
      <w:r w:rsidR="002644FF" w:rsidRPr="000040EC">
        <w:rPr>
          <w:rFonts w:ascii="Times New Roman" w:hAnsi="Times New Roman" w:cs="Times New Roman"/>
          <w:lang w:val="en-US"/>
        </w:rPr>
        <w:t xml:space="preserve">in </w:t>
      </w:r>
      <w:r w:rsidR="00595F0E" w:rsidRPr="000040EC">
        <w:rPr>
          <w:rFonts w:ascii="Times New Roman" w:hAnsi="Times New Roman" w:cs="Times New Roman"/>
          <w:lang w:val="en-US"/>
        </w:rPr>
        <w:t xml:space="preserve">the process of sellers’ inflation which has been documented in the United States by Weber and Wasner. They showed that commodity price shocks in significant upstream sectors can trigger price hikes by firms with market power which can take advantage of bottlenecks in times of crisis and supply chain disruption to maintain or even increase their </w:t>
      </w:r>
      <w:r w:rsidR="002644FF" w:rsidRPr="000040EC">
        <w:rPr>
          <w:rFonts w:ascii="Times New Roman" w:hAnsi="Times New Roman" w:cs="Times New Roman"/>
          <w:lang w:val="en-US"/>
        </w:rPr>
        <w:t xml:space="preserve">margins. </w:t>
      </w:r>
      <w:r w:rsidR="00365D58" w:rsidRPr="000040EC">
        <w:rPr>
          <w:rFonts w:ascii="Times New Roman" w:hAnsi="Times New Roman" w:cs="Times New Roman"/>
          <w:lang w:val="en-US"/>
        </w:rPr>
        <w:t>Their decomposition of inflation as measured by the GDP deflator into profit and wage components in the United States showed that most of inflation during the 2020-2022 period was captured by nominal profit increases due to price hikes</w:t>
      </w:r>
      <w:r w:rsidR="00A94032" w:rsidRPr="000040EC">
        <w:rPr>
          <w:rFonts w:ascii="Times New Roman" w:hAnsi="Times New Roman" w:cs="Times New Roman"/>
          <w:lang w:val="en-US"/>
        </w:rPr>
        <w:t xml:space="preserve">. </w:t>
      </w:r>
    </w:p>
    <w:p w14:paraId="28DD7777" w14:textId="43299FC1" w:rsidR="00062F62" w:rsidRPr="000040EC" w:rsidRDefault="00365D58" w:rsidP="00C044BD">
      <w:pPr>
        <w:jc w:val="both"/>
        <w:rPr>
          <w:rFonts w:ascii="Times New Roman" w:hAnsi="Times New Roman" w:cs="Times New Roman"/>
          <w:lang w:val="en-US"/>
        </w:rPr>
      </w:pPr>
      <w:r w:rsidRPr="000040EC">
        <w:rPr>
          <w:rFonts w:ascii="Times New Roman" w:hAnsi="Times New Roman" w:cs="Times New Roman"/>
          <w:lang w:val="en-US"/>
        </w:rPr>
        <w:t xml:space="preserve">As shown </w:t>
      </w:r>
      <w:r w:rsidR="00265EFF" w:rsidRPr="000040EC">
        <w:rPr>
          <w:rFonts w:ascii="Times New Roman" w:hAnsi="Times New Roman" w:cs="Times New Roman"/>
          <w:lang w:val="en-US"/>
        </w:rPr>
        <w:t>in</w:t>
      </w:r>
      <w:r w:rsidRPr="000040EC">
        <w:rPr>
          <w:rFonts w:ascii="Times New Roman" w:hAnsi="Times New Roman" w:cs="Times New Roman"/>
          <w:lang w:val="en-US"/>
        </w:rPr>
        <w:t xml:space="preserve"> </w:t>
      </w:r>
      <w:r w:rsidR="00265EFF" w:rsidRPr="000040EC">
        <w:rPr>
          <w:rFonts w:ascii="Times New Roman" w:hAnsi="Times New Roman" w:cs="Times New Roman"/>
          <w:lang w:val="en-US"/>
        </w:rPr>
        <w:t>figure 2</w:t>
      </w:r>
      <w:r w:rsidRPr="000040EC">
        <w:rPr>
          <w:rFonts w:ascii="Times New Roman" w:hAnsi="Times New Roman" w:cs="Times New Roman"/>
          <w:lang w:val="en-US"/>
        </w:rPr>
        <w:t>, the same phenomena can be observed in Switzerland during the same period.</w:t>
      </w:r>
      <w:r w:rsidR="00E0438E" w:rsidRPr="000040EC">
        <w:rPr>
          <w:rFonts w:ascii="Times New Roman" w:hAnsi="Times New Roman" w:cs="Times New Roman"/>
          <w:lang w:val="en-US"/>
        </w:rPr>
        <w:t xml:space="preserve"> Th</w:t>
      </w:r>
      <w:r w:rsidR="007A65E0" w:rsidRPr="000040EC">
        <w:rPr>
          <w:rFonts w:ascii="Times New Roman" w:hAnsi="Times New Roman" w:cs="Times New Roman"/>
          <w:lang w:val="en-US"/>
        </w:rPr>
        <w:t>is figure</w:t>
      </w:r>
      <w:r w:rsidR="00E0438E" w:rsidRPr="000040EC">
        <w:rPr>
          <w:rFonts w:ascii="Times New Roman" w:hAnsi="Times New Roman" w:cs="Times New Roman"/>
          <w:lang w:val="en-US"/>
        </w:rPr>
        <w:t xml:space="preserve"> shows how much of the nominal change in the Swiss gross value added (GVA) attributable to inflation is captured by labor in the form of wages and by capital through nominal increases in profit flows.</w:t>
      </w:r>
      <w:r w:rsidR="007A65E0" w:rsidRPr="000040EC">
        <w:rPr>
          <w:rFonts w:ascii="Times New Roman" w:hAnsi="Times New Roman" w:cs="Times New Roman"/>
          <w:lang w:val="en-US"/>
        </w:rPr>
        <w:t xml:space="preserve"> During the period 2020-2022, profits as measured by gross operating surplus accounted for 12,6% of the 5,4% increase in the inflation rate of the GDP </w:t>
      </w:r>
      <w:r w:rsidR="007A65E0" w:rsidRPr="000040EC">
        <w:rPr>
          <w:rFonts w:ascii="Times New Roman" w:hAnsi="Times New Roman" w:cs="Times New Roman"/>
          <w:lang w:val="en-US"/>
        </w:rPr>
        <w:lastRenderedPageBreak/>
        <w:t>deflator, while compensation of employees accounted for -7,2% of the increase.</w:t>
      </w:r>
      <w:r w:rsidR="00C044BD" w:rsidRPr="000040EC">
        <w:rPr>
          <w:rFonts w:ascii="Times New Roman" w:hAnsi="Times New Roman" w:cs="Times New Roman"/>
          <w:lang w:val="en-US"/>
        </w:rPr>
        <w:t xml:space="preserve"> </w:t>
      </w:r>
      <w:r w:rsidR="00062F62" w:rsidRPr="000040EC">
        <w:rPr>
          <w:rFonts w:ascii="Times New Roman" w:hAnsi="Times New Roman" w:cs="Times New Roman"/>
          <w:lang w:val="en-US"/>
        </w:rPr>
        <w:t>Conversely, deflationary periods tend to be characterized by decreases in nominal profits and positive rate of increase of nominal compensation of employees, for instance in 2014-2017 and 2019-2020</w:t>
      </w:r>
      <w:r w:rsidR="00E54C50" w:rsidRPr="000040EC">
        <w:rPr>
          <w:rFonts w:ascii="Times New Roman" w:hAnsi="Times New Roman" w:cs="Times New Roman"/>
          <w:lang w:val="en-US"/>
        </w:rPr>
        <w:t xml:space="preserve">. </w:t>
      </w:r>
    </w:p>
    <w:p w14:paraId="43492061" w14:textId="2F6AA234" w:rsidR="00C044BD" w:rsidRPr="000040EC" w:rsidRDefault="00C044BD" w:rsidP="00C044BD">
      <w:pPr>
        <w:jc w:val="both"/>
        <w:rPr>
          <w:rFonts w:ascii="Times New Roman" w:hAnsi="Times New Roman" w:cs="Times New Roman"/>
          <w:lang w:val="en-US"/>
        </w:rPr>
      </w:pPr>
      <w:r w:rsidRPr="000040EC">
        <w:rPr>
          <w:rFonts w:ascii="Times New Roman" w:hAnsi="Times New Roman" w:cs="Times New Roman"/>
          <w:lang w:val="en-US"/>
        </w:rPr>
        <w:t>This stands in sharp contrast to the economic crisis of the 1990s, when most of inflation was captured by increases in nominal wages</w:t>
      </w:r>
      <w:r w:rsidR="00062F62" w:rsidRPr="000040EC">
        <w:rPr>
          <w:rFonts w:ascii="Times New Roman" w:hAnsi="Times New Roman" w:cs="Times New Roman"/>
          <w:lang w:val="en-US"/>
        </w:rPr>
        <w:t xml:space="preserve">. </w:t>
      </w:r>
      <w:r w:rsidRPr="000040EC">
        <w:rPr>
          <w:rFonts w:ascii="Times New Roman" w:hAnsi="Times New Roman" w:cs="Times New Roman"/>
          <w:lang w:val="en-US"/>
        </w:rPr>
        <w:t xml:space="preserve">As indicated by </w:t>
      </w:r>
      <w:r w:rsidRPr="000040EC">
        <w:rPr>
          <w:rFonts w:ascii="Times New Roman" w:hAnsi="Times New Roman" w:cs="Times New Roman"/>
          <w:lang w:val="en-US"/>
        </w:rPr>
        <w:fldChar w:fldCharType="begin"/>
      </w:r>
      <w:r w:rsidR="001A5211" w:rsidRPr="000040EC">
        <w:rPr>
          <w:rFonts w:ascii="Times New Roman" w:hAnsi="Times New Roman" w:cs="Times New Roman"/>
          <w:lang w:val="en-US"/>
        </w:rPr>
        <w:instrText xml:space="preserve"> ADDIN ZOTERO_ITEM CSL_CITATION {"citationID":"7y05Y1Nj","properties":{"formattedCitation":"(Leutert et al. 2026)","plainCitation":"(Leutert et al. 2026)","dontUpdate":true,"noteIndex":0},"citationItems":[{"id":6392,"uris":["http://zotero.org/groups/6311349/items/5DL5NGET"],"itemData":{"id":6392,"type":"article-journal","abstract":"We analyse the historical relationship between consumer prices and wages in Switzerland. Our results show that, between 1980 and 2019, the pass-through from prices to wages was substantial. At the same time, nominal wage increases only had a modest effect on prices. Other factors—such as imported inflation, inflation expectations and economic slack—clearly dominate wages in explaining price movements in Switzerland. Second-round effects of inflation, in turn, are mainly explained by inflation expectations. Our results suggest that the pass-through from wages to prices could be higher in an environment of elevated inflation. However, even in the 1980s and 1990s, the pass-through was only modest. It follows that periods of simultaneously high inflation and high wage growth were not the result of a wage-price spiral. Instead, the long-term comovement of the two variables can mostly be explained by common drivers (e.g. inflation expectations, economic slack) and by the gradual adjustment of wages to prices.","container-title":"Swiss Journal of Economics and Statistics","DOI":"10.1186/s41937-026-00148-x","ISSN":"2235-6282","issue":"1","journalAbbreviation":"Swiss J Economics Statistics","language":"en","page":"2","source":"Springer Link","title":"Wage-price pass-through in Switzerland","volume":"162","author":[{"family":"Leutert","given":"Jessica"},{"family":"Scheufele","given":"Rolf"},{"family":"Schön","given":"Selina"}],"issued":{"date-parts":[["2026",2,5]]}}}],"schema":"https://github.com/citation-style-language/schema/raw/master/csl-citation.json"} </w:instrText>
      </w:r>
      <w:r w:rsidRPr="000040EC">
        <w:rPr>
          <w:rFonts w:ascii="Times New Roman" w:hAnsi="Times New Roman" w:cs="Times New Roman"/>
          <w:lang w:val="en-US"/>
        </w:rPr>
        <w:fldChar w:fldCharType="separate"/>
      </w:r>
      <w:r w:rsidRPr="000040EC">
        <w:rPr>
          <w:rFonts w:ascii="Times New Roman" w:hAnsi="Times New Roman" w:cs="Times New Roman"/>
          <w:lang w:val="en-US"/>
        </w:rPr>
        <w:t>Leutert et al. (2026, 13)</w:t>
      </w:r>
      <w:r w:rsidRPr="000040EC">
        <w:rPr>
          <w:rFonts w:ascii="Times New Roman" w:hAnsi="Times New Roman" w:cs="Times New Roman"/>
          <w:lang w:val="en-US"/>
        </w:rPr>
        <w:fldChar w:fldCharType="end"/>
      </w:r>
      <w:r w:rsidRPr="000040EC">
        <w:rPr>
          <w:rFonts w:ascii="Times New Roman" w:hAnsi="Times New Roman" w:cs="Times New Roman"/>
          <w:lang w:val="en-US"/>
        </w:rPr>
        <w:t>, wage-price pass-throughs were higher before the 2000s due to a higher wage indexation and higher union coverage rate.</w:t>
      </w:r>
      <w:r w:rsidR="000C20B8" w:rsidRPr="000040EC">
        <w:rPr>
          <w:rFonts w:ascii="Times New Roman" w:hAnsi="Times New Roman" w:cs="Times New Roman"/>
          <w:lang w:val="en-US"/>
        </w:rPr>
        <w:t xml:space="preserve"> This indicates that sellers’ inflation was also prominent in Switzerland during the energy crisis of 2021-2022, albeit at a lower intensity than in other countries since the overall inflation rate was much lower than in other countries. Our hypothesis is that sellers’ inflation was dampened by direct as well as indirect price administration in critical sectors of the Swiss economy, making the latter more robust to the energy and food crisis of that period.</w:t>
      </w:r>
    </w:p>
    <w:p w14:paraId="75249F1E" w14:textId="56B927CA" w:rsidR="00734E09" w:rsidRPr="000040EC" w:rsidRDefault="005626C0" w:rsidP="00C044BD">
      <w:pPr>
        <w:jc w:val="both"/>
        <w:rPr>
          <w:rFonts w:ascii="Times New Roman" w:hAnsi="Times New Roman" w:cs="Times New Roman"/>
          <w:lang w:val="en-US"/>
        </w:rPr>
      </w:pPr>
      <w:r w:rsidRPr="000040EC">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34CD19C" wp14:editId="53AD38B7">
                <wp:simplePos x="0" y="0"/>
                <wp:positionH relativeFrom="column">
                  <wp:posOffset>-29845</wp:posOffset>
                </wp:positionH>
                <wp:positionV relativeFrom="paragraph">
                  <wp:posOffset>5153660</wp:posOffset>
                </wp:positionV>
                <wp:extent cx="5759450" cy="635"/>
                <wp:effectExtent l="0" t="0" r="0" b="0"/>
                <wp:wrapSquare wrapText="bothSides"/>
                <wp:docPr id="48348022" name="Zone de texte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05B2405E" w14:textId="741D77F3" w:rsidR="005626C0" w:rsidRPr="00E22F4B" w:rsidRDefault="005626C0" w:rsidP="005626C0">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3</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xml:space="preserve">: Forward and backward linkages for each sector. Point size represents the magnitude of the weight of each sector in a synthetic CPI computed from data on household </w:t>
                            </w:r>
                            <w:r w:rsidR="00A16BCD" w:rsidRPr="00E22F4B">
                              <w:rPr>
                                <w:rFonts w:ascii="Times New Roman" w:hAnsi="Times New Roman" w:cs="Times New Roman"/>
                                <w:i w:val="0"/>
                                <w:iCs w:val="0"/>
                                <w:color w:val="000000" w:themeColor="text1"/>
                                <w:sz w:val="24"/>
                                <w:szCs w:val="24"/>
                                <w:lang w:val="en-US"/>
                              </w:rPr>
                              <w:t xml:space="preserve">final consumption </w:t>
                            </w:r>
                            <w:r w:rsidRPr="00E22F4B">
                              <w:rPr>
                                <w:rFonts w:ascii="Times New Roman" w:hAnsi="Times New Roman" w:cs="Times New Roman"/>
                                <w:i w:val="0"/>
                                <w:iCs w:val="0"/>
                                <w:color w:val="000000" w:themeColor="text1"/>
                                <w:sz w:val="24"/>
                                <w:szCs w:val="24"/>
                                <w:lang w:val="en-US"/>
                              </w:rPr>
                              <w:t>expenditure</w:t>
                            </w:r>
                            <w:r w:rsidR="00A16BCD" w:rsidRPr="00E22F4B">
                              <w:rPr>
                                <w:rFonts w:ascii="Times New Roman" w:hAnsi="Times New Roman" w:cs="Times New Roman"/>
                                <w:i w:val="0"/>
                                <w:iCs w:val="0"/>
                                <w:color w:val="000000" w:themeColor="text1"/>
                                <w:sz w:val="24"/>
                                <w:szCs w:val="24"/>
                                <w:lang w:val="en-US"/>
                              </w:rPr>
                              <w:t xml:space="preserve"> (HFCE)</w:t>
                            </w:r>
                            <w:r w:rsidRPr="00E22F4B">
                              <w:rPr>
                                <w:rFonts w:ascii="Times New Roman" w:hAnsi="Times New Roman" w:cs="Times New Roman"/>
                                <w:i w:val="0"/>
                                <w:iCs w:val="0"/>
                                <w:color w:val="000000" w:themeColor="text1"/>
                                <w:sz w:val="24"/>
                                <w:szCs w:val="24"/>
                                <w:lang w:val="en-US"/>
                              </w:rPr>
                              <w:t xml:space="preserve"> available in the input-output table. Data</w:t>
                            </w:r>
                            <w:r w:rsidRPr="00E22F4B">
                              <w:rPr>
                                <w:rFonts w:ascii="Times New Roman" w:hAnsi="Times New Roman" w:cs="Times New Roman"/>
                                <w:i w:val="0"/>
                                <w:iCs w:val="0"/>
                                <w:noProof/>
                                <w:color w:val="000000" w:themeColor="text1"/>
                                <w:sz w:val="24"/>
                                <w:szCs w:val="24"/>
                                <w:lang w:val="en-US"/>
                              </w:rPr>
                              <w:t xml:space="preserve"> source: FSO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CD19C" id="_x0000_s1028" type="#_x0000_t202" style="position:absolute;left:0;text-align:left;margin-left:-2.35pt;margin-top:405.8pt;width:45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CBzWkg4QAAAAoBAAAPAAAAZHJzL2Rvd25yZXYueG1sTI+xTsMwEIZ3JN7B&#10;OiQW1Dppo7SEOFVVwQBLRejC5sbXOBCfI9tpw9tjWGC8u0//fX+5mUzPzuh8Z0lAOk+AITVWddQK&#10;OLw9zdbAfJCkZG8JBXyhh011fVXKQtkLveK5Di2LIeQLKUCHMBSc+0ajkX5uB6R4O1lnZIija7ly&#10;8hLDTc8XSZJzIzuKH7QccKex+axHI2Cfve/13Xh6fNlmS/d8GHf5R1sLcXszbR+ABZzCHww/+lEd&#10;quh0tCMpz3oBs2wVSQHrNM2BReA+WSyBHX83K+BVyf9XqL4BAAD//wMAUEsBAi0AFAAGAAgAAAAh&#10;ALaDOJL+AAAA4QEAABMAAAAAAAAAAAAAAAAAAAAAAFtDb250ZW50X1R5cGVzXS54bWxQSwECLQAU&#10;AAYACAAAACEAOP0h/9YAAACUAQAACwAAAAAAAAAAAAAAAAAvAQAAX3JlbHMvLnJlbHNQSwECLQAU&#10;AAYACAAAACEAX2eeRRoCAAA/BAAADgAAAAAAAAAAAAAAAAAuAgAAZHJzL2Uyb0RvYy54bWxQSwEC&#10;LQAUAAYACAAAACEAgc1pIOEAAAAKAQAADwAAAAAAAAAAAAAAAAB0BAAAZHJzL2Rvd25yZXYueG1s&#10;UEsFBgAAAAAEAAQA8wAAAIIFAAAAAA==&#10;" stroked="f">
                <v:textbox style="mso-fit-shape-to-text:t" inset="0,0,0,0">
                  <w:txbxContent>
                    <w:p w14:paraId="05B2405E" w14:textId="741D77F3" w:rsidR="005626C0" w:rsidRPr="00E22F4B" w:rsidRDefault="005626C0" w:rsidP="005626C0">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3</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xml:space="preserve">: Forward and backward linkages for each sector. Point size represents the magnitude of the weight of each sector in a synthetic CPI computed from data on household </w:t>
                      </w:r>
                      <w:r w:rsidR="00A16BCD" w:rsidRPr="00E22F4B">
                        <w:rPr>
                          <w:rFonts w:ascii="Times New Roman" w:hAnsi="Times New Roman" w:cs="Times New Roman"/>
                          <w:i w:val="0"/>
                          <w:iCs w:val="0"/>
                          <w:color w:val="000000" w:themeColor="text1"/>
                          <w:sz w:val="24"/>
                          <w:szCs w:val="24"/>
                          <w:lang w:val="en-US"/>
                        </w:rPr>
                        <w:t xml:space="preserve">final consumption </w:t>
                      </w:r>
                      <w:r w:rsidRPr="00E22F4B">
                        <w:rPr>
                          <w:rFonts w:ascii="Times New Roman" w:hAnsi="Times New Roman" w:cs="Times New Roman"/>
                          <w:i w:val="0"/>
                          <w:iCs w:val="0"/>
                          <w:color w:val="000000" w:themeColor="text1"/>
                          <w:sz w:val="24"/>
                          <w:szCs w:val="24"/>
                          <w:lang w:val="en-US"/>
                        </w:rPr>
                        <w:t>expenditure</w:t>
                      </w:r>
                      <w:r w:rsidR="00A16BCD" w:rsidRPr="00E22F4B">
                        <w:rPr>
                          <w:rFonts w:ascii="Times New Roman" w:hAnsi="Times New Roman" w:cs="Times New Roman"/>
                          <w:i w:val="0"/>
                          <w:iCs w:val="0"/>
                          <w:color w:val="000000" w:themeColor="text1"/>
                          <w:sz w:val="24"/>
                          <w:szCs w:val="24"/>
                          <w:lang w:val="en-US"/>
                        </w:rPr>
                        <w:t xml:space="preserve"> (HFCE)</w:t>
                      </w:r>
                      <w:r w:rsidRPr="00E22F4B">
                        <w:rPr>
                          <w:rFonts w:ascii="Times New Roman" w:hAnsi="Times New Roman" w:cs="Times New Roman"/>
                          <w:i w:val="0"/>
                          <w:iCs w:val="0"/>
                          <w:color w:val="000000" w:themeColor="text1"/>
                          <w:sz w:val="24"/>
                          <w:szCs w:val="24"/>
                          <w:lang w:val="en-US"/>
                        </w:rPr>
                        <w:t xml:space="preserve"> available in the input-output table. Data</w:t>
                      </w:r>
                      <w:r w:rsidRPr="00E22F4B">
                        <w:rPr>
                          <w:rFonts w:ascii="Times New Roman" w:hAnsi="Times New Roman" w:cs="Times New Roman"/>
                          <w:i w:val="0"/>
                          <w:iCs w:val="0"/>
                          <w:noProof/>
                          <w:color w:val="000000" w:themeColor="text1"/>
                          <w:sz w:val="24"/>
                          <w:szCs w:val="24"/>
                          <w:lang w:val="en-US"/>
                        </w:rPr>
                        <w:t xml:space="preserve"> source: FSO</w:t>
                      </w:r>
                    </w:p>
                  </w:txbxContent>
                </v:textbox>
                <w10:wrap type="square"/>
              </v:shape>
            </w:pict>
          </mc:Fallback>
        </mc:AlternateContent>
      </w:r>
      <w:r w:rsidRPr="000040EC">
        <w:rPr>
          <w:rFonts w:ascii="Times New Roman" w:hAnsi="Times New Roman" w:cs="Times New Roman"/>
          <w:noProof/>
          <w:lang w:val="en-US"/>
        </w:rPr>
        <w:drawing>
          <wp:anchor distT="0" distB="0" distL="114300" distR="114300" simplePos="0" relativeHeight="251673600" behindDoc="0" locked="0" layoutInCell="1" allowOverlap="1" wp14:anchorId="4C1AF3AF" wp14:editId="16B8FBE4">
            <wp:simplePos x="0" y="0"/>
            <wp:positionH relativeFrom="column">
              <wp:posOffset>-30275</wp:posOffset>
            </wp:positionH>
            <wp:positionV relativeFrom="paragraph">
              <wp:posOffset>1063051</wp:posOffset>
            </wp:positionV>
            <wp:extent cx="5759450" cy="4033520"/>
            <wp:effectExtent l="0" t="0" r="0" b="5080"/>
            <wp:wrapSquare wrapText="bothSides"/>
            <wp:docPr id="5950175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4033520"/>
                    </a:xfrm>
                    <a:prstGeom prst="rect">
                      <a:avLst/>
                    </a:prstGeom>
                    <a:noFill/>
                    <a:ln>
                      <a:noFill/>
                    </a:ln>
                  </pic:spPr>
                </pic:pic>
              </a:graphicData>
            </a:graphic>
          </wp:anchor>
        </w:drawing>
      </w:r>
      <w:r w:rsidR="00941504" w:rsidRPr="000040EC">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D56C022" wp14:editId="57910721">
                <wp:simplePos x="0" y="0"/>
                <wp:positionH relativeFrom="margin">
                  <wp:align>right</wp:align>
                </wp:positionH>
                <wp:positionV relativeFrom="paragraph">
                  <wp:posOffset>4422775</wp:posOffset>
                </wp:positionV>
                <wp:extent cx="5760720" cy="565785"/>
                <wp:effectExtent l="0" t="0" r="0" b="5715"/>
                <wp:wrapSquare wrapText="bothSides"/>
                <wp:docPr id="1601529708" name="Zone de texte 1"/>
                <wp:cNvGraphicFramePr/>
                <a:graphic xmlns:a="http://schemas.openxmlformats.org/drawingml/2006/main">
                  <a:graphicData uri="http://schemas.microsoft.com/office/word/2010/wordprocessingShape">
                    <wps:wsp>
                      <wps:cNvSpPr txBox="1"/>
                      <wps:spPr>
                        <a:xfrm>
                          <a:off x="0" y="0"/>
                          <a:ext cx="5760720" cy="565785"/>
                        </a:xfrm>
                        <a:prstGeom prst="rect">
                          <a:avLst/>
                        </a:prstGeom>
                        <a:solidFill>
                          <a:prstClr val="white"/>
                        </a:solidFill>
                        <a:ln>
                          <a:noFill/>
                        </a:ln>
                      </wps:spPr>
                      <wps:txbx>
                        <w:txbxContent>
                          <w:p w14:paraId="59AF5409" w14:textId="319F0DE0" w:rsidR="00941504" w:rsidRPr="003044C6" w:rsidRDefault="00941504" w:rsidP="00941504">
                            <w:pPr>
                              <w:pStyle w:val="Lgende"/>
                              <w:rPr>
                                <w:rFonts w:ascii="Times New Roman" w:hAnsi="Times New Roman" w:cs="Times New Roman"/>
                                <w:noProof/>
                                <w:sz w:val="24"/>
                                <w:szCs w:val="24"/>
                                <w:lang w:val="en-US"/>
                              </w:rPr>
                            </w:pPr>
                            <w:r w:rsidRPr="003044C6">
                              <w:rPr>
                                <w:sz w:val="24"/>
                                <w:szCs w:val="24"/>
                                <w:lang w:val="en-US"/>
                              </w:rPr>
                              <w:t xml:space="preserve">Figure </w:t>
                            </w:r>
                            <w:r w:rsidRPr="003044C6">
                              <w:rPr>
                                <w:sz w:val="24"/>
                                <w:szCs w:val="24"/>
                              </w:rPr>
                              <w:fldChar w:fldCharType="begin"/>
                            </w:r>
                            <w:r w:rsidRPr="003044C6">
                              <w:rPr>
                                <w:sz w:val="24"/>
                                <w:szCs w:val="24"/>
                                <w:lang w:val="en-US"/>
                              </w:rPr>
                              <w:instrText xml:space="preserve"> SEQ Figure \* ARABIC </w:instrText>
                            </w:r>
                            <w:r w:rsidRPr="003044C6">
                              <w:rPr>
                                <w:sz w:val="24"/>
                                <w:szCs w:val="24"/>
                              </w:rPr>
                              <w:fldChar w:fldCharType="separate"/>
                            </w:r>
                            <w:r w:rsidR="00EB04EB">
                              <w:rPr>
                                <w:noProof/>
                                <w:sz w:val="24"/>
                                <w:szCs w:val="24"/>
                                <w:lang w:val="en-US"/>
                              </w:rPr>
                              <w:t>4</w:t>
                            </w:r>
                            <w:r w:rsidRPr="003044C6">
                              <w:rPr>
                                <w:sz w:val="24"/>
                                <w:szCs w:val="24"/>
                              </w:rPr>
                              <w:fldChar w:fldCharType="end"/>
                            </w:r>
                            <w:r w:rsidRPr="003044C6">
                              <w:rPr>
                                <w:sz w:val="24"/>
                                <w:szCs w:val="24"/>
                                <w:lang w:val="en-US"/>
                              </w:rPr>
                              <w:t xml:space="preserve">:  Systemically significant sectors </w:t>
                            </w:r>
                            <w:r w:rsidR="00B061ED" w:rsidRPr="003044C6">
                              <w:rPr>
                                <w:sz w:val="24"/>
                                <w:szCs w:val="24"/>
                                <w:lang w:val="en-US"/>
                              </w:rPr>
                              <w:t xml:space="preserve">for price stability in Switzerland. </w:t>
                            </w:r>
                            <w:r w:rsidRPr="003044C6">
                              <w:rPr>
                                <w:sz w:val="24"/>
                                <w:szCs w:val="24"/>
                                <w:lang w:val="en-US"/>
                              </w:rPr>
                              <w:t>On the left (a)</w:t>
                            </w:r>
                            <w:r w:rsidR="00B061ED" w:rsidRPr="003044C6">
                              <w:rPr>
                                <w:sz w:val="24"/>
                                <w:szCs w:val="24"/>
                                <w:lang w:val="en-US"/>
                              </w:rPr>
                              <w:t xml:space="preserve">: </w:t>
                            </w:r>
                            <w:r w:rsidRPr="003044C6">
                              <w:rPr>
                                <w:sz w:val="24"/>
                                <w:szCs w:val="24"/>
                                <w:lang w:val="en-US"/>
                              </w:rPr>
                              <w:t>effect</w:t>
                            </w:r>
                            <w:r w:rsidR="00B061ED" w:rsidRPr="003044C6">
                              <w:rPr>
                                <w:sz w:val="24"/>
                                <w:szCs w:val="24"/>
                                <w:lang w:val="en-US"/>
                              </w:rPr>
                              <w:t>s</w:t>
                            </w:r>
                            <w:r w:rsidRPr="003044C6">
                              <w:rPr>
                                <w:sz w:val="24"/>
                                <w:szCs w:val="24"/>
                                <w:lang w:val="en-US"/>
                              </w:rPr>
                              <w:t xml:space="preserve"> of a sectoral unit price increase on a synthetic Swiss consumer price index. On the right (b): forward linkages and CPI inflation impact of sectoral unit price shocks in the Swiss economy. </w:t>
                            </w:r>
                            <w:r w:rsidRPr="003044C6">
                              <w:rPr>
                                <w:sz w:val="24"/>
                                <w:szCs w:val="24"/>
                              </w:rPr>
                              <w:t xml:space="preserve">Data </w:t>
                            </w:r>
                            <w:proofErr w:type="gramStart"/>
                            <w:r w:rsidRPr="003044C6">
                              <w:rPr>
                                <w:sz w:val="24"/>
                                <w:szCs w:val="24"/>
                              </w:rPr>
                              <w:t>source:</w:t>
                            </w:r>
                            <w:proofErr w:type="gramEnd"/>
                            <w:r w:rsidRPr="003044C6">
                              <w:rPr>
                                <w:sz w:val="24"/>
                                <w:szCs w:val="24"/>
                              </w:rPr>
                              <w:t xml:space="preserve"> OECD input-output tables.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6C022" id="_x0000_s1029" type="#_x0000_t202" style="position:absolute;left:0;text-align:left;margin-left:402.4pt;margin-top:348.25pt;width:453.6pt;height:44.5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15PHAIAAEIEAAAOAAAAZHJzL2Uyb0RvYy54bWysU01v2zAMvQ/YfxB0X5xkSFIYcYosRYYB&#10;QVsgHXpWZDkWIIsapcTOfv0ofyRdt9Owi0yTFKn3Hrm8byrDzgq9BpvxyWjMmbIScm2PGf/+sv10&#10;x5kPwubCgFUZvyjP71cfPyxrl6oplGByhYyKWJ/WLuNlCC5NEi9LVQk/AqcsBQvASgT6xWOSo6ip&#10;emWS6Xg8T2rA3CFI5T15H7ogX7X1i0LJ8FQUXgVmMk5vC+2J7XmIZ7JaivSIwpVa9s8Q//CKSmhL&#10;Ta+lHkQQ7IT6j1KVlggeijCSUCVQFFqqFgOhmYzfodmXwqkWC5Hj3ZUm///Kysfz3j0jC80XaEjA&#10;SEjtfOrJGfE0BVbxSy9lFCcKL1faVBOYJOdsMR8vphSSFJvNZ4u7WSyT3G479OGrgopFI+NIsrRs&#10;ifPOhy51SInNPBidb7Ux8ScGNgbZWZCEdamD6ov/lmVszLUQb3UFoye5QYlWaA4N03nGPw8wD5Bf&#10;CD1CNxjeya2mfjvhw7NAmgRCRdMdnugoDNQZh97irAT8+Td/zCeBKMpZTZOVcf/jJFBxZr5Zki6O&#10;4WDgYBwGw56qDRDSCe2Nk61JFzCYwSwQqlca+nXsQiFhJfXKeBjMTejmm5ZGqvW6TaJhcyLs7N7J&#10;WHrg9aV5Feh6VQLp+QjDzIn0nThdbsfy+hSg0K1ykdeOxZ5uGtRW+36p4ia8/W+zbqu/+gUAAP//&#10;AwBQSwMEFAAGAAgAAAAhALk2QwTeAAAACAEAAA8AAABkcnMvZG93bnJldi54bWxMj8FOwzAQRO9I&#10;/IO1SFwQdYjUtA1xKmjhBoeWqmc3XpKIeB3ZTpP+PcuJHlezevOmWE+2E2f0oXWk4GmWgECqnGmp&#10;VnD4en9cgghRk9GdI1RwwQDr8vam0LlxI+3wvI+1YAiFXCtoYuxzKUPVoNVh5nokzr6dtzry6Wtp&#10;vB4ZbjuZJkkmrW6JGxrd46bB6mc/WAXZ1g/jjjYP28Pbh/7s6/T4ejkqdX83vTyDiDjF/2f402d1&#10;KNnp5AYyQXQKeEhk0iqbg+B4lSxSECcFi+U8A1kW8npA+QsAAP//AwBQSwECLQAUAAYACAAAACEA&#10;toM4kv4AAADhAQAAEwAAAAAAAAAAAAAAAAAAAAAAW0NvbnRlbnRfVHlwZXNdLnhtbFBLAQItABQA&#10;BgAIAAAAIQA4/SH/1gAAAJQBAAALAAAAAAAAAAAAAAAAAC8BAABfcmVscy8ucmVsc1BLAQItABQA&#10;BgAIAAAAIQCKS15PHAIAAEIEAAAOAAAAAAAAAAAAAAAAAC4CAABkcnMvZTJvRG9jLnhtbFBLAQIt&#10;ABQABgAIAAAAIQC5NkME3gAAAAgBAAAPAAAAAAAAAAAAAAAAAHYEAABkcnMvZG93bnJldi54bWxQ&#10;SwUGAAAAAAQABADzAAAAgQUAAAAA&#10;" stroked="f">
                <v:textbox inset="0,0,0,0">
                  <w:txbxContent>
                    <w:p w14:paraId="59AF5409" w14:textId="319F0DE0" w:rsidR="00941504" w:rsidRPr="003044C6" w:rsidRDefault="00941504" w:rsidP="00941504">
                      <w:pPr>
                        <w:pStyle w:val="Lgende"/>
                        <w:rPr>
                          <w:rFonts w:ascii="Times New Roman" w:hAnsi="Times New Roman" w:cs="Times New Roman"/>
                          <w:noProof/>
                          <w:sz w:val="24"/>
                          <w:szCs w:val="24"/>
                          <w:lang w:val="en-US"/>
                        </w:rPr>
                      </w:pPr>
                      <w:r w:rsidRPr="003044C6">
                        <w:rPr>
                          <w:sz w:val="24"/>
                          <w:szCs w:val="24"/>
                          <w:lang w:val="en-US"/>
                        </w:rPr>
                        <w:t xml:space="preserve">Figure </w:t>
                      </w:r>
                      <w:r w:rsidRPr="003044C6">
                        <w:rPr>
                          <w:sz w:val="24"/>
                          <w:szCs w:val="24"/>
                        </w:rPr>
                        <w:fldChar w:fldCharType="begin"/>
                      </w:r>
                      <w:r w:rsidRPr="003044C6">
                        <w:rPr>
                          <w:sz w:val="24"/>
                          <w:szCs w:val="24"/>
                          <w:lang w:val="en-US"/>
                        </w:rPr>
                        <w:instrText xml:space="preserve"> SEQ Figure \* ARABIC </w:instrText>
                      </w:r>
                      <w:r w:rsidRPr="003044C6">
                        <w:rPr>
                          <w:sz w:val="24"/>
                          <w:szCs w:val="24"/>
                        </w:rPr>
                        <w:fldChar w:fldCharType="separate"/>
                      </w:r>
                      <w:r w:rsidR="00EB04EB">
                        <w:rPr>
                          <w:noProof/>
                          <w:sz w:val="24"/>
                          <w:szCs w:val="24"/>
                          <w:lang w:val="en-US"/>
                        </w:rPr>
                        <w:t>4</w:t>
                      </w:r>
                      <w:r w:rsidRPr="003044C6">
                        <w:rPr>
                          <w:sz w:val="24"/>
                          <w:szCs w:val="24"/>
                        </w:rPr>
                        <w:fldChar w:fldCharType="end"/>
                      </w:r>
                      <w:r w:rsidRPr="003044C6">
                        <w:rPr>
                          <w:sz w:val="24"/>
                          <w:szCs w:val="24"/>
                          <w:lang w:val="en-US"/>
                        </w:rPr>
                        <w:t xml:space="preserve">:  Systemically significant sectors </w:t>
                      </w:r>
                      <w:r w:rsidR="00B061ED" w:rsidRPr="003044C6">
                        <w:rPr>
                          <w:sz w:val="24"/>
                          <w:szCs w:val="24"/>
                          <w:lang w:val="en-US"/>
                        </w:rPr>
                        <w:t xml:space="preserve">for price stability in Switzerland. </w:t>
                      </w:r>
                      <w:r w:rsidRPr="003044C6">
                        <w:rPr>
                          <w:sz w:val="24"/>
                          <w:szCs w:val="24"/>
                          <w:lang w:val="en-US"/>
                        </w:rPr>
                        <w:t>On the left (a)</w:t>
                      </w:r>
                      <w:r w:rsidR="00B061ED" w:rsidRPr="003044C6">
                        <w:rPr>
                          <w:sz w:val="24"/>
                          <w:szCs w:val="24"/>
                          <w:lang w:val="en-US"/>
                        </w:rPr>
                        <w:t xml:space="preserve">: </w:t>
                      </w:r>
                      <w:r w:rsidRPr="003044C6">
                        <w:rPr>
                          <w:sz w:val="24"/>
                          <w:szCs w:val="24"/>
                          <w:lang w:val="en-US"/>
                        </w:rPr>
                        <w:t>effect</w:t>
                      </w:r>
                      <w:r w:rsidR="00B061ED" w:rsidRPr="003044C6">
                        <w:rPr>
                          <w:sz w:val="24"/>
                          <w:szCs w:val="24"/>
                          <w:lang w:val="en-US"/>
                        </w:rPr>
                        <w:t>s</w:t>
                      </w:r>
                      <w:r w:rsidRPr="003044C6">
                        <w:rPr>
                          <w:sz w:val="24"/>
                          <w:szCs w:val="24"/>
                          <w:lang w:val="en-US"/>
                        </w:rPr>
                        <w:t xml:space="preserve"> of a sectoral unit price increase on a synthetic Swiss consumer price index. On the right (b): forward linkages and CPI inflation impact of sectoral unit price shocks in the Swiss economy. </w:t>
                      </w:r>
                      <w:r w:rsidRPr="003044C6">
                        <w:rPr>
                          <w:sz w:val="24"/>
                          <w:szCs w:val="24"/>
                        </w:rPr>
                        <w:t xml:space="preserve">Data </w:t>
                      </w:r>
                      <w:proofErr w:type="gramStart"/>
                      <w:r w:rsidRPr="003044C6">
                        <w:rPr>
                          <w:sz w:val="24"/>
                          <w:szCs w:val="24"/>
                        </w:rPr>
                        <w:t>source:</w:t>
                      </w:r>
                      <w:proofErr w:type="gramEnd"/>
                      <w:r w:rsidRPr="003044C6">
                        <w:rPr>
                          <w:sz w:val="24"/>
                          <w:szCs w:val="24"/>
                        </w:rPr>
                        <w:t xml:space="preserve"> OECD input-output tables.</w:t>
                      </w:r>
                    </w:p>
                  </w:txbxContent>
                </v:textbox>
                <w10:wrap type="square" anchorx="margin"/>
              </v:shape>
            </w:pict>
          </mc:Fallback>
        </mc:AlternateContent>
      </w:r>
      <w:r w:rsidR="00734E09" w:rsidRPr="000040EC">
        <w:rPr>
          <w:rFonts w:ascii="Times New Roman" w:hAnsi="Times New Roman" w:cs="Times New Roman"/>
          <w:lang w:val="en-US"/>
        </w:rPr>
        <w:t xml:space="preserve">We test this hypothesis by </w:t>
      </w:r>
      <w:r w:rsidR="009F1C97" w:rsidRPr="000040EC">
        <w:rPr>
          <w:rFonts w:ascii="Times New Roman" w:hAnsi="Times New Roman" w:cs="Times New Roman"/>
          <w:lang w:val="en-US"/>
        </w:rPr>
        <w:t>applying a Leontief price model on the 2017 Swiss input output</w:t>
      </w:r>
      <w:r w:rsidR="00A16BCD" w:rsidRPr="000040EC">
        <w:rPr>
          <w:rFonts w:ascii="Times New Roman" w:hAnsi="Times New Roman" w:cs="Times New Roman"/>
          <w:lang w:val="en-US"/>
        </w:rPr>
        <w:t xml:space="preserve"> (IO)</w:t>
      </w:r>
      <w:r w:rsidR="009F1C97" w:rsidRPr="000040EC">
        <w:rPr>
          <w:rFonts w:ascii="Times New Roman" w:hAnsi="Times New Roman" w:cs="Times New Roman"/>
          <w:lang w:val="en-US"/>
        </w:rPr>
        <w:t xml:space="preserve"> table provided by the Federal Statistical Office (FSO) </w:t>
      </w:r>
      <w:r w:rsidR="00901F0D" w:rsidRPr="000040EC">
        <w:rPr>
          <w:rFonts w:ascii="Times New Roman" w:hAnsi="Times New Roman" w:cs="Times New Roman"/>
          <w:lang w:val="en-US"/>
        </w:rPr>
        <w:t>which is the most recent publicly available table and contains information on 50 industries. We first compute the Leontief matrix and sum</w:t>
      </w:r>
      <w:r w:rsidR="00510BC8" w:rsidRPr="000040EC">
        <w:rPr>
          <w:rFonts w:ascii="Times New Roman" w:hAnsi="Times New Roman" w:cs="Times New Roman"/>
          <w:lang w:val="en-US"/>
        </w:rPr>
        <w:t xml:space="preserve"> up</w:t>
      </w:r>
      <w:r w:rsidR="00901F0D" w:rsidRPr="000040EC">
        <w:rPr>
          <w:rFonts w:ascii="Times New Roman" w:hAnsi="Times New Roman" w:cs="Times New Roman"/>
          <w:lang w:val="en-US"/>
        </w:rPr>
        <w:t xml:space="preserve"> the rows and columns of its inverse to estimate forward linkages (FL) and backward linkages (BL) for each sector</w:t>
      </w:r>
      <w:r w:rsidR="00A16BCD" w:rsidRPr="000040EC">
        <w:rPr>
          <w:rFonts w:ascii="Times New Roman" w:hAnsi="Times New Roman" w:cs="Times New Roman"/>
          <w:lang w:val="en-US"/>
        </w:rPr>
        <w:t xml:space="preserve"> which are shown in figure 3.</w:t>
      </w:r>
    </w:p>
    <w:p w14:paraId="119A2B55" w14:textId="47056809" w:rsidR="00A16BCD" w:rsidRPr="000040EC" w:rsidRDefault="00423C6B" w:rsidP="00C044BD">
      <w:pPr>
        <w:jc w:val="both"/>
        <w:rPr>
          <w:rFonts w:ascii="Times New Roman" w:hAnsi="Times New Roman" w:cs="Times New Roman"/>
          <w:lang w:val="en-US"/>
        </w:rPr>
      </w:pPr>
      <w:r w:rsidRPr="000040EC">
        <w:rPr>
          <w:rFonts w:ascii="Times New Roman" w:hAnsi="Times New Roman" w:cs="Times New Roman"/>
          <w:lang w:val="en-US"/>
        </w:rPr>
        <w:t xml:space="preserve">From figure 3, we can identify the following categories of sectors. On the bottom-left quadrant, we have sectors which are independent from inter-industry linkages due to their low FL and </w:t>
      </w:r>
      <w:r w:rsidR="00235C91" w:rsidRPr="000040EC">
        <w:rPr>
          <w:rFonts w:ascii="Times New Roman" w:hAnsi="Times New Roman" w:cs="Times New Roman"/>
          <w:lang w:val="en-US"/>
        </w:rPr>
        <w:t>BL but</w:t>
      </w:r>
      <w:r w:rsidRPr="000040EC">
        <w:rPr>
          <w:rFonts w:ascii="Times New Roman" w:hAnsi="Times New Roman" w:cs="Times New Roman"/>
          <w:lang w:val="en-US"/>
        </w:rPr>
        <w:t xml:space="preserve"> are key for price stability since they represent a high share of consumers’ expenditures. Such </w:t>
      </w:r>
      <w:r w:rsidRPr="000040EC">
        <w:rPr>
          <w:rFonts w:ascii="Times New Roman" w:hAnsi="Times New Roman" w:cs="Times New Roman"/>
          <w:lang w:val="en-US"/>
        </w:rPr>
        <w:lastRenderedPageBreak/>
        <w:t xml:space="preserve">independent but key sectors are real estate activities (20% </w:t>
      </w:r>
      <w:r w:rsidR="00750DE9" w:rsidRPr="000040EC">
        <w:rPr>
          <w:rFonts w:ascii="Times New Roman" w:hAnsi="Times New Roman" w:cs="Times New Roman"/>
          <w:lang w:val="en-US"/>
        </w:rPr>
        <w:t>of synthetic CPI weight</w:t>
      </w:r>
      <w:r w:rsidRPr="000040EC">
        <w:rPr>
          <w:rFonts w:ascii="Times New Roman" w:hAnsi="Times New Roman" w:cs="Times New Roman"/>
          <w:lang w:val="en-US"/>
        </w:rPr>
        <w:t>), human health activities (15%), insurance (10%) and retail trade (10%)</w:t>
      </w:r>
      <w:r w:rsidR="004B2A90" w:rsidRPr="000040EC">
        <w:rPr>
          <w:rFonts w:ascii="Times New Roman" w:hAnsi="Times New Roman" w:cs="Times New Roman"/>
          <w:lang w:val="en-US"/>
        </w:rPr>
        <w:t>. On the upper-right quadrant, we have key sectors with high FL and BL, which include the electricity and gas sector and transport. Taken together, they represent around 10% of the synthetic CPI’s weight. It is therefore interesting to note that the sectors which are crucial for Swiss price stability due to their high share in consumers’ expenditure are relatively independent from inter-industry linkages</w:t>
      </w:r>
      <w:r w:rsidR="00750DE9" w:rsidRPr="000040EC">
        <w:rPr>
          <w:rFonts w:ascii="Times New Roman" w:hAnsi="Times New Roman" w:cs="Times New Roman"/>
          <w:lang w:val="en-US"/>
        </w:rPr>
        <w:t xml:space="preserve">. </w:t>
      </w:r>
      <w:r w:rsidR="007C5DE0" w:rsidRPr="000040EC">
        <w:rPr>
          <w:rFonts w:ascii="Times New Roman" w:hAnsi="Times New Roman" w:cs="Times New Roman"/>
          <w:lang w:val="en-US"/>
        </w:rPr>
        <w:t>Food manufacturing is also an important sector with high BL and high weight in the CPI.</w:t>
      </w:r>
    </w:p>
    <w:p w14:paraId="2822D067" w14:textId="3BC0A859" w:rsidR="007C5DE0" w:rsidRPr="000040EC" w:rsidRDefault="00235C91" w:rsidP="007C5DE0">
      <w:pPr>
        <w:jc w:val="both"/>
        <w:rPr>
          <w:rFonts w:ascii="Times New Roman" w:hAnsi="Times New Roman" w:cs="Times New Roman"/>
          <w:lang w:val="en-US"/>
        </w:rPr>
      </w:pPr>
      <w:r w:rsidRPr="000040EC">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B9BE4C6" wp14:editId="1C9F90EE">
                <wp:simplePos x="0" y="0"/>
                <wp:positionH relativeFrom="column">
                  <wp:posOffset>1270</wp:posOffset>
                </wp:positionH>
                <wp:positionV relativeFrom="paragraph">
                  <wp:posOffset>4671060</wp:posOffset>
                </wp:positionV>
                <wp:extent cx="5758180" cy="635"/>
                <wp:effectExtent l="0" t="0" r="0" b="0"/>
                <wp:wrapSquare wrapText="bothSides"/>
                <wp:docPr id="690157125" name="Zone de texte 1"/>
                <wp:cNvGraphicFramePr/>
                <a:graphic xmlns:a="http://schemas.openxmlformats.org/drawingml/2006/main">
                  <a:graphicData uri="http://schemas.microsoft.com/office/word/2010/wordprocessingShape">
                    <wps:wsp>
                      <wps:cNvSpPr txBox="1"/>
                      <wps:spPr>
                        <a:xfrm>
                          <a:off x="0" y="0"/>
                          <a:ext cx="5758180" cy="635"/>
                        </a:xfrm>
                        <a:prstGeom prst="rect">
                          <a:avLst/>
                        </a:prstGeom>
                        <a:solidFill>
                          <a:prstClr val="white"/>
                        </a:solidFill>
                        <a:ln>
                          <a:noFill/>
                        </a:ln>
                      </wps:spPr>
                      <wps:txbx>
                        <w:txbxContent>
                          <w:p w14:paraId="136E8801" w14:textId="5E21AF5A" w:rsidR="00235C91" w:rsidRPr="00E22F4B" w:rsidRDefault="00235C91" w:rsidP="00235C91">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5</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Inflation impact from price-shock simulations for the top 15 sectors using a Leontief price model. The magnitude of the price shocks</w:t>
                            </w:r>
                            <w:r w:rsidR="00E7798D" w:rsidRPr="00E22F4B">
                              <w:rPr>
                                <w:rFonts w:ascii="Times New Roman" w:hAnsi="Times New Roman" w:cs="Times New Roman"/>
                                <w:i w:val="0"/>
                                <w:iCs w:val="0"/>
                                <w:color w:val="000000" w:themeColor="text1"/>
                                <w:sz w:val="24"/>
                                <w:szCs w:val="24"/>
                                <w:lang w:val="en-US"/>
                              </w:rPr>
                              <w:t xml:space="preserve"> (green dots)</w:t>
                            </w:r>
                            <w:r w:rsidRPr="00E22F4B">
                              <w:rPr>
                                <w:rFonts w:ascii="Times New Roman" w:hAnsi="Times New Roman" w:cs="Times New Roman"/>
                                <w:i w:val="0"/>
                                <w:iCs w:val="0"/>
                                <w:color w:val="000000" w:themeColor="text1"/>
                                <w:sz w:val="24"/>
                                <w:szCs w:val="24"/>
                                <w:lang w:val="en-US"/>
                              </w:rPr>
                              <w:t xml:space="preserve"> correspond</w:t>
                            </w:r>
                            <w:r w:rsidR="00E7798D" w:rsidRPr="00E22F4B">
                              <w:rPr>
                                <w:rFonts w:ascii="Times New Roman" w:hAnsi="Times New Roman" w:cs="Times New Roman"/>
                                <w:i w:val="0"/>
                                <w:iCs w:val="0"/>
                                <w:color w:val="000000" w:themeColor="text1"/>
                                <w:sz w:val="24"/>
                                <w:szCs w:val="24"/>
                                <w:lang w:val="en-US"/>
                              </w:rPr>
                              <w:t>s</w:t>
                            </w:r>
                            <w:r w:rsidRPr="00E22F4B">
                              <w:rPr>
                                <w:rFonts w:ascii="Times New Roman" w:hAnsi="Times New Roman" w:cs="Times New Roman"/>
                                <w:i w:val="0"/>
                                <w:iCs w:val="0"/>
                                <w:color w:val="000000" w:themeColor="text1"/>
                                <w:sz w:val="24"/>
                                <w:szCs w:val="24"/>
                                <w:lang w:val="en-US"/>
                              </w:rPr>
                              <w:t xml:space="preserve"> to the sector's average price volatility over the period 2004-2025. Data source: FSO, Eurostat.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BE4C6" id="_x0000_s1030" type="#_x0000_t202" style="position:absolute;left:0;text-align:left;margin-left:.1pt;margin-top:367.8pt;width:453.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LzGgIAAD8EAAAOAAAAZHJzL2Uyb0RvYy54bWysU8Fu2zAMvQ/YPwi6L066pQuMOEWWIsOA&#10;oC2QDj0rshwLkEWNUmJnXz9KjpOu22nYRaZJihTfe5zfdY1hR4Vegy34ZDTmTFkJpbb7gn9/Xn+Y&#10;ceaDsKUwYFXBT8rzu8X7d/PW5eoGajClQkZFrM9bV/A6BJdnmZe1aoQfgVOWghVgIwL94j4rUbRU&#10;vTHZzXh8m7WApUOQynvy3vdBvkj1q0rJ8FhVXgVmCk5vC+nEdO7imS3mIt+jcLWW52eIf3hFI7Sl&#10;ppdS9yIIdkD9R6lGSwQPVRhJaDKoKi1VmoGmmYzfTLOthVNpFgLHuwtM/v+VlQ/HrXtCFrov0BGB&#10;EZDW+dyTM87TVdjEL72UUZwgPF1gU11gkpzTz9PZZEYhSbHbj9NYI7tedejDVwUNi0bBkThJUInj&#10;xoc+dUiJnTwYXa61MfEnBlYG2VEQf22tgzoX/y3L2JhrId7qC0ZPdp0jWqHbdUyXBf80zLiD8kSj&#10;I/Sq8E6uNfXbCB+eBJIMaCSSdnikozLQFhzOFmc14M+/+WM+sUNRzlqSVcH9j4NAxZn5Zom3qMHB&#10;wMHYDYY9NCugSSe0NE4mky5gMINZITQvpPhl7EIhYSX1KngYzFXoxU0bI9VymZJIaU6Ejd06GUsP&#10;uD53LwLdmZVAZD7AIDiRvyGnz030uOUhENKJuYhrj+IZblJp4v68UXENXv+nrOveL34BAAD//wMA&#10;UEsDBBQABgAIAAAAIQBD8WW+3wAAAAgBAAAPAAAAZHJzL2Rvd25yZXYueG1sTI/BTsMwEETvSPyD&#10;tUhcEHVoSwIhTlVVcIBLReiFmxtv40C8jmKnDX/PwgWOOzOafVOsJteJIw6h9aTgZpaAQKq9aalR&#10;sHt7ur4DEaImoztPqOALA6zK87NC58af6BWPVWwEl1DItQIbY59LGWqLToeZ75HYO/jB6cjn0Egz&#10;6BOXu07OkySVTrfEH6zucWOx/qxGp2C7fN/aq/Hw+LJeLobn3bhJP5pKqcuLaf0AIuIU/8Lwg8/o&#10;UDLT3o9kgugUzDmnIFvcpiDYvk8ynrb/VTKQZSH/Dyi/AQAA//8DAFBLAQItABQABgAIAAAAIQC2&#10;gziS/gAAAOEBAAATAAAAAAAAAAAAAAAAAAAAAABbQ29udGVudF9UeXBlc10ueG1sUEsBAi0AFAAG&#10;AAgAAAAhADj9If/WAAAAlAEAAAsAAAAAAAAAAAAAAAAALwEAAF9yZWxzLy5yZWxzUEsBAi0AFAAG&#10;AAgAAAAhAMOjEvMaAgAAPwQAAA4AAAAAAAAAAAAAAAAALgIAAGRycy9lMm9Eb2MueG1sUEsBAi0A&#10;FAAGAAgAAAAhAEPxZb7fAAAACAEAAA8AAAAAAAAAAAAAAAAAdAQAAGRycy9kb3ducmV2LnhtbFBL&#10;BQYAAAAABAAEAPMAAACABQAAAAA=&#10;" stroked="f">
                <v:textbox style="mso-fit-shape-to-text:t" inset="0,0,0,0">
                  <w:txbxContent>
                    <w:p w14:paraId="136E8801" w14:textId="5E21AF5A" w:rsidR="00235C91" w:rsidRPr="00E22F4B" w:rsidRDefault="00235C91" w:rsidP="00235C91">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5</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Inflation impact from price-shock simulations for the top 15 sectors using a Leontief price model. The magnitude of the price shocks</w:t>
                      </w:r>
                      <w:r w:rsidR="00E7798D" w:rsidRPr="00E22F4B">
                        <w:rPr>
                          <w:rFonts w:ascii="Times New Roman" w:hAnsi="Times New Roman" w:cs="Times New Roman"/>
                          <w:i w:val="0"/>
                          <w:iCs w:val="0"/>
                          <w:color w:val="000000" w:themeColor="text1"/>
                          <w:sz w:val="24"/>
                          <w:szCs w:val="24"/>
                          <w:lang w:val="en-US"/>
                        </w:rPr>
                        <w:t xml:space="preserve"> (green dots)</w:t>
                      </w:r>
                      <w:r w:rsidRPr="00E22F4B">
                        <w:rPr>
                          <w:rFonts w:ascii="Times New Roman" w:hAnsi="Times New Roman" w:cs="Times New Roman"/>
                          <w:i w:val="0"/>
                          <w:iCs w:val="0"/>
                          <w:color w:val="000000" w:themeColor="text1"/>
                          <w:sz w:val="24"/>
                          <w:szCs w:val="24"/>
                          <w:lang w:val="en-US"/>
                        </w:rPr>
                        <w:t xml:space="preserve"> correspond</w:t>
                      </w:r>
                      <w:r w:rsidR="00E7798D" w:rsidRPr="00E22F4B">
                        <w:rPr>
                          <w:rFonts w:ascii="Times New Roman" w:hAnsi="Times New Roman" w:cs="Times New Roman"/>
                          <w:i w:val="0"/>
                          <w:iCs w:val="0"/>
                          <w:color w:val="000000" w:themeColor="text1"/>
                          <w:sz w:val="24"/>
                          <w:szCs w:val="24"/>
                          <w:lang w:val="en-US"/>
                        </w:rPr>
                        <w:t>s</w:t>
                      </w:r>
                      <w:r w:rsidRPr="00E22F4B">
                        <w:rPr>
                          <w:rFonts w:ascii="Times New Roman" w:hAnsi="Times New Roman" w:cs="Times New Roman"/>
                          <w:i w:val="0"/>
                          <w:iCs w:val="0"/>
                          <w:color w:val="000000" w:themeColor="text1"/>
                          <w:sz w:val="24"/>
                          <w:szCs w:val="24"/>
                          <w:lang w:val="en-US"/>
                        </w:rPr>
                        <w:t xml:space="preserve"> to the sector's average price volatility over the period 2004-2025. Data source: FSO, Eurostat.</w:t>
                      </w:r>
                    </w:p>
                  </w:txbxContent>
                </v:textbox>
                <w10:wrap type="square"/>
              </v:shape>
            </w:pict>
          </mc:Fallback>
        </mc:AlternateContent>
      </w:r>
      <w:r w:rsidR="00750DE9" w:rsidRPr="000040EC">
        <w:rPr>
          <w:rFonts w:ascii="Times New Roman" w:hAnsi="Times New Roman" w:cs="Times New Roman"/>
          <w:noProof/>
          <w:lang w:val="en-US"/>
        </w:rPr>
        <w:drawing>
          <wp:anchor distT="0" distB="0" distL="114300" distR="114300" simplePos="0" relativeHeight="251676672" behindDoc="0" locked="0" layoutInCell="1" allowOverlap="1" wp14:anchorId="7360EA50" wp14:editId="155648E2">
            <wp:simplePos x="0" y="0"/>
            <wp:positionH relativeFrom="column">
              <wp:posOffset>1353</wp:posOffset>
            </wp:positionH>
            <wp:positionV relativeFrom="paragraph">
              <wp:posOffset>1988</wp:posOffset>
            </wp:positionV>
            <wp:extent cx="5758180" cy="4612005"/>
            <wp:effectExtent l="0" t="0" r="0" b="0"/>
            <wp:wrapSquare wrapText="bothSides"/>
            <wp:docPr id="20286503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180" cy="4612005"/>
                    </a:xfrm>
                    <a:prstGeom prst="rect">
                      <a:avLst/>
                    </a:prstGeom>
                    <a:noFill/>
                    <a:ln>
                      <a:noFill/>
                    </a:ln>
                  </pic:spPr>
                </pic:pic>
              </a:graphicData>
            </a:graphic>
          </wp:anchor>
        </w:drawing>
      </w:r>
      <w:r w:rsidRPr="000040EC">
        <w:rPr>
          <w:rFonts w:ascii="Times New Roman" w:hAnsi="Times New Roman" w:cs="Times New Roman"/>
          <w:lang w:val="en-US"/>
        </w:rPr>
        <w:t>As in Weber et al. (2024), we simulate the impact of a price increase in each sector on a synthetic CPI using sector average price volatility, defined as the standard deviation of a given sector’s yearly percent price change. We use Swiss price data from Eurostat’s harmonized consumer price index (HCPI) for the period 2004-2025. The results are shown in figure 4</w:t>
      </w:r>
      <w:r w:rsidR="00E7798D" w:rsidRPr="000040EC">
        <w:rPr>
          <w:rFonts w:ascii="Times New Roman" w:hAnsi="Times New Roman" w:cs="Times New Roman"/>
          <w:lang w:val="en-US"/>
        </w:rPr>
        <w:t xml:space="preserve">. Price shock </w:t>
      </w:r>
      <w:r w:rsidR="001B44EC" w:rsidRPr="000040EC">
        <w:rPr>
          <w:rFonts w:ascii="Times New Roman" w:hAnsi="Times New Roman" w:cs="Times New Roman"/>
          <w:lang w:val="en-US"/>
        </w:rPr>
        <w:t>in</w:t>
      </w:r>
      <w:r w:rsidR="00E7798D" w:rsidRPr="000040EC">
        <w:rPr>
          <w:rFonts w:ascii="Times New Roman" w:hAnsi="Times New Roman" w:cs="Times New Roman"/>
          <w:lang w:val="en-US"/>
        </w:rPr>
        <w:t xml:space="preserve"> the real estate activities sector is by far the most important, followed by transport, food manufacturing and electricity and gas.</w:t>
      </w:r>
      <w:r w:rsidR="00560976" w:rsidRPr="000040EC">
        <w:rPr>
          <w:rFonts w:ascii="Times New Roman" w:hAnsi="Times New Roman" w:cs="Times New Roman"/>
          <w:lang w:val="en-US"/>
        </w:rPr>
        <w:t xml:space="preserve"> In accordance with the results of </w:t>
      </w:r>
      <w:r w:rsidR="00560976" w:rsidRPr="000040EC">
        <w:rPr>
          <w:rFonts w:ascii="Times New Roman" w:hAnsi="Times New Roman" w:cs="Times New Roman"/>
          <w:lang w:val="en-US"/>
        </w:rPr>
        <w:fldChar w:fldCharType="begin"/>
      </w:r>
      <w:r w:rsidR="00560976" w:rsidRPr="000040EC">
        <w:rPr>
          <w:rFonts w:ascii="Times New Roman" w:hAnsi="Times New Roman" w:cs="Times New Roman"/>
          <w:lang w:val="en-US"/>
        </w:rPr>
        <w:instrText xml:space="preserve"> ADDIN ZOTERO_ITEM CSL_CITATION {"citationID":"2LhrqsJb","properties":{"formattedCitation":"(Ipsen et al. 2025)","plainCitation":"(Ipsen et al. 2025)","noteIndex":0},"citationItems":[{"id":6694,"uris":["http://zotero.org/groups/6311349/items/EYAZQBGE"],"itemData":{"id":6694,"type":"article-journal","abstract":"This paper documents asymmetries in price shock exposure for the EU, EU core and periphery within the global production network. Building on the foundational work of Weber et al. (2024a), we run a cost-push stress-test using data from the World Input Output Database to estimate a region’s exposure to globally originating and propagating price shocks. We confirm the existence of systemically significant sectors which dominate the overall price level. While the final goods price effects of various sectors are significant, about half are the result of higher-order propagation. This indirect effect is even larger for peripheral countries. Tracing disaggregated shock trajectories uncovers that price volatility originating in core and non-EU countries impacts the peripheral countries more than vice versa. Simultaneously, our method of recovering consumption substitution effects shows that substitution is more limited in the European periphery. The stark asymmetries in exposure have profound implications for fiscal and monetary policy.","container-title":"Structural Change and Economic Dynamics","DOI":"10.1016/j.strueco.2025.05.010","ISSN":"0954-349X","journalAbbreviation":"Structural Change and Economic Dynamics","page":"713-724","source":"ScienceDirect","title":"Stress-testing Inflation Exposure: Systemically significant prices and asymmetric shock propagation in the EU","title-short":"Stress-testing Inflation Exposure","volume":"74","author":[{"family":"Ipsen","given":"Leonhard"},{"family":"Aminian","given":"Armin"},{"family":"Schulz","given":"Jan"}],"issued":{"date-parts":[["2025",9,1]]}}}],"schema":"https://github.com/citation-style-language/schema/raw/master/csl-citation.json"} </w:instrText>
      </w:r>
      <w:r w:rsidR="00560976" w:rsidRPr="000040EC">
        <w:rPr>
          <w:rFonts w:ascii="Times New Roman" w:hAnsi="Times New Roman" w:cs="Times New Roman"/>
          <w:lang w:val="en-US"/>
        </w:rPr>
        <w:fldChar w:fldCharType="separate"/>
      </w:r>
      <w:r w:rsidR="00560976" w:rsidRPr="000040EC">
        <w:rPr>
          <w:rFonts w:ascii="Times New Roman" w:hAnsi="Times New Roman" w:cs="Times New Roman"/>
          <w:lang w:val="en-US"/>
        </w:rPr>
        <w:t>Ipsen et al. (2025)</w:t>
      </w:r>
      <w:r w:rsidR="00560976" w:rsidRPr="000040EC">
        <w:rPr>
          <w:rFonts w:ascii="Times New Roman" w:hAnsi="Times New Roman" w:cs="Times New Roman"/>
          <w:lang w:val="en-US"/>
        </w:rPr>
        <w:fldChar w:fldCharType="end"/>
      </w:r>
      <w:r w:rsidR="00560976" w:rsidRPr="000040EC">
        <w:rPr>
          <w:rFonts w:ascii="Times New Roman" w:hAnsi="Times New Roman" w:cs="Times New Roman"/>
          <w:lang w:val="en-US"/>
        </w:rPr>
        <w:t xml:space="preserve">, the sector of  real estate activities is the most significant. </w:t>
      </w:r>
      <w:r w:rsidR="00E7798D" w:rsidRPr="000040EC">
        <w:rPr>
          <w:rFonts w:ascii="Times New Roman" w:hAnsi="Times New Roman" w:cs="Times New Roman"/>
          <w:lang w:val="en-US"/>
        </w:rPr>
        <w:t>The substantial inflationary effect of a shock to real estate activities can be explained by the very large share of rents in Swiss consumers’ expenditure</w:t>
      </w:r>
      <w:r w:rsidR="006F43AC" w:rsidRPr="000040EC">
        <w:rPr>
          <w:rFonts w:ascii="Times New Roman" w:hAnsi="Times New Roman" w:cs="Times New Roman"/>
          <w:lang w:val="en-US"/>
        </w:rPr>
        <w:t>s</w:t>
      </w:r>
      <w:r w:rsidR="00E7798D" w:rsidRPr="000040EC">
        <w:rPr>
          <w:rFonts w:ascii="Times New Roman" w:hAnsi="Times New Roman" w:cs="Times New Roman"/>
          <w:lang w:val="en-US"/>
        </w:rPr>
        <w:t xml:space="preserve"> </w:t>
      </w:r>
      <w:r w:rsidR="006F43AC" w:rsidRPr="000040EC">
        <w:rPr>
          <w:rFonts w:ascii="Times New Roman" w:hAnsi="Times New Roman" w:cs="Times New Roman"/>
          <w:lang w:val="en-US"/>
        </w:rPr>
        <w:t xml:space="preserve">due to the general upward trend in rents. The Swiss housing market </w:t>
      </w:r>
      <w:r w:rsidR="006F43AC" w:rsidRPr="000040EC">
        <w:rPr>
          <w:rFonts w:ascii="Times New Roman" w:hAnsi="Times New Roman" w:cs="Times New Roman"/>
          <w:lang w:val="en-US"/>
        </w:rPr>
        <w:lastRenderedPageBreak/>
        <w:t>suffers</w:t>
      </w:r>
      <w:r w:rsidR="007A323E" w:rsidRPr="000040EC">
        <w:rPr>
          <w:rFonts w:ascii="Times New Roman" w:hAnsi="Times New Roman" w:cs="Times New Roman"/>
          <w:lang w:val="en-US"/>
        </w:rPr>
        <w:t xml:space="preserve"> in effect</w:t>
      </w:r>
      <w:r w:rsidR="006F43AC" w:rsidRPr="000040EC">
        <w:rPr>
          <w:rFonts w:ascii="Times New Roman" w:hAnsi="Times New Roman" w:cs="Times New Roman"/>
          <w:lang w:val="en-US"/>
        </w:rPr>
        <w:t xml:space="preserve"> from excessive demand and a housing shortage as illustrated by the country’s very low vacancy rate of 1%, which is even lower in Urban centers such as Geneva (0,34%) and Zurich (0,48%) </w:t>
      </w:r>
      <w:r w:rsidR="006F43AC" w:rsidRPr="000040EC">
        <w:rPr>
          <w:rFonts w:ascii="Times New Roman" w:hAnsi="Times New Roman" w:cs="Times New Roman"/>
          <w:lang w:val="en-US"/>
        </w:rPr>
        <w:fldChar w:fldCharType="begin"/>
      </w:r>
      <w:r w:rsidR="006F43AC" w:rsidRPr="000040EC">
        <w:rPr>
          <w:rFonts w:ascii="Times New Roman" w:hAnsi="Times New Roman" w:cs="Times New Roman"/>
          <w:lang w:val="en-US"/>
        </w:rPr>
        <w:instrText xml:space="preserve"> ADDIN ZOTERO_ITEM CSL_CITATION {"citationID":"5CYQPWNO","properties":{"formattedCitation":"(Tschirren 2026)","plainCitation":"(Tschirren 2026)","noteIndex":0},"citationItems":[{"id":6857,"uris":["http://zotero.org/groups/6311349/items/RHZIXZKM"],"itemData":{"id":6857,"type":"post-weblog","abstract":"La pénurie de logements s’est poursuivie en 2025. Au cours des cinq dernières années, le taux de log...","container-title":"La Vie économiques","language":"fr-FR","title":"La pénurie de logements se poursuit","URL":"https://dievolkswirtschaft.ch/fr/2026/03/la-penurie-de-logements-se-poursuit/","author":[{"family":"Tschirren","given":"Martin"}],"accessed":{"date-parts":[["2026",8,11]]},"issued":{"date-parts":[["2026"]]}}}],"schema":"https://github.com/citation-style-language/schema/raw/master/csl-citation.json"} </w:instrText>
      </w:r>
      <w:r w:rsidR="006F43AC" w:rsidRPr="000040EC">
        <w:rPr>
          <w:rFonts w:ascii="Times New Roman" w:hAnsi="Times New Roman" w:cs="Times New Roman"/>
          <w:lang w:val="en-US"/>
        </w:rPr>
        <w:fldChar w:fldCharType="separate"/>
      </w:r>
      <w:r w:rsidR="006F43AC" w:rsidRPr="000040EC">
        <w:rPr>
          <w:rFonts w:ascii="Times New Roman" w:hAnsi="Times New Roman" w:cs="Times New Roman"/>
          <w:lang w:val="en-US"/>
        </w:rPr>
        <w:t>(Tschirren 2026)</w:t>
      </w:r>
      <w:r w:rsidR="006F43AC" w:rsidRPr="000040EC">
        <w:rPr>
          <w:rFonts w:ascii="Times New Roman" w:hAnsi="Times New Roman" w:cs="Times New Roman"/>
          <w:lang w:val="en-US"/>
        </w:rPr>
        <w:fldChar w:fldCharType="end"/>
      </w:r>
      <w:r w:rsidR="006F43AC" w:rsidRPr="000040EC">
        <w:rPr>
          <w:rFonts w:ascii="Times New Roman" w:hAnsi="Times New Roman" w:cs="Times New Roman"/>
          <w:lang w:val="en-US"/>
        </w:rPr>
        <w:t>.</w:t>
      </w:r>
      <w:r w:rsidR="007A323E" w:rsidRPr="000040EC">
        <w:rPr>
          <w:rFonts w:ascii="Times New Roman" w:hAnsi="Times New Roman" w:cs="Times New Roman"/>
          <w:lang w:val="en-US"/>
        </w:rPr>
        <w:t xml:space="preserve"> </w:t>
      </w:r>
      <w:r w:rsidR="00384875" w:rsidRPr="000040EC">
        <w:rPr>
          <w:rFonts w:ascii="Times New Roman" w:hAnsi="Times New Roman" w:cs="Times New Roman"/>
          <w:lang w:val="en-US"/>
        </w:rPr>
        <w:t xml:space="preserve">Between 2000 and 2024, residential rents increased by 38% according to the Swiss consumer price index, the large share of which is explained by demand-side factors. </w:t>
      </w:r>
      <w:r w:rsidR="00617F2A" w:rsidRPr="000040EC">
        <w:rPr>
          <w:rFonts w:ascii="Times New Roman" w:hAnsi="Times New Roman" w:cs="Times New Roman"/>
          <w:lang w:val="en-US"/>
        </w:rPr>
        <w:t xml:space="preserve">Whereas rents are determined by supply and demand, the Swiss housing market is considered by the Swiss Secretariat of Economic Affairs (SECO) as a market whose prices are indirectly administered due to several </w:t>
      </w:r>
      <w:r w:rsidR="008C4E6A" w:rsidRPr="000040EC">
        <w:rPr>
          <w:rFonts w:ascii="Times New Roman" w:hAnsi="Times New Roman" w:cs="Times New Roman"/>
          <w:lang w:val="en-US"/>
        </w:rPr>
        <w:t xml:space="preserve">regulations </w:t>
      </w:r>
      <w:r w:rsidR="00617F2A" w:rsidRPr="000040EC">
        <w:rPr>
          <w:rFonts w:ascii="Times New Roman" w:hAnsi="Times New Roman" w:cs="Times New Roman"/>
          <w:lang w:val="en-US"/>
        </w:rPr>
        <w:t xml:space="preserve">on the supply-side </w:t>
      </w:r>
      <w:r w:rsidR="009F06D4" w:rsidRPr="000040EC">
        <w:rPr>
          <w:rFonts w:ascii="Times New Roman" w:hAnsi="Times New Roman" w:cs="Times New Roman"/>
          <w:lang w:val="en-US"/>
        </w:rPr>
        <w:fldChar w:fldCharType="begin"/>
      </w:r>
      <w:r w:rsidR="009F06D4" w:rsidRPr="000040EC">
        <w:rPr>
          <w:rFonts w:ascii="Times New Roman" w:hAnsi="Times New Roman" w:cs="Times New Roman"/>
          <w:lang w:val="en-US"/>
        </w:rPr>
        <w:instrText xml:space="preserve"> ADDIN ZOTERO_ITEM CSL_CITATION {"citationID":"700pGt9A","properties":{"formattedCitation":"(Mergele et al. 2026)","plainCitation":"(Mergele et al. 2026)","noteIndex":0},"citationItems":[{"id":6665,"uris":["http://zotero.org/groups/6311349/items/EEFFBZEW"],"itemData":{"id":6665,"type":"article-journal","container-title":"Grundlagen für die Wirtschaftspolitik","issue":"62","publisher":"SECO","publisher-place":"Bern","title":"Administriete Preise","author":[{"family":"Mergele","given":"Lukas"},{"family":"Wehrli","given":"Damian"},{"family":"Winistörfer","given":"Nils"}],"issued":{"date-parts":[["2026"]]}}}],"schema":"https://github.com/citation-style-language/schema/raw/master/csl-citation.json"} </w:instrText>
      </w:r>
      <w:r w:rsidR="009F06D4" w:rsidRPr="000040EC">
        <w:rPr>
          <w:rFonts w:ascii="Times New Roman" w:hAnsi="Times New Roman" w:cs="Times New Roman"/>
          <w:lang w:val="en-US"/>
        </w:rPr>
        <w:fldChar w:fldCharType="separate"/>
      </w:r>
      <w:r w:rsidR="009F06D4" w:rsidRPr="000040EC">
        <w:rPr>
          <w:rFonts w:ascii="Times New Roman" w:hAnsi="Times New Roman" w:cs="Times New Roman"/>
          <w:lang w:val="en-US"/>
        </w:rPr>
        <w:t>(Mergele et al. 2026)</w:t>
      </w:r>
      <w:r w:rsidR="009F06D4" w:rsidRPr="000040EC">
        <w:rPr>
          <w:rFonts w:ascii="Times New Roman" w:hAnsi="Times New Roman" w:cs="Times New Roman"/>
          <w:lang w:val="en-US"/>
        </w:rPr>
        <w:fldChar w:fldCharType="end"/>
      </w:r>
      <w:r w:rsidR="00617F2A" w:rsidRPr="000040EC">
        <w:rPr>
          <w:rFonts w:ascii="Times New Roman" w:hAnsi="Times New Roman" w:cs="Times New Roman"/>
          <w:lang w:val="en-US"/>
        </w:rPr>
        <w:t>.</w:t>
      </w:r>
      <w:r w:rsidR="009F06D4" w:rsidRPr="000040EC">
        <w:rPr>
          <w:rFonts w:ascii="Times New Roman" w:hAnsi="Times New Roman" w:cs="Times New Roman"/>
          <w:lang w:val="en-US"/>
        </w:rPr>
        <w:t xml:space="preserve"> </w:t>
      </w:r>
      <w:r w:rsidR="00A11A22" w:rsidRPr="000040EC">
        <w:rPr>
          <w:rFonts w:ascii="Times New Roman" w:hAnsi="Times New Roman" w:cs="Times New Roman"/>
          <w:lang w:val="en-US"/>
        </w:rPr>
        <w:t xml:space="preserve">Transport and electricity prices are on the other hand directly administered by public institutions at the federal, cantonal and even communal levels. Price administration thus plays a key role in regulating prices in key sectors for inflation as well as in sector whose consumption share in the CPI is large such as insurance and health activities (as explained above for health products). </w:t>
      </w:r>
      <w:r w:rsidR="008C4E6A" w:rsidRPr="000040EC">
        <w:rPr>
          <w:rFonts w:ascii="Times New Roman" w:hAnsi="Times New Roman" w:cs="Times New Roman"/>
          <w:lang w:val="en-US"/>
        </w:rPr>
        <w:t>Regarding food manufacturing, the price of food products is influenced by two factors: the strong degree of protection of the domestic agricultural sector and the importance of a particular duopoly in the Swiss domestic economy which originally formed in the retail sector: that of Coop and Migros.</w:t>
      </w:r>
    </w:p>
    <w:p w14:paraId="05414D34" w14:textId="075FC10C" w:rsidR="00AB1A05" w:rsidRPr="000040EC" w:rsidRDefault="005576F4" w:rsidP="00AB1A05">
      <w:pPr>
        <w:pStyle w:val="Titre2"/>
        <w:rPr>
          <w:rFonts w:ascii="Times New Roman" w:hAnsi="Times New Roman" w:cs="Times New Roman"/>
          <w:color w:val="auto"/>
          <w:lang w:val="en-US"/>
        </w:rPr>
      </w:pPr>
      <w:r w:rsidRPr="000040EC">
        <w:rPr>
          <w:rFonts w:ascii="Times New Roman" w:hAnsi="Times New Roman" w:cs="Times New Roman"/>
          <w:color w:val="auto"/>
          <w:lang w:val="en-US"/>
        </w:rPr>
        <w:t>Oligopolistic power and regulations in the domestic sectors</w:t>
      </w:r>
      <w:r w:rsidR="00470FD0" w:rsidRPr="000040EC">
        <w:rPr>
          <w:rFonts w:ascii="Times New Roman" w:hAnsi="Times New Roman" w:cs="Times New Roman"/>
          <w:color w:val="auto"/>
          <w:lang w:val="en-US"/>
        </w:rPr>
        <w:t>: the case of retail and agriculture</w:t>
      </w:r>
    </w:p>
    <w:p w14:paraId="220C9E6D" w14:textId="23392DD0" w:rsidR="005702AA" w:rsidRPr="000040EC" w:rsidRDefault="007A5B50" w:rsidP="00451E92">
      <w:pPr>
        <w:jc w:val="both"/>
        <w:rPr>
          <w:rFonts w:ascii="Times New Roman" w:hAnsi="Times New Roman" w:cs="Times New Roman"/>
          <w:lang w:val="en-US"/>
        </w:rPr>
      </w:pPr>
      <w:r w:rsidRPr="000040EC">
        <w:rPr>
          <w:rFonts w:ascii="Times New Roman" w:hAnsi="Times New Roman" w:cs="Times New Roman"/>
          <w:lang w:val="en-US"/>
        </w:rPr>
        <w:t xml:space="preserve">Whereas Switzerland is widely known for its multinationals specialized in </w:t>
      </w:r>
      <w:r w:rsidR="008D4D65" w:rsidRPr="000040EC">
        <w:rPr>
          <w:rFonts w:ascii="Times New Roman" w:hAnsi="Times New Roman" w:cs="Times New Roman"/>
          <w:lang w:val="en-US"/>
        </w:rPr>
        <w:t>international commodity trading such as Glencore and Trafigura</w:t>
      </w:r>
      <w:r w:rsidR="00625A05" w:rsidRPr="000040EC">
        <w:rPr>
          <w:rFonts w:ascii="Times New Roman" w:hAnsi="Times New Roman" w:cs="Times New Roman"/>
          <w:lang w:val="en-US"/>
        </w:rPr>
        <w:t>; its pharmaceuticals or chemicals industries,</w:t>
      </w:r>
      <w:r w:rsidR="008D4D65" w:rsidRPr="000040EC">
        <w:rPr>
          <w:rFonts w:ascii="Times New Roman" w:hAnsi="Times New Roman" w:cs="Times New Roman"/>
          <w:lang w:val="en-US"/>
        </w:rPr>
        <w:t xml:space="preserve"> the key role played by retail companies oriented towards the national domestic market is far less known.</w:t>
      </w:r>
      <w:r w:rsidR="006B167C" w:rsidRPr="000040EC">
        <w:rPr>
          <w:rFonts w:ascii="Times New Roman" w:hAnsi="Times New Roman" w:cs="Times New Roman"/>
          <w:lang w:val="en-US"/>
        </w:rPr>
        <w:t xml:space="preserve"> More specifically, the Swiss national retail sector is dominated by Coop and Migros, two large cooperatives</w:t>
      </w:r>
      <w:r w:rsidR="00625A05" w:rsidRPr="000040EC">
        <w:rPr>
          <w:rFonts w:ascii="Times New Roman" w:hAnsi="Times New Roman" w:cs="Times New Roman"/>
          <w:lang w:val="en-US"/>
        </w:rPr>
        <w:t xml:space="preserve"> which have a firm hand on the Swiss market</w:t>
      </w:r>
      <w:r w:rsidR="006B167C" w:rsidRPr="000040EC">
        <w:rPr>
          <w:rFonts w:ascii="Times New Roman" w:hAnsi="Times New Roman" w:cs="Times New Roman"/>
          <w:lang w:val="en-US"/>
        </w:rPr>
        <w:t xml:space="preserve">. It is indeed hard to overstate the importance of these two firms on the Swiss economy: they are by far the country’s largest </w:t>
      </w:r>
      <w:r w:rsidR="00984592" w:rsidRPr="000040EC">
        <w:rPr>
          <w:rFonts w:ascii="Times New Roman" w:hAnsi="Times New Roman" w:cs="Times New Roman"/>
          <w:lang w:val="en-US"/>
        </w:rPr>
        <w:t xml:space="preserve">private </w:t>
      </w:r>
      <w:r w:rsidR="006B167C" w:rsidRPr="000040EC">
        <w:rPr>
          <w:rFonts w:ascii="Times New Roman" w:hAnsi="Times New Roman" w:cs="Times New Roman"/>
          <w:lang w:val="en-US"/>
        </w:rPr>
        <w:t>employers</w:t>
      </w:r>
      <w:r w:rsidR="00FE209F" w:rsidRPr="000040EC">
        <w:rPr>
          <w:rFonts w:ascii="Times New Roman" w:hAnsi="Times New Roman" w:cs="Times New Roman"/>
          <w:lang w:val="en-US"/>
        </w:rPr>
        <w:t xml:space="preserve">; each has more than two million </w:t>
      </w:r>
      <w:r w:rsidR="00D97B8E" w:rsidRPr="000040EC">
        <w:rPr>
          <w:rFonts w:ascii="Times New Roman" w:hAnsi="Times New Roman" w:cs="Times New Roman"/>
          <w:lang w:val="en-US"/>
        </w:rPr>
        <w:t xml:space="preserve">cooperative </w:t>
      </w:r>
      <w:r w:rsidR="00FE209F" w:rsidRPr="000040EC">
        <w:rPr>
          <w:rFonts w:ascii="Times New Roman" w:hAnsi="Times New Roman" w:cs="Times New Roman"/>
          <w:lang w:val="en-US"/>
        </w:rPr>
        <w:t>members; and they are deeply rooted in Switzerland’s history, society and national identity</w:t>
      </w:r>
      <w:r w:rsidR="00984592" w:rsidRPr="000040EC">
        <w:rPr>
          <w:rFonts w:ascii="Times New Roman" w:hAnsi="Times New Roman" w:cs="Times New Roman"/>
          <w:lang w:val="en-US"/>
        </w:rPr>
        <w:t>.</w:t>
      </w:r>
      <w:r w:rsidR="00470CA7" w:rsidRPr="000040EC">
        <w:rPr>
          <w:rFonts w:ascii="Times New Roman" w:hAnsi="Times New Roman" w:cs="Times New Roman"/>
          <w:b/>
          <w:bCs/>
          <w:lang w:val="en-US"/>
        </w:rPr>
        <w:t xml:space="preserve"> </w:t>
      </w:r>
      <w:r w:rsidR="00470CA7" w:rsidRPr="000040EC">
        <w:rPr>
          <w:rFonts w:ascii="Times New Roman" w:hAnsi="Times New Roman" w:cs="Times New Roman"/>
          <w:lang w:val="en-US"/>
        </w:rPr>
        <w:t>Migros is</w:t>
      </w:r>
      <w:r w:rsidR="00BF317D" w:rsidRPr="000040EC">
        <w:rPr>
          <w:rFonts w:ascii="Times New Roman" w:hAnsi="Times New Roman" w:cs="Times New Roman"/>
          <w:lang w:val="en-US"/>
        </w:rPr>
        <w:t xml:space="preserve"> for instance</w:t>
      </w:r>
      <w:r w:rsidR="00470CA7" w:rsidRPr="000040EC">
        <w:rPr>
          <w:rFonts w:ascii="Times New Roman" w:hAnsi="Times New Roman" w:cs="Times New Roman"/>
          <w:lang w:val="en-US"/>
        </w:rPr>
        <w:t xml:space="preserve"> Switzerland’s largest private employer with around 91700 employees, 88% working in the country. It plays also a great role in training the Swiss labor force as it employs on average 3300 ap</w:t>
      </w:r>
      <w:r w:rsidR="00D90320" w:rsidRPr="000040EC">
        <w:rPr>
          <w:rFonts w:ascii="Times New Roman" w:hAnsi="Times New Roman" w:cs="Times New Roman"/>
          <w:lang w:val="en-US"/>
        </w:rPr>
        <w:t>prentices trained across more than 50 different professions.</w:t>
      </w:r>
      <w:r w:rsidR="0000307C" w:rsidRPr="000040EC">
        <w:rPr>
          <w:rFonts w:ascii="Times New Roman" w:hAnsi="Times New Roman" w:cs="Times New Roman"/>
          <w:lang w:val="en-US"/>
        </w:rPr>
        <w:t xml:space="preserve"> </w:t>
      </w:r>
    </w:p>
    <w:p w14:paraId="36B5ED14" w14:textId="77777777" w:rsidR="005702AA" w:rsidRPr="000040EC" w:rsidRDefault="00E85829" w:rsidP="00451E92">
      <w:pPr>
        <w:jc w:val="both"/>
        <w:rPr>
          <w:rFonts w:ascii="Times New Roman" w:hAnsi="Times New Roman" w:cs="Times New Roman"/>
          <w:lang w:val="en-US"/>
        </w:rPr>
      </w:pPr>
      <w:r w:rsidRPr="000040EC">
        <w:rPr>
          <w:rFonts w:ascii="Times New Roman" w:hAnsi="Times New Roman" w:cs="Times New Roman"/>
          <w:lang w:val="en-US"/>
        </w:rPr>
        <w:t xml:space="preserve">In addition to its activities in food retail, the Migros Group also owns numerous subsidiaries operating in non-food retail, healthcare, tourism, as well as in the banking and education sectors. </w:t>
      </w:r>
      <w:r w:rsidR="00230A8D" w:rsidRPr="000040EC">
        <w:rPr>
          <w:rFonts w:ascii="Times New Roman" w:hAnsi="Times New Roman" w:cs="Times New Roman"/>
          <w:lang w:val="en-US"/>
        </w:rPr>
        <w:t xml:space="preserve">The Migros Group operates not only in the service sector but also in </w:t>
      </w:r>
      <w:r w:rsidR="000259BE" w:rsidRPr="000040EC">
        <w:rPr>
          <w:rFonts w:ascii="Times New Roman" w:hAnsi="Times New Roman" w:cs="Times New Roman"/>
          <w:lang w:val="en-US"/>
        </w:rPr>
        <w:t>the production sector</w:t>
      </w:r>
      <w:r w:rsidR="00230A8D" w:rsidRPr="000040EC">
        <w:rPr>
          <w:rFonts w:ascii="Times New Roman" w:hAnsi="Times New Roman" w:cs="Times New Roman"/>
          <w:lang w:val="en-US"/>
        </w:rPr>
        <w:t>, as the factories of Migros Industry produce most of the food products sold in Migros supermarkets.</w:t>
      </w:r>
      <w:r w:rsidR="002E37E1" w:rsidRPr="000040EC">
        <w:rPr>
          <w:rFonts w:ascii="Times New Roman" w:hAnsi="Times New Roman" w:cs="Times New Roman"/>
          <w:lang w:val="en-US"/>
        </w:rPr>
        <w:t xml:space="preserve"> Migros also has its own bank (Bank Migros) and </w:t>
      </w:r>
      <w:r w:rsidR="00F516CC" w:rsidRPr="000040EC">
        <w:rPr>
          <w:rFonts w:ascii="Times New Roman" w:hAnsi="Times New Roman" w:cs="Times New Roman"/>
          <w:lang w:val="en-US"/>
        </w:rPr>
        <w:t>provide courses and training programs (“</w:t>
      </w:r>
      <w:proofErr w:type="spellStart"/>
      <w:r w:rsidR="00F516CC" w:rsidRPr="000040EC">
        <w:rPr>
          <w:rFonts w:ascii="Times New Roman" w:hAnsi="Times New Roman" w:cs="Times New Roman"/>
          <w:lang w:val="en-US"/>
        </w:rPr>
        <w:t>Klubschule</w:t>
      </w:r>
      <w:proofErr w:type="spellEnd"/>
      <w:r w:rsidR="00F516CC" w:rsidRPr="000040EC">
        <w:rPr>
          <w:rFonts w:ascii="Times New Roman" w:hAnsi="Times New Roman" w:cs="Times New Roman"/>
          <w:lang w:val="en-US"/>
        </w:rPr>
        <w:t>” or “École-club</w:t>
      </w:r>
      <w:r w:rsidR="000259BE" w:rsidRPr="000040EC">
        <w:rPr>
          <w:rFonts w:ascii="Times New Roman" w:hAnsi="Times New Roman" w:cs="Times New Roman"/>
          <w:lang w:val="en-US"/>
        </w:rPr>
        <w:t xml:space="preserve"> Migros</w:t>
      </w:r>
      <w:r w:rsidR="00F516CC" w:rsidRPr="000040EC">
        <w:rPr>
          <w:rFonts w:ascii="Times New Roman" w:hAnsi="Times New Roman" w:cs="Times New Roman"/>
          <w:lang w:val="en-US"/>
        </w:rPr>
        <w:t>”)</w:t>
      </w:r>
      <w:r w:rsidR="000259BE" w:rsidRPr="000040EC">
        <w:rPr>
          <w:rFonts w:ascii="Times New Roman" w:hAnsi="Times New Roman" w:cs="Times New Roman"/>
          <w:lang w:val="en-US"/>
        </w:rPr>
        <w:t xml:space="preserve"> </w:t>
      </w:r>
      <w:r w:rsidR="00F516CC" w:rsidRPr="000040EC">
        <w:rPr>
          <w:rFonts w:ascii="Times New Roman" w:hAnsi="Times New Roman" w:cs="Times New Roman"/>
          <w:lang w:val="en-US"/>
        </w:rPr>
        <w:t>at around 50 different locations throughout Switzerland, courses which are sometimes funded by unemployment insurance itself as part of professional reintegration programs.</w:t>
      </w:r>
      <w:r w:rsidR="007465F7" w:rsidRPr="000040EC">
        <w:rPr>
          <w:rFonts w:ascii="Times New Roman" w:hAnsi="Times New Roman" w:cs="Times New Roman"/>
          <w:lang w:val="en-US"/>
        </w:rPr>
        <w:t xml:space="preserve"> </w:t>
      </w:r>
      <w:r w:rsidR="00FE4CA3" w:rsidRPr="000040EC">
        <w:rPr>
          <w:rFonts w:ascii="Times New Roman" w:hAnsi="Times New Roman" w:cs="Times New Roman"/>
          <w:lang w:val="en-US"/>
        </w:rPr>
        <w:t>In recent years, the Migros Group has divested numerous brands and retail subsidiaries</w:t>
      </w:r>
      <w:r w:rsidR="00FE4CA3" w:rsidRPr="000040EC">
        <w:rPr>
          <w:rStyle w:val="Appelnotedebasdep"/>
          <w:rFonts w:ascii="Times New Roman" w:hAnsi="Times New Roman" w:cs="Times New Roman"/>
          <w:lang w:val="en-US"/>
        </w:rPr>
        <w:footnoteReference w:id="5"/>
      </w:r>
      <w:r w:rsidR="00FE4CA3" w:rsidRPr="000040EC">
        <w:rPr>
          <w:rFonts w:ascii="Times New Roman" w:hAnsi="Times New Roman" w:cs="Times New Roman"/>
          <w:lang w:val="en-US"/>
        </w:rPr>
        <w:t xml:space="preserve"> as part of a strategic refocusing effort, particularly toward e-commerce, driven by the success of </w:t>
      </w:r>
      <w:proofErr w:type="spellStart"/>
      <w:r w:rsidR="00FE4CA3" w:rsidRPr="000040EC">
        <w:rPr>
          <w:rFonts w:ascii="Times New Roman" w:hAnsi="Times New Roman" w:cs="Times New Roman"/>
          <w:lang w:val="en-US"/>
        </w:rPr>
        <w:t>Digitec</w:t>
      </w:r>
      <w:proofErr w:type="spellEnd"/>
      <w:r w:rsidR="00FE4CA3" w:rsidRPr="000040EC">
        <w:rPr>
          <w:rFonts w:ascii="Times New Roman" w:hAnsi="Times New Roman" w:cs="Times New Roman"/>
          <w:lang w:val="en-US"/>
        </w:rPr>
        <w:t xml:space="preserve"> </w:t>
      </w:r>
      <w:proofErr w:type="spellStart"/>
      <w:r w:rsidR="00FE4CA3" w:rsidRPr="000040EC">
        <w:rPr>
          <w:rFonts w:ascii="Times New Roman" w:hAnsi="Times New Roman" w:cs="Times New Roman"/>
          <w:lang w:val="en-US"/>
        </w:rPr>
        <w:t>Galaxus</w:t>
      </w:r>
      <w:proofErr w:type="spellEnd"/>
      <w:r w:rsidR="00FE4CA3" w:rsidRPr="000040EC">
        <w:rPr>
          <w:rFonts w:ascii="Times New Roman" w:hAnsi="Times New Roman" w:cs="Times New Roman"/>
          <w:lang w:val="en-US"/>
        </w:rPr>
        <w:t xml:space="preserve">, its online retail subsidiary, which has </w:t>
      </w:r>
      <w:r w:rsidR="00FE4CA3" w:rsidRPr="000040EC">
        <w:rPr>
          <w:rFonts w:ascii="Times New Roman" w:hAnsi="Times New Roman" w:cs="Times New Roman"/>
          <w:lang w:val="en-US"/>
        </w:rPr>
        <w:lastRenderedPageBreak/>
        <w:t>established itself as Switzerland’s leading e-commerce platform since the COVID-19 pandemic</w:t>
      </w:r>
      <w:r w:rsidR="001A5211" w:rsidRPr="000040EC">
        <w:rPr>
          <w:rFonts w:ascii="Times New Roman" w:hAnsi="Times New Roman" w:cs="Times New Roman"/>
          <w:lang w:val="en-US"/>
        </w:rPr>
        <w:t xml:space="preserve"> </w:t>
      </w:r>
      <w:r w:rsidR="001A5211" w:rsidRPr="000040EC">
        <w:rPr>
          <w:rFonts w:ascii="Times New Roman" w:hAnsi="Times New Roman" w:cs="Times New Roman"/>
          <w:lang w:val="en-US"/>
        </w:rPr>
        <w:fldChar w:fldCharType="begin"/>
      </w:r>
      <w:r w:rsidR="001A5211" w:rsidRPr="000040EC">
        <w:rPr>
          <w:rFonts w:ascii="Times New Roman" w:hAnsi="Times New Roman" w:cs="Times New Roman"/>
          <w:lang w:val="en-US"/>
        </w:rPr>
        <w:instrText xml:space="preserve"> ADDIN ZOTERO_ITEM CSL_CITATION {"citationID":"OyKA0tnq","properties":{"formattedCitation":"(Nod and Irminger 2026)","plainCitation":"(Nod and Irminger 2026)","noteIndex":0},"citationItems":[{"id":6736,"uris":["http://zotero.org/groups/6311349/items/NVJJF55K"],"itemData":{"id":6736,"type":"report","publisher":"Fédération des coopératives Migros","title":"Rapport annuel Migros 2025","URL":"https://report.migros.ch/2025/app/uploads/Rapport-de-gestion.pdf","author":[{"family":"Nod","given":"Ursula"},{"family":"Irminger","given":"Mario"}],"issued":{"date-parts":[["2026"]]}}}],"schema":"https://github.com/citation-style-language/schema/raw/master/csl-citation.json"} </w:instrText>
      </w:r>
      <w:r w:rsidR="001A5211" w:rsidRPr="000040EC">
        <w:rPr>
          <w:rFonts w:ascii="Times New Roman" w:hAnsi="Times New Roman" w:cs="Times New Roman"/>
          <w:lang w:val="en-US"/>
        </w:rPr>
        <w:fldChar w:fldCharType="separate"/>
      </w:r>
      <w:r w:rsidR="001A5211" w:rsidRPr="000040EC">
        <w:rPr>
          <w:rFonts w:ascii="Times New Roman" w:hAnsi="Times New Roman" w:cs="Times New Roman"/>
          <w:lang w:val="en-US"/>
        </w:rPr>
        <w:t>(Nod and Irminger 2026)</w:t>
      </w:r>
      <w:r w:rsidR="001A5211" w:rsidRPr="000040EC">
        <w:rPr>
          <w:rFonts w:ascii="Times New Roman" w:hAnsi="Times New Roman" w:cs="Times New Roman"/>
          <w:lang w:val="en-US"/>
        </w:rPr>
        <w:fldChar w:fldCharType="end"/>
      </w:r>
      <w:r w:rsidR="00FE4CA3" w:rsidRPr="000040EC">
        <w:rPr>
          <w:rFonts w:ascii="Times New Roman" w:hAnsi="Times New Roman" w:cs="Times New Roman"/>
          <w:lang w:val="en-US"/>
        </w:rPr>
        <w:t>.</w:t>
      </w:r>
    </w:p>
    <w:p w14:paraId="4E51D451" w14:textId="59268B2C" w:rsidR="000259BE" w:rsidRPr="000040EC" w:rsidRDefault="000259BE" w:rsidP="00451E92">
      <w:pPr>
        <w:jc w:val="both"/>
        <w:rPr>
          <w:rFonts w:ascii="Times New Roman" w:hAnsi="Times New Roman" w:cs="Times New Roman"/>
          <w:lang w:val="en-US"/>
        </w:rPr>
      </w:pPr>
      <w:r w:rsidRPr="000040EC">
        <w:rPr>
          <w:rFonts w:ascii="Times New Roman" w:hAnsi="Times New Roman" w:cs="Times New Roman"/>
          <w:lang w:val="en-US"/>
        </w:rPr>
        <w:t xml:space="preserve"> </w:t>
      </w:r>
      <w:r w:rsidR="009B2543" w:rsidRPr="000040EC">
        <w:rPr>
          <w:rFonts w:ascii="Times New Roman" w:hAnsi="Times New Roman" w:cs="Times New Roman"/>
          <w:lang w:val="en-US"/>
        </w:rPr>
        <w:t>Coop is the other historic giant of Swiss retail and Migros’s main competitor in the domestic market.</w:t>
      </w:r>
      <w:r w:rsidR="00451E92" w:rsidRPr="000040EC">
        <w:rPr>
          <w:rFonts w:ascii="Times New Roman" w:hAnsi="Times New Roman" w:cs="Times New Roman"/>
          <w:lang w:val="en-US"/>
        </w:rPr>
        <w:t xml:space="preserve"> While this cooperative traditionally operated in Migros’s shadow and was long regarded as the number two of</w:t>
      </w:r>
      <w:r w:rsidR="00A977E0" w:rsidRPr="000040EC">
        <w:rPr>
          <w:rFonts w:ascii="Times New Roman" w:hAnsi="Times New Roman" w:cs="Times New Roman"/>
          <w:lang w:val="en-US"/>
        </w:rPr>
        <w:t xml:space="preserve"> Swiss</w:t>
      </w:r>
      <w:r w:rsidR="00451E92" w:rsidRPr="000040EC">
        <w:rPr>
          <w:rFonts w:ascii="Times New Roman" w:hAnsi="Times New Roman" w:cs="Times New Roman"/>
          <w:lang w:val="en-US"/>
        </w:rPr>
        <w:t xml:space="preserve"> retail, its growth in recent years has enabled it to surpass Migros in terms of turnover and market share in the food retail sector. Coop has a structure and profile similar to </w:t>
      </w:r>
      <w:r w:rsidRPr="000040EC">
        <w:rPr>
          <w:rFonts w:ascii="Times New Roman" w:hAnsi="Times New Roman" w:cs="Times New Roman"/>
          <w:lang w:val="en-US"/>
        </w:rPr>
        <w:t>those</w:t>
      </w:r>
      <w:r w:rsidR="00451E92" w:rsidRPr="000040EC">
        <w:rPr>
          <w:rFonts w:ascii="Times New Roman" w:hAnsi="Times New Roman" w:cs="Times New Roman"/>
          <w:lang w:val="en-US"/>
        </w:rPr>
        <w:t xml:space="preserve"> of Migros, with a few notable differences: Coop has become more heavily involved in wholesale trade following its acquisition of </w:t>
      </w:r>
      <w:proofErr w:type="spellStart"/>
      <w:r w:rsidR="00451E92" w:rsidRPr="000040EC">
        <w:rPr>
          <w:rFonts w:ascii="Times New Roman" w:hAnsi="Times New Roman" w:cs="Times New Roman"/>
          <w:lang w:val="en-US"/>
        </w:rPr>
        <w:t>Transgourmet</w:t>
      </w:r>
      <w:proofErr w:type="spellEnd"/>
      <w:r w:rsidR="00451E92" w:rsidRPr="000040EC">
        <w:rPr>
          <w:rFonts w:ascii="Times New Roman" w:hAnsi="Times New Roman" w:cs="Times New Roman"/>
          <w:lang w:val="en-US"/>
        </w:rPr>
        <w:t>, one of Europe's leading foodservice and wholesale distribution companies, and is therefore less diversified than Migros in terms of its range of business activities. Nevertheless, it still owns a wide portfolio of retail brands in both the food and non-food sectors, as well as several food production businesses</w:t>
      </w:r>
      <w:r w:rsidR="001A5211" w:rsidRPr="000040EC">
        <w:rPr>
          <w:rFonts w:ascii="Times New Roman" w:hAnsi="Times New Roman" w:cs="Times New Roman"/>
          <w:lang w:val="en-US"/>
        </w:rPr>
        <w:t xml:space="preserve"> </w:t>
      </w:r>
      <w:r w:rsidR="001A5211" w:rsidRPr="000040EC">
        <w:rPr>
          <w:rFonts w:ascii="Times New Roman" w:hAnsi="Times New Roman" w:cs="Times New Roman"/>
          <w:lang w:val="en-US"/>
        </w:rPr>
        <w:fldChar w:fldCharType="begin"/>
      </w:r>
      <w:r w:rsidR="001A5211" w:rsidRPr="000040EC">
        <w:rPr>
          <w:rFonts w:ascii="Times New Roman" w:hAnsi="Times New Roman" w:cs="Times New Roman"/>
          <w:lang w:val="en-US"/>
        </w:rPr>
        <w:instrText xml:space="preserve"> ADDIN ZOTERO_ITEM CSL_CITATION {"citationID":"aRNS6rGr","properties":{"formattedCitation":"(Sutter and Wyss 2026)","plainCitation":"(Sutter and Wyss 2026)","noteIndex":0},"citationItems":[{"id":6740,"uris":["http://zotero.org/groups/6311349/items/8FQUVPL2"],"itemData":{"id":6740,"type":"report","publisher":"Groupe Coop","title":"Rapport de gestion 2025","URL":"https://report.coop.ch/pdfs/Coop_GB_25_FR_5ec1838f7e.pdf","author":[{"family":"Sutter","given":"Joos"},{"family":"Wyss","given":"Philipp"}],"issued":{"date-parts":[["2026"]]}}}],"schema":"https://github.com/citation-style-language/schema/raw/master/csl-citation.json"} </w:instrText>
      </w:r>
      <w:r w:rsidR="001A5211" w:rsidRPr="000040EC">
        <w:rPr>
          <w:rFonts w:ascii="Times New Roman" w:hAnsi="Times New Roman" w:cs="Times New Roman"/>
          <w:lang w:val="en-US"/>
        </w:rPr>
        <w:fldChar w:fldCharType="separate"/>
      </w:r>
      <w:r w:rsidR="001A5211" w:rsidRPr="000040EC">
        <w:rPr>
          <w:rFonts w:ascii="Times New Roman" w:hAnsi="Times New Roman" w:cs="Times New Roman"/>
          <w:lang w:val="en-US"/>
        </w:rPr>
        <w:t>(Sutter and Wyss 2026)</w:t>
      </w:r>
      <w:r w:rsidR="001A5211" w:rsidRPr="000040EC">
        <w:rPr>
          <w:rFonts w:ascii="Times New Roman" w:hAnsi="Times New Roman" w:cs="Times New Roman"/>
          <w:lang w:val="en-US"/>
        </w:rPr>
        <w:fldChar w:fldCharType="end"/>
      </w:r>
      <w:r w:rsidR="00451E92" w:rsidRPr="000040EC">
        <w:rPr>
          <w:rFonts w:ascii="Times New Roman" w:hAnsi="Times New Roman" w:cs="Times New Roman"/>
          <w:lang w:val="en-US"/>
        </w:rPr>
        <w:t>.</w:t>
      </w:r>
      <w:r w:rsidR="002516BD" w:rsidRPr="000040EC">
        <w:rPr>
          <w:rFonts w:ascii="Times New Roman" w:hAnsi="Times New Roman" w:cs="Times New Roman"/>
          <w:lang w:val="en-US"/>
        </w:rPr>
        <w:t xml:space="preserve"> I</w:t>
      </w:r>
      <w:r w:rsidRPr="000040EC">
        <w:rPr>
          <w:rFonts w:ascii="Times New Roman" w:hAnsi="Times New Roman" w:cs="Times New Roman"/>
          <w:lang w:val="en-US"/>
        </w:rPr>
        <w:t>t is thus not surprising that the most significant sector of the Swiss economy is Wholesale &amp; retail trade.</w:t>
      </w:r>
    </w:p>
    <w:p w14:paraId="0AD4B1B2" w14:textId="792A9EEE" w:rsidR="00E56851" w:rsidRPr="000040EC" w:rsidRDefault="009F39BC" w:rsidP="00451E92">
      <w:pPr>
        <w:jc w:val="both"/>
        <w:rPr>
          <w:rFonts w:ascii="Times New Roman" w:hAnsi="Times New Roman" w:cs="Times New Roman"/>
          <w:lang w:val="en-US"/>
        </w:rPr>
      </w:pPr>
      <w:r w:rsidRPr="000040EC">
        <w:rPr>
          <w:rFonts w:ascii="Times New Roman" w:hAnsi="Times New Roman" w:cs="Times New Roman"/>
          <w:lang w:val="en-US"/>
        </w:rPr>
        <w:t xml:space="preserve">What is the effect of this duopoly on Swiss price dynamics? </w:t>
      </w:r>
      <w:r w:rsidR="00E56851" w:rsidRPr="000040EC">
        <w:rPr>
          <w:rFonts w:ascii="Times New Roman" w:hAnsi="Times New Roman" w:cs="Times New Roman"/>
          <w:lang w:val="en-US"/>
        </w:rPr>
        <w:t xml:space="preserve">On the one hand, Coop and Migros have been criticized for allegedly excessive margins that they are able to extract thanks to their </w:t>
      </w:r>
      <w:r w:rsidR="000A3EB5" w:rsidRPr="000040EC">
        <w:rPr>
          <w:rFonts w:ascii="Times New Roman" w:hAnsi="Times New Roman" w:cs="Times New Roman"/>
          <w:lang w:val="en-US"/>
        </w:rPr>
        <w:t>oligopolistic power</w:t>
      </w:r>
      <w:r w:rsidR="00E56851" w:rsidRPr="000040EC">
        <w:rPr>
          <w:rFonts w:ascii="Times New Roman" w:hAnsi="Times New Roman" w:cs="Times New Roman"/>
          <w:lang w:val="en-US"/>
        </w:rPr>
        <w:t xml:space="preserve">. By controlling both processing and distribution, they enjoy significant leverage in negotiations, particularly regarding the prices of agricultural products, which has fueled dissatisfaction among Swiss farmers. These farmers, politically represented by the Swiss Farmers’ Union (SFU), have been joined in their criticism by other stakeholders, including the Fédération </w:t>
      </w:r>
      <w:proofErr w:type="spellStart"/>
      <w:r w:rsidR="00E56851" w:rsidRPr="000040EC">
        <w:rPr>
          <w:rFonts w:ascii="Times New Roman" w:hAnsi="Times New Roman" w:cs="Times New Roman"/>
          <w:lang w:val="en-US"/>
        </w:rPr>
        <w:t>Romande</w:t>
      </w:r>
      <w:proofErr w:type="spellEnd"/>
      <w:r w:rsidR="00E56851" w:rsidRPr="000040EC">
        <w:rPr>
          <w:rFonts w:ascii="Times New Roman" w:hAnsi="Times New Roman" w:cs="Times New Roman"/>
          <w:lang w:val="en-US"/>
        </w:rPr>
        <w:t xml:space="preserve"> des </w:t>
      </w:r>
      <w:proofErr w:type="spellStart"/>
      <w:r w:rsidR="00E56851" w:rsidRPr="000040EC">
        <w:rPr>
          <w:rFonts w:ascii="Times New Roman" w:hAnsi="Times New Roman" w:cs="Times New Roman"/>
          <w:lang w:val="en-US"/>
        </w:rPr>
        <w:t>Consommateurs</w:t>
      </w:r>
      <w:proofErr w:type="spellEnd"/>
      <w:r w:rsidR="00E56851" w:rsidRPr="000040EC">
        <w:rPr>
          <w:rFonts w:ascii="Times New Roman" w:hAnsi="Times New Roman" w:cs="Times New Roman"/>
          <w:lang w:val="en-US"/>
        </w:rPr>
        <w:t xml:space="preserve"> (</w:t>
      </w:r>
      <w:r w:rsidR="00957F4A" w:rsidRPr="000040EC">
        <w:rPr>
          <w:rFonts w:ascii="Times New Roman" w:hAnsi="Times New Roman" w:cs="Times New Roman"/>
          <w:lang w:val="en-US"/>
        </w:rPr>
        <w:t>Romandie</w:t>
      </w:r>
      <w:r w:rsidR="00E56851" w:rsidRPr="000040EC">
        <w:rPr>
          <w:rFonts w:ascii="Times New Roman" w:hAnsi="Times New Roman" w:cs="Times New Roman"/>
          <w:lang w:val="en-US"/>
        </w:rPr>
        <w:t xml:space="preserve"> Consumers’ Federation), the press, and the national public broadcaster RTS. RTS, for its part, has sought to assess directly the margins of the two major retailers through numerous investigations conducted in recent years. One investigation published in 2023 highlighted what it described as “sometimes staggering price gaps between the prices paid by Coop and Migros and the prices charged on store shelves”, with gross margins on food products reportedly ranging from 50% and 80% to as much as 110%</w:t>
      </w:r>
      <w:r w:rsidR="00E56851" w:rsidRPr="000040EC">
        <w:rPr>
          <w:rStyle w:val="Appelnotedebasdep"/>
          <w:rFonts w:ascii="Times New Roman" w:hAnsi="Times New Roman" w:cs="Times New Roman"/>
          <w:lang w:val="en-US"/>
        </w:rPr>
        <w:footnoteReference w:id="6"/>
      </w:r>
      <w:r w:rsidR="00E56851" w:rsidRPr="000040EC">
        <w:rPr>
          <w:rFonts w:ascii="Times New Roman" w:hAnsi="Times New Roman" w:cs="Times New Roman"/>
          <w:lang w:val="en-US"/>
        </w:rPr>
        <w:t xml:space="preserve">. </w:t>
      </w:r>
    </w:p>
    <w:p w14:paraId="4D2AD3F2" w14:textId="0BC64096" w:rsidR="001A5211" w:rsidRPr="000040EC" w:rsidRDefault="00E56851" w:rsidP="00451E92">
      <w:pPr>
        <w:jc w:val="both"/>
        <w:rPr>
          <w:rFonts w:ascii="Times New Roman" w:hAnsi="Times New Roman" w:cs="Times New Roman"/>
          <w:lang w:val="en-US"/>
        </w:rPr>
      </w:pPr>
      <w:r w:rsidRPr="000040EC">
        <w:rPr>
          <w:rFonts w:ascii="Times New Roman" w:hAnsi="Times New Roman" w:cs="Times New Roman"/>
          <w:lang w:val="en-US"/>
        </w:rPr>
        <w:t xml:space="preserve">This substantial market power enjoyed by Migros and Coop is the result of a long tradition of protection of the Swiss domestic sectors. </w:t>
      </w:r>
      <w:r w:rsidR="000340CA" w:rsidRPr="000040EC">
        <w:rPr>
          <w:rFonts w:ascii="Times New Roman" w:hAnsi="Times New Roman" w:cs="Times New Roman"/>
          <w:lang w:val="en-US"/>
        </w:rPr>
        <w:t xml:space="preserve">The Swiss regulatory framework of its retail sector has long protected Coop and Migros from foreign competition: Swiss law restricts the opening of large stores above 10’000 </w:t>
      </w:r>
      <w:proofErr w:type="spellStart"/>
      <w:r w:rsidR="000340CA" w:rsidRPr="000040EC">
        <w:rPr>
          <w:rFonts w:ascii="Times New Roman" w:hAnsi="Times New Roman" w:cs="Times New Roman"/>
          <w:lang w:val="en-US"/>
        </w:rPr>
        <w:t>sqft</w:t>
      </w:r>
      <w:proofErr w:type="spellEnd"/>
      <w:r w:rsidR="000340CA" w:rsidRPr="000040EC">
        <w:rPr>
          <w:rFonts w:ascii="Times New Roman" w:hAnsi="Times New Roman" w:cs="Times New Roman"/>
          <w:lang w:val="en-US"/>
        </w:rPr>
        <w:t>; food safety and packaging regulations are very restrictive; direct democracy also allows citizen to oppose any planned openings and thus the latter can be refused or take a long time. The three languages</w:t>
      </w:r>
      <w:r w:rsidR="009725E1" w:rsidRPr="000040EC">
        <w:rPr>
          <w:rFonts w:ascii="Times New Roman" w:hAnsi="Times New Roman" w:cs="Times New Roman"/>
          <w:lang w:val="en-US"/>
        </w:rPr>
        <w:t xml:space="preserve"> of the country</w:t>
      </w:r>
      <w:r w:rsidR="000340CA" w:rsidRPr="000040EC">
        <w:rPr>
          <w:rFonts w:ascii="Times New Roman" w:hAnsi="Times New Roman" w:cs="Times New Roman"/>
          <w:lang w:val="en-US"/>
        </w:rPr>
        <w:t xml:space="preserve">: French, German and Italian; and the strong federalist structure of Switzerland’s political institutions as well as its strong decentralization into 26 different cantons each having its own </w:t>
      </w:r>
      <w:r w:rsidR="009725E1" w:rsidRPr="000040EC">
        <w:rPr>
          <w:rFonts w:ascii="Times New Roman" w:hAnsi="Times New Roman" w:cs="Times New Roman"/>
          <w:lang w:val="en-US"/>
        </w:rPr>
        <w:t xml:space="preserve">laws </w:t>
      </w:r>
      <w:r w:rsidR="009720C9" w:rsidRPr="000040EC">
        <w:rPr>
          <w:rFonts w:ascii="Times New Roman" w:hAnsi="Times New Roman" w:cs="Times New Roman"/>
          <w:lang w:val="en-US"/>
        </w:rPr>
        <w:t>are additional administrative barriers which deter potential foreign competitors to Coop and Migros</w:t>
      </w:r>
      <w:r w:rsidR="009725E1" w:rsidRPr="000040EC">
        <w:rPr>
          <w:rFonts w:ascii="Times New Roman" w:hAnsi="Times New Roman" w:cs="Times New Roman"/>
          <w:lang w:val="en-US"/>
        </w:rPr>
        <w:t xml:space="preserve"> </w:t>
      </w:r>
      <w:r w:rsidR="009725E1" w:rsidRPr="000040EC">
        <w:rPr>
          <w:rFonts w:ascii="Times New Roman" w:hAnsi="Times New Roman" w:cs="Times New Roman"/>
          <w:lang w:val="en-US"/>
        </w:rPr>
        <w:fldChar w:fldCharType="begin"/>
      </w:r>
      <w:r w:rsidR="009725E1" w:rsidRPr="000040EC">
        <w:rPr>
          <w:rFonts w:ascii="Times New Roman" w:hAnsi="Times New Roman" w:cs="Times New Roman"/>
          <w:lang w:val="en-US"/>
        </w:rPr>
        <w:instrText xml:space="preserve"> ADDIN ZOTERO_ITEM CSL_CITATION {"citationID":"scN62gjd","properties":{"formattedCitation":"(Morschett et al. 2009)","plainCitation":"(Morschett et al. 2009)","noteIndex":0},"citationItems":[{"id":6564,"uris":["http://zotero.org/groups/6311349/items/849ZCK48"],"itemData":{"id":6564,"type":"article-journal","container-title":"European Retail Research","issue":"2","page":"163-190","title":"Retailing in Switzerland - Player, Strategies and Developments","volume":"23","author":[{"family":"Morschett","given":"Dirk"},{"family":"Rudolph","given":"Thomas"},{"family":"Bauer","given":"Johannes"},{"family":"Donnath","given":"Annett"},{"family":"Meise","given":"Niklas"}],"issued":{"date-parts":[["2009"]]}}}],"schema":"https://github.com/citation-style-language/schema/raw/master/csl-citation.json"} </w:instrText>
      </w:r>
      <w:r w:rsidR="009725E1" w:rsidRPr="000040EC">
        <w:rPr>
          <w:rFonts w:ascii="Times New Roman" w:hAnsi="Times New Roman" w:cs="Times New Roman"/>
          <w:lang w:val="en-US"/>
        </w:rPr>
        <w:fldChar w:fldCharType="separate"/>
      </w:r>
      <w:r w:rsidR="009725E1" w:rsidRPr="000040EC">
        <w:rPr>
          <w:rFonts w:ascii="Times New Roman" w:hAnsi="Times New Roman" w:cs="Times New Roman"/>
          <w:lang w:val="en-US"/>
        </w:rPr>
        <w:t>(Morschett et al. 2009)</w:t>
      </w:r>
      <w:r w:rsidR="009725E1" w:rsidRPr="000040EC">
        <w:rPr>
          <w:rFonts w:ascii="Times New Roman" w:hAnsi="Times New Roman" w:cs="Times New Roman"/>
          <w:lang w:val="en-US"/>
        </w:rPr>
        <w:fldChar w:fldCharType="end"/>
      </w:r>
      <w:r w:rsidR="009720C9" w:rsidRPr="000040EC">
        <w:rPr>
          <w:rFonts w:ascii="Times New Roman" w:hAnsi="Times New Roman" w:cs="Times New Roman"/>
          <w:lang w:val="en-US"/>
        </w:rPr>
        <w:t>.</w:t>
      </w:r>
    </w:p>
    <w:p w14:paraId="5B3BFD92" w14:textId="2B8C4252" w:rsidR="003044C6" w:rsidRPr="000040EC" w:rsidRDefault="00E56851" w:rsidP="00C570BE">
      <w:pPr>
        <w:jc w:val="both"/>
        <w:rPr>
          <w:rFonts w:ascii="Times New Roman" w:hAnsi="Times New Roman" w:cs="Times New Roman"/>
          <w:lang w:val="en-US"/>
        </w:rPr>
      </w:pPr>
      <w:r w:rsidRPr="000040EC">
        <w:rPr>
          <w:rFonts w:ascii="Times New Roman" w:hAnsi="Times New Roman" w:cs="Times New Roman"/>
          <w:lang w:val="en-US"/>
        </w:rPr>
        <w:t xml:space="preserve">The agricultural </w:t>
      </w:r>
      <w:proofErr w:type="gramStart"/>
      <w:r w:rsidRPr="000040EC">
        <w:rPr>
          <w:rFonts w:ascii="Times New Roman" w:hAnsi="Times New Roman" w:cs="Times New Roman"/>
          <w:lang w:val="en-US"/>
        </w:rPr>
        <w:t>sector</w:t>
      </w:r>
      <w:proofErr w:type="gramEnd"/>
      <w:r w:rsidR="009D2E57" w:rsidRPr="000040EC">
        <w:rPr>
          <w:rFonts w:ascii="Times New Roman" w:hAnsi="Times New Roman" w:cs="Times New Roman"/>
          <w:lang w:val="en-US"/>
        </w:rPr>
        <w:t xml:space="preserve"> which </w:t>
      </w:r>
      <w:r w:rsidR="00973A99" w:rsidRPr="000040EC">
        <w:rPr>
          <w:rFonts w:ascii="Times New Roman" w:hAnsi="Times New Roman" w:cs="Times New Roman"/>
          <w:lang w:val="en-US"/>
        </w:rPr>
        <w:t>frequently denounces</w:t>
      </w:r>
      <w:r w:rsidR="009D2E57" w:rsidRPr="000040EC">
        <w:rPr>
          <w:rFonts w:ascii="Times New Roman" w:hAnsi="Times New Roman" w:cs="Times New Roman"/>
          <w:lang w:val="en-US"/>
        </w:rPr>
        <w:t xml:space="preserve"> the margins of the Coop-Migros </w:t>
      </w:r>
      <w:proofErr w:type="gramStart"/>
      <w:r w:rsidR="009D2E57" w:rsidRPr="000040EC">
        <w:rPr>
          <w:rFonts w:ascii="Times New Roman" w:hAnsi="Times New Roman" w:cs="Times New Roman"/>
          <w:lang w:val="en-US"/>
        </w:rPr>
        <w:t>duopoly</w:t>
      </w:r>
      <w:proofErr w:type="gramEnd"/>
      <w:r w:rsidRPr="000040EC">
        <w:rPr>
          <w:rFonts w:ascii="Times New Roman" w:hAnsi="Times New Roman" w:cs="Times New Roman"/>
          <w:lang w:val="en-US"/>
        </w:rPr>
        <w:t xml:space="preserve"> </w:t>
      </w:r>
      <w:r w:rsidR="00630490" w:rsidRPr="000040EC">
        <w:rPr>
          <w:rFonts w:ascii="Times New Roman" w:hAnsi="Times New Roman" w:cs="Times New Roman"/>
          <w:lang w:val="en-US"/>
        </w:rPr>
        <w:t>is</w:t>
      </w:r>
      <w:r w:rsidRPr="000040EC">
        <w:rPr>
          <w:rFonts w:ascii="Times New Roman" w:hAnsi="Times New Roman" w:cs="Times New Roman"/>
          <w:lang w:val="en-US"/>
        </w:rPr>
        <w:t xml:space="preserve"> also heavily protected and regulated. </w:t>
      </w:r>
      <w:r w:rsidR="00155A77" w:rsidRPr="000040EC">
        <w:rPr>
          <w:rFonts w:ascii="Times New Roman" w:hAnsi="Times New Roman" w:cs="Times New Roman"/>
          <w:lang w:val="en-US"/>
        </w:rPr>
        <w:t xml:space="preserve">Swiss agriculture would indeed not survive without the federal agricultural policy whose budget allocation for agriculture amounts to 3,4 billion francs per year, making Swiss agriculture one of the most subsidized among OECD economies. Swiss </w:t>
      </w:r>
      <w:r w:rsidR="00155A77" w:rsidRPr="000040EC">
        <w:rPr>
          <w:rFonts w:ascii="Times New Roman" w:hAnsi="Times New Roman" w:cs="Times New Roman"/>
          <w:lang w:val="en-US"/>
        </w:rPr>
        <w:lastRenderedPageBreak/>
        <w:t>agriculture is also strongly protected from foreign competition</w:t>
      </w:r>
      <w:r w:rsidR="005F3729" w:rsidRPr="000040EC">
        <w:rPr>
          <w:rFonts w:ascii="Times New Roman" w:hAnsi="Times New Roman" w:cs="Times New Roman"/>
          <w:lang w:val="en-US"/>
        </w:rPr>
        <w:t>: the average most-</w:t>
      </w:r>
      <w:r w:rsidR="00F121EC" w:rsidRPr="000040EC">
        <w:rPr>
          <w:rFonts w:ascii="Times New Roman" w:hAnsi="Times New Roman" w:cs="Times New Roman"/>
          <w:lang w:val="en-US"/>
        </w:rPr>
        <w:t>favored</w:t>
      </w:r>
      <w:r w:rsidR="005F3729" w:rsidRPr="000040EC">
        <w:rPr>
          <w:rFonts w:ascii="Times New Roman" w:hAnsi="Times New Roman" w:cs="Times New Roman"/>
          <w:lang w:val="en-US"/>
        </w:rPr>
        <w:t>-nation tariff on agricultural imports in 2023 was</w:t>
      </w:r>
      <w:r w:rsidR="00C841C2" w:rsidRPr="000040EC">
        <w:rPr>
          <w:rFonts w:ascii="Times New Roman" w:hAnsi="Times New Roman" w:cs="Times New Roman"/>
          <w:lang w:val="en-US"/>
        </w:rPr>
        <w:t xml:space="preserve"> according to the World Trade Organization (WTO)</w:t>
      </w:r>
      <w:r w:rsidR="005F3729" w:rsidRPr="000040EC">
        <w:rPr>
          <w:rFonts w:ascii="Times New Roman" w:hAnsi="Times New Roman" w:cs="Times New Roman"/>
          <w:lang w:val="en-US"/>
        </w:rPr>
        <w:t xml:space="preserve"> at 28,5% whereas it was at 1,3% for non-agricultural products</w:t>
      </w:r>
      <w:r w:rsidR="00C841C2" w:rsidRPr="000040EC">
        <w:rPr>
          <w:rFonts w:ascii="Times New Roman" w:hAnsi="Times New Roman" w:cs="Times New Roman"/>
          <w:lang w:val="en-US"/>
        </w:rPr>
        <w:t xml:space="preserve"> in 2023</w:t>
      </w:r>
      <w:r w:rsidR="00D56334" w:rsidRPr="000040EC">
        <w:rPr>
          <w:rFonts w:ascii="Times New Roman" w:hAnsi="Times New Roman" w:cs="Times New Roman"/>
          <w:lang w:val="en-US"/>
        </w:rPr>
        <w:t xml:space="preserve">. Tariffs on agricultural products </w:t>
      </w:r>
      <w:r w:rsidR="00C841C2" w:rsidRPr="000040EC">
        <w:rPr>
          <w:rFonts w:ascii="Times New Roman" w:hAnsi="Times New Roman" w:cs="Times New Roman"/>
          <w:lang w:val="en-US"/>
        </w:rPr>
        <w:t>were</w:t>
      </w:r>
      <w:r w:rsidR="00D56334" w:rsidRPr="000040EC">
        <w:rPr>
          <w:rFonts w:ascii="Times New Roman" w:hAnsi="Times New Roman" w:cs="Times New Roman"/>
          <w:lang w:val="en-US"/>
        </w:rPr>
        <w:t xml:space="preserve"> particularly high for live animals and meat (97,7%) and for dairy products (129%) </w:t>
      </w:r>
      <w:r w:rsidR="00D56334" w:rsidRPr="000040EC">
        <w:rPr>
          <w:rFonts w:ascii="Times New Roman" w:hAnsi="Times New Roman" w:cs="Times New Roman"/>
          <w:lang w:val="en-US"/>
        </w:rPr>
        <w:fldChar w:fldCharType="begin"/>
      </w:r>
      <w:r w:rsidR="009C4A82" w:rsidRPr="000040EC">
        <w:rPr>
          <w:rFonts w:ascii="Times New Roman" w:hAnsi="Times New Roman" w:cs="Times New Roman"/>
          <w:lang w:val="en-US"/>
        </w:rPr>
        <w:instrText xml:space="preserve"> ADDIN ZOTERO_ITEM CSL_CITATION {"citationID":"6uNFj1zs","properties":{"formattedCitation":"(WTO 2024)","plainCitation":"(WTO 2024)","dontUpdate":true,"noteIndex":0},"citationItems":[{"id":6757,"uris":["http://zotero.org/groups/6311349/items/L8M8WMME"],"itemData":{"id":6757,"type":"book","abstract":"World Tariff Profiles 2024 provides comprehensive information on the tariffs and non-tariff measures imposed by over 170 countries and customs territories. The publication starts with a breakdown of the tariffs imposed by these economies. Tariff data are presented in comparative tables and in one-page profiles for each economy. A summary table on selected indicators on the imports and exports profile for these economies is also presented. Statistics on non tariff measures by economy and by product group complement the data on tariffs. This special topic deals with “Tariffs on critical minerals in the electric vehicle value chain”. The publication is jointly prepared by the World Trade Organization, the UN Trade and Development (UNCTAD) and the International Trade Centre (ITC).","DOI":"10.30875/9789287076519","ISBN":"978-92-870-7651-9","language":"en","note":"DOI: 10.30875/9789287076519","publisher":"WTO iLibrary","source":"www.wto-ilibrary.org","title":"World Tariff Profiles 2024","URL":"https://www.wto-ilibrary.org/content/books/9789287076519","author":[{"family":"WTO","given":""}],"accessed":{"date-parts":[["2026",8,4]]},"issued":{"date-parts":[["2024",6,30]]}}}],"schema":"https://github.com/citation-style-language/schema/raw/master/csl-citation.json"} </w:instrText>
      </w:r>
      <w:r w:rsidR="00D56334" w:rsidRPr="000040EC">
        <w:rPr>
          <w:rFonts w:ascii="Times New Roman" w:hAnsi="Times New Roman" w:cs="Times New Roman"/>
          <w:lang w:val="en-US"/>
        </w:rPr>
        <w:fldChar w:fldCharType="separate"/>
      </w:r>
      <w:r w:rsidR="00D56334" w:rsidRPr="000040EC">
        <w:rPr>
          <w:rFonts w:ascii="Times New Roman" w:hAnsi="Times New Roman" w:cs="Times New Roman"/>
          <w:lang w:val="en-US"/>
        </w:rPr>
        <w:t>(WTO 2024, 173)</w:t>
      </w:r>
      <w:r w:rsidR="00D56334" w:rsidRPr="000040EC">
        <w:rPr>
          <w:rFonts w:ascii="Times New Roman" w:hAnsi="Times New Roman" w:cs="Times New Roman"/>
          <w:lang w:val="en-US"/>
        </w:rPr>
        <w:fldChar w:fldCharType="end"/>
      </w:r>
      <w:r w:rsidR="00D56334" w:rsidRPr="000040EC">
        <w:rPr>
          <w:rFonts w:ascii="Times New Roman" w:hAnsi="Times New Roman" w:cs="Times New Roman"/>
          <w:lang w:val="en-US"/>
        </w:rPr>
        <w:t>.</w:t>
      </w:r>
    </w:p>
    <w:p w14:paraId="15009E00" w14:textId="5CD46538" w:rsidR="00C570BE" w:rsidRPr="000040EC" w:rsidRDefault="005C4623" w:rsidP="00C570BE">
      <w:pPr>
        <w:jc w:val="both"/>
        <w:rPr>
          <w:rFonts w:ascii="Times New Roman" w:hAnsi="Times New Roman" w:cs="Times New Roman"/>
          <w:lang w:val="en-US"/>
        </w:rPr>
      </w:pPr>
      <w:r w:rsidRPr="000040EC">
        <w:rPr>
          <w:rFonts w:ascii="Times New Roman" w:hAnsi="Times New Roman" w:cs="Times New Roman"/>
          <w:lang w:val="en-US"/>
        </w:rPr>
        <w:t xml:space="preserve"> Switzerland has indeed a long tradition of strong border protection for agricultural products through import quotas. After the Uruguay Round, (seasonal) tariff rate quotas</w:t>
      </w:r>
      <w:r w:rsidR="005C600E" w:rsidRPr="000040EC">
        <w:rPr>
          <w:rFonts w:ascii="Times New Roman" w:hAnsi="Times New Roman" w:cs="Times New Roman"/>
          <w:lang w:val="en-US"/>
        </w:rPr>
        <w:t xml:space="preserve"> (TRQs)</w:t>
      </w:r>
      <w:r w:rsidRPr="000040EC">
        <w:rPr>
          <w:rFonts w:ascii="Times New Roman" w:hAnsi="Times New Roman" w:cs="Times New Roman"/>
          <w:lang w:val="en-US"/>
        </w:rPr>
        <w:t xml:space="preserve"> have become the main import protection tool to support farm income by keeping domestic producer prices high and to ensure domestic food supply.</w:t>
      </w:r>
      <w:r w:rsidR="005C600E" w:rsidRPr="000040EC">
        <w:rPr>
          <w:rFonts w:ascii="Times New Roman" w:hAnsi="Times New Roman" w:cs="Times New Roman"/>
          <w:lang w:val="en-US"/>
        </w:rPr>
        <w:t xml:space="preserve"> </w:t>
      </w:r>
      <w:r w:rsidR="004F14DE" w:rsidRPr="000040EC">
        <w:rPr>
          <w:rFonts w:ascii="Times New Roman" w:hAnsi="Times New Roman" w:cs="Times New Roman"/>
          <w:lang w:val="en-US"/>
        </w:rPr>
        <w:t xml:space="preserve">As a result, the OECD considers the level of price distortion of the Swiss agricultural sector to be one of the highest among OECD economies with a producer nominal protection of 1,56, meaning that Swiss farmers receive prices that are overall 56% above international market level </w:t>
      </w:r>
      <w:r w:rsidR="004F14DE" w:rsidRPr="000040EC">
        <w:rPr>
          <w:rFonts w:ascii="Times New Roman" w:hAnsi="Times New Roman" w:cs="Times New Roman"/>
          <w:lang w:val="en-US"/>
        </w:rPr>
        <w:fldChar w:fldCharType="begin"/>
      </w:r>
      <w:r w:rsidR="004F14DE" w:rsidRPr="000040EC">
        <w:rPr>
          <w:rFonts w:ascii="Times New Roman" w:hAnsi="Times New Roman" w:cs="Times New Roman"/>
          <w:lang w:val="en-US"/>
        </w:rPr>
        <w:instrText xml:space="preserve"> ADDIN ZOTERO_ITEM CSL_CITATION {"citationID":"2dMUOHYA","properties":{"formattedCitation":"(OECD 2025)","plainCitation":"(OECD 2025)","noteIndex":0},"citationItems":[{"id":6755,"uris":["http://zotero.org/groups/6311349/items/A7QTRLDP"],"itemData":{"id":6755,"type":"article-journal","abstract":"This annual report reviews agricultural policies in 54 countries, including the 38 OECD Member countries, five non‑OECD EU Member States, and 11 emerging economies. It finds that overall support to agriculture in 2022-24 remains well above pre-COVID levels. While nominal transfers to farmers have increased, expenditures benefitting consumers have declined. Support for innovation and other services is falling relative to the sector’s size, which, together with persistent trade distortions, threatens global food security.Marking 30 years since the WTO Agreement on Agriculture and the first UN Climate Change Conference, this year’s report focuses on policies at the nexus of agro-food trade and the environment. Agricultural and food trade has grown faster than production, with products increasingly moving through global value chains. Yet, agro-food products still face higher tariffs and trade barriers than other sectors, and market price support remains common.Governments are also doing more to address agriculture's environmental impacts, including its role in greenhouse gas emissions. The report offers guidance on designing better policies that align trade and environmental objectives, to help agriculture sustainably feed a growing world population.","container-title":"Agricultural Policy Monitoring and Evaluation","DOI":"10.1787/a80ac398-en","language":"en","publisher":"OECD Publishing","source":"www.oecd.org","title":"Agricultural Policy Monitoring and Evaluation 2025: Making the Most of the Trade and Environment Nexus in Agriculture","title-short":"Agricultural Policy Monitoring and Evaluation 2025","URL":"https://www.oecd.org/en/publications/agricultural-policy-monitoring-and-evaluation-2025_a80ac398-en.html","volume":"2025","author":[{"family":"OECD","given":""}],"accessed":{"date-parts":[["2026",8,4]]},"issued":{"date-parts":[["2025",10,30]]}}}],"schema":"https://github.com/citation-style-language/schema/raw/master/csl-citation.json"} </w:instrText>
      </w:r>
      <w:r w:rsidR="004F14DE" w:rsidRPr="000040EC">
        <w:rPr>
          <w:rFonts w:ascii="Times New Roman" w:hAnsi="Times New Roman" w:cs="Times New Roman"/>
          <w:lang w:val="en-US"/>
        </w:rPr>
        <w:fldChar w:fldCharType="separate"/>
      </w:r>
      <w:r w:rsidR="004F14DE" w:rsidRPr="000040EC">
        <w:rPr>
          <w:rFonts w:ascii="Times New Roman" w:hAnsi="Times New Roman" w:cs="Times New Roman"/>
          <w:lang w:val="en-US"/>
        </w:rPr>
        <w:t>(OECD 2025)</w:t>
      </w:r>
      <w:r w:rsidR="004F14DE" w:rsidRPr="000040EC">
        <w:rPr>
          <w:rFonts w:ascii="Times New Roman" w:hAnsi="Times New Roman" w:cs="Times New Roman"/>
          <w:lang w:val="en-US"/>
        </w:rPr>
        <w:fldChar w:fldCharType="end"/>
      </w:r>
      <w:r w:rsidR="004F14DE" w:rsidRPr="000040EC">
        <w:rPr>
          <w:rFonts w:ascii="Times New Roman" w:hAnsi="Times New Roman" w:cs="Times New Roman"/>
          <w:lang w:val="en-US"/>
        </w:rPr>
        <w:t>.</w:t>
      </w:r>
      <w:r w:rsidR="005C600E" w:rsidRPr="000040EC">
        <w:rPr>
          <w:rFonts w:ascii="Times New Roman" w:hAnsi="Times New Roman" w:cs="Times New Roman"/>
          <w:lang w:val="en-US"/>
        </w:rPr>
        <w:t xml:space="preserve"> A study by Judith Hillen on tomato prices under seasonal TRQs suggests that this system guarantees high but stable prices for vegetables products, but generates </w:t>
      </w:r>
      <w:r w:rsidR="004C06E2" w:rsidRPr="000040EC">
        <w:rPr>
          <w:rFonts w:ascii="Times New Roman" w:hAnsi="Times New Roman" w:cs="Times New Roman"/>
          <w:lang w:val="en-US"/>
        </w:rPr>
        <w:t xml:space="preserve">quota </w:t>
      </w:r>
      <w:r w:rsidR="005C600E" w:rsidRPr="000040EC">
        <w:rPr>
          <w:rFonts w:ascii="Times New Roman" w:hAnsi="Times New Roman" w:cs="Times New Roman"/>
          <w:lang w:val="en-US"/>
        </w:rPr>
        <w:t xml:space="preserve">rents which are most likely captured by the large retail companies (Coop and Migros) as they are the holders of import quotas </w:t>
      </w:r>
      <w:r w:rsidR="005C600E" w:rsidRPr="000040EC">
        <w:rPr>
          <w:rFonts w:ascii="Times New Roman" w:hAnsi="Times New Roman" w:cs="Times New Roman"/>
          <w:lang w:val="en-US"/>
        </w:rPr>
        <w:fldChar w:fldCharType="begin"/>
      </w:r>
      <w:r w:rsidR="009C4A82" w:rsidRPr="000040EC">
        <w:rPr>
          <w:rFonts w:ascii="Times New Roman" w:hAnsi="Times New Roman" w:cs="Times New Roman"/>
          <w:lang w:val="en-US"/>
        </w:rPr>
        <w:instrText xml:space="preserve"> ADDIN ZOTERO_ITEM CSL_CITATION {"citationID":"qMnpI0FI","properties":{"formattedCitation":"(Hillen 2019)","plainCitation":"(Hillen 2019)","dontUpdate":true,"noteIndex":0},"citationItems":[{"id":6760,"uris":["http://zotero.org/groups/6311349/items/QTMRB68F"],"itemData":{"id":6760,"type":"article-journal","abstract":"Switzerland applies seasonal tariff rate quotas (TRQs) for the import of many fruits and vegetables during the domestic harvest season. We examine how this system affects the relationship between Italian and Swiss tomato prices and test for physical market integration and spatial equilibrium conditions over time. We use detailed, transaction-based data on trade flows and trade costs and estimate an extended parity bounds model, following Barrett and Li (2002). We confirm that in the summer season, when TRQs are in place, markets are inefficient. While quota holders receive positive rents, the marginal rents for importers without quota shares are negative. This inhibits trade flows above the in-quota import quantity allowed by TRQs. Hence, despite leading to inefficiencies and creating rents for importers, seasonal TRQs are effective in protecting domestic production against competing imports.","container-title":"Journal of Agricultural Economics","DOI":"10.1111/1477-9552.12355","ISSN":"1477-9552","issue":"3","language":"en","license":"© 2019 The Authors. Journal of Agricultural Economics published by John Wiley &amp; Sons Ltd on behalf of Agricultural Economics Society.","page":"859-873","source":"Wiley Online Library","title":"Market Integration and Market Efficiency under Seasonal Tariff Rate Quotas","volume":"70","author":[{"family":"Hillen","given":"Judith"}],"issued":{"date-parts":[["2019"]]}}}],"schema":"https://github.com/citation-style-language/schema/raw/master/csl-citation.json"} </w:instrText>
      </w:r>
      <w:r w:rsidR="005C600E" w:rsidRPr="000040EC">
        <w:rPr>
          <w:rFonts w:ascii="Times New Roman" w:hAnsi="Times New Roman" w:cs="Times New Roman"/>
          <w:lang w:val="en-US"/>
        </w:rPr>
        <w:fldChar w:fldCharType="separate"/>
      </w:r>
      <w:r w:rsidR="005C600E" w:rsidRPr="000040EC">
        <w:rPr>
          <w:rFonts w:ascii="Times New Roman" w:hAnsi="Times New Roman" w:cs="Times New Roman"/>
          <w:lang w:val="en-US"/>
        </w:rPr>
        <w:t>(Hillen 2019, 871)</w:t>
      </w:r>
      <w:r w:rsidR="005C600E" w:rsidRPr="000040EC">
        <w:rPr>
          <w:rFonts w:ascii="Times New Roman" w:hAnsi="Times New Roman" w:cs="Times New Roman"/>
          <w:lang w:val="en-US"/>
        </w:rPr>
        <w:fldChar w:fldCharType="end"/>
      </w:r>
      <w:r w:rsidR="00E716A4" w:rsidRPr="000040EC">
        <w:rPr>
          <w:rFonts w:ascii="Times New Roman" w:hAnsi="Times New Roman" w:cs="Times New Roman"/>
          <w:lang w:val="en-US"/>
        </w:rPr>
        <w:t xml:space="preserve">. </w:t>
      </w:r>
    </w:p>
    <w:p w14:paraId="6026BB02" w14:textId="77777777" w:rsidR="005702AA" w:rsidRPr="000040EC" w:rsidRDefault="007F2DA8" w:rsidP="009B2543">
      <w:pPr>
        <w:jc w:val="both"/>
        <w:rPr>
          <w:rFonts w:ascii="Times New Roman" w:hAnsi="Times New Roman" w:cs="Times New Roman"/>
          <w:lang w:val="en-US"/>
        </w:rPr>
      </w:pPr>
      <w:r w:rsidRPr="000040EC">
        <w:rPr>
          <w:rFonts w:ascii="Times New Roman" w:hAnsi="Times New Roman" w:cs="Times New Roman"/>
          <w:lang w:val="en-US"/>
        </w:rPr>
        <w:t>In response to th</w:t>
      </w:r>
      <w:r w:rsidR="00AF4C7B" w:rsidRPr="000040EC">
        <w:rPr>
          <w:rFonts w:ascii="Times New Roman" w:hAnsi="Times New Roman" w:cs="Times New Roman"/>
          <w:lang w:val="en-US"/>
        </w:rPr>
        <w:t>ese accusations, Coop and Migros have put forward their cooperative structure</w:t>
      </w:r>
      <w:r w:rsidR="00DE3002" w:rsidRPr="000040EC">
        <w:rPr>
          <w:rFonts w:ascii="Times New Roman" w:hAnsi="Times New Roman" w:cs="Times New Roman"/>
          <w:lang w:val="en-US"/>
        </w:rPr>
        <w:t xml:space="preserve"> which impede the two giants from generating profits and allegedly encourage them to pursue the interests of Swiss consumers</w:t>
      </w:r>
      <w:r w:rsidR="00E716A4" w:rsidRPr="000040EC">
        <w:rPr>
          <w:rFonts w:ascii="Times New Roman" w:hAnsi="Times New Roman" w:cs="Times New Roman"/>
          <w:lang w:val="en-US"/>
        </w:rPr>
        <w:t xml:space="preserve">. </w:t>
      </w:r>
      <w:r w:rsidR="00C570BE" w:rsidRPr="000040EC">
        <w:rPr>
          <w:rFonts w:ascii="Times New Roman" w:hAnsi="Times New Roman" w:cs="Times New Roman"/>
          <w:lang w:val="en-US"/>
        </w:rPr>
        <w:t>In their communication strategies, Coop and Migros</w:t>
      </w:r>
      <w:r w:rsidR="00DE3002" w:rsidRPr="000040EC">
        <w:rPr>
          <w:rFonts w:ascii="Times New Roman" w:hAnsi="Times New Roman" w:cs="Times New Roman"/>
          <w:lang w:val="en-US"/>
        </w:rPr>
        <w:t xml:space="preserve"> furthermore</w:t>
      </w:r>
      <w:r w:rsidR="00C570BE" w:rsidRPr="000040EC">
        <w:rPr>
          <w:rFonts w:ascii="Times New Roman" w:hAnsi="Times New Roman" w:cs="Times New Roman"/>
          <w:lang w:val="en-US"/>
        </w:rPr>
        <w:t xml:space="preserve"> claim to be engaged in "price wars" </w:t>
      </w:r>
      <w:proofErr w:type="gramStart"/>
      <w:r w:rsidR="00C570BE" w:rsidRPr="000040EC">
        <w:rPr>
          <w:rFonts w:ascii="Times New Roman" w:hAnsi="Times New Roman" w:cs="Times New Roman"/>
          <w:lang w:val="en-US"/>
        </w:rPr>
        <w:t>in order to</w:t>
      </w:r>
      <w:proofErr w:type="gramEnd"/>
      <w:r w:rsidR="00C570BE" w:rsidRPr="000040EC">
        <w:rPr>
          <w:rFonts w:ascii="Times New Roman" w:hAnsi="Times New Roman" w:cs="Times New Roman"/>
          <w:lang w:val="en-US"/>
        </w:rPr>
        <w:t xml:space="preserve"> remain attractive in the face of the two discount outsiders, Aldi and Lidl. They allegedly claim that price </w:t>
      </w:r>
      <w:r w:rsidR="00AF4C7B" w:rsidRPr="000040EC">
        <w:rPr>
          <w:rFonts w:ascii="Times New Roman" w:hAnsi="Times New Roman" w:cs="Times New Roman"/>
          <w:lang w:val="en-US"/>
        </w:rPr>
        <w:t>reductions</w:t>
      </w:r>
      <w:r w:rsidR="00C570BE" w:rsidRPr="000040EC">
        <w:rPr>
          <w:rFonts w:ascii="Times New Roman" w:hAnsi="Times New Roman" w:cs="Times New Roman"/>
          <w:lang w:val="en-US"/>
        </w:rPr>
        <w:t xml:space="preserve"> are regularly implemented across hundreds of products, and that these reductions are absorbed through lower margins on their side rather than at the expense of producers.</w:t>
      </w:r>
      <w:r w:rsidR="009C4A82" w:rsidRPr="000040EC">
        <w:rPr>
          <w:rFonts w:ascii="Times New Roman" w:hAnsi="Times New Roman" w:cs="Times New Roman"/>
          <w:lang w:val="en-US"/>
        </w:rPr>
        <w:t xml:space="preserve"> </w:t>
      </w:r>
    </w:p>
    <w:p w14:paraId="159B659D" w14:textId="7C54E6CA" w:rsidR="009B2543" w:rsidRPr="000040EC" w:rsidRDefault="009C4A82" w:rsidP="009B2543">
      <w:pPr>
        <w:jc w:val="both"/>
        <w:rPr>
          <w:rFonts w:ascii="Times New Roman" w:hAnsi="Times New Roman" w:cs="Times New Roman"/>
          <w:lang w:val="en-US"/>
        </w:rPr>
      </w:pPr>
      <w:r w:rsidRPr="000040EC">
        <w:rPr>
          <w:rFonts w:ascii="Times New Roman" w:hAnsi="Times New Roman" w:cs="Times New Roman"/>
          <w:lang w:val="en-US"/>
        </w:rPr>
        <w:t xml:space="preserve">As shown by </w:t>
      </w:r>
      <w:r w:rsidRPr="000040EC">
        <w:rPr>
          <w:rFonts w:ascii="Times New Roman" w:hAnsi="Times New Roman" w:cs="Times New Roman"/>
          <w:lang w:val="en-US"/>
        </w:rPr>
        <w:fldChar w:fldCharType="begin"/>
      </w:r>
      <w:r w:rsidR="002C26F3" w:rsidRPr="000040EC">
        <w:rPr>
          <w:rFonts w:ascii="Times New Roman" w:hAnsi="Times New Roman" w:cs="Times New Roman"/>
          <w:lang w:val="en-US"/>
        </w:rPr>
        <w:instrText xml:space="preserve"> ADDIN ZOTERO_ITEM CSL_CITATION {"citationID":"XbXe1nq6","properties":{"formattedCitation":"(Fischer et al. 2021)","plainCitation":"(Fischer et al. 2021)","dontUpdate":true,"noteIndex":0},"citationItems":[{"id":6774,"uris":["http://zotero.org/groups/6311349/items/9EMSZ2RT"],"itemData":{"id":6774,"type":"document","publisher":"BAK Economics","publisher-place":"Basel","title":"Analyse der Schweizer Detailhandelspreise im internationalen Vergleich","URL":"https://www.bak-economics.com/studien-analysen/detail/analyse-der-schweizer-detailhandelspreise-im-internationalen-vergleich","author":[{"family":"Fischer","given":"Silvan"},{"family":"Grass","given":"Michael"},{"family":"Grossmiklaus","given":"Bruno"},{"family":"Guggia","given":"Valentino"}],"issued":{"date-parts":[["2021"]]}}}],"schema":"https://github.com/citation-style-language/schema/raw/master/csl-citation.json"} </w:instrText>
      </w:r>
      <w:r w:rsidRPr="000040EC">
        <w:rPr>
          <w:rFonts w:ascii="Times New Roman" w:hAnsi="Times New Roman" w:cs="Times New Roman"/>
          <w:lang w:val="en-US"/>
        </w:rPr>
        <w:fldChar w:fldCharType="separate"/>
      </w:r>
      <w:r w:rsidRPr="000040EC">
        <w:rPr>
          <w:rFonts w:ascii="Times New Roman" w:hAnsi="Times New Roman" w:cs="Times New Roman"/>
          <w:lang w:val="en-US"/>
        </w:rPr>
        <w:t>Fischer et al. (2021)</w:t>
      </w:r>
      <w:r w:rsidRPr="000040EC">
        <w:rPr>
          <w:rFonts w:ascii="Times New Roman" w:hAnsi="Times New Roman" w:cs="Times New Roman"/>
          <w:lang w:val="en-US"/>
        </w:rPr>
        <w:fldChar w:fldCharType="end"/>
      </w:r>
      <w:r w:rsidRPr="000040EC">
        <w:rPr>
          <w:rFonts w:ascii="Times New Roman" w:hAnsi="Times New Roman" w:cs="Times New Roman"/>
          <w:lang w:val="en-US"/>
        </w:rPr>
        <w:t xml:space="preserve">, </w:t>
      </w:r>
      <w:r w:rsidR="00987B34" w:rsidRPr="000040EC">
        <w:rPr>
          <w:rFonts w:ascii="Times New Roman" w:hAnsi="Times New Roman" w:cs="Times New Roman"/>
          <w:lang w:val="en-US"/>
        </w:rPr>
        <w:t xml:space="preserve">it is true that </w:t>
      </w:r>
      <w:r w:rsidRPr="000040EC">
        <w:rPr>
          <w:rFonts w:ascii="Times New Roman" w:hAnsi="Times New Roman" w:cs="Times New Roman"/>
          <w:lang w:val="en-US"/>
        </w:rPr>
        <w:t>the Swiss retail sector has experienced an important decline in its price level</w:t>
      </w:r>
      <w:r w:rsidR="00987B34" w:rsidRPr="000040EC">
        <w:rPr>
          <w:rFonts w:ascii="Times New Roman" w:hAnsi="Times New Roman" w:cs="Times New Roman"/>
          <w:lang w:val="en-US"/>
        </w:rPr>
        <w:t xml:space="preserve"> at least</w:t>
      </w:r>
      <w:r w:rsidRPr="000040EC">
        <w:rPr>
          <w:rFonts w:ascii="Times New Roman" w:hAnsi="Times New Roman" w:cs="Times New Roman"/>
          <w:lang w:val="en-US"/>
        </w:rPr>
        <w:t xml:space="preserve"> between 1994 and 2019 as the price of a representative retail shopping basket decreased by 27,5% during this period.</w:t>
      </w:r>
      <w:r w:rsidR="00D10F6C" w:rsidRPr="000040EC">
        <w:rPr>
          <w:rFonts w:ascii="Times New Roman" w:hAnsi="Times New Roman" w:cs="Times New Roman"/>
          <w:lang w:val="en-US"/>
        </w:rPr>
        <w:t xml:space="preserve"> But</w:t>
      </w:r>
      <w:r w:rsidRPr="000040EC">
        <w:rPr>
          <w:rFonts w:ascii="Times New Roman" w:hAnsi="Times New Roman" w:cs="Times New Roman"/>
          <w:lang w:val="en-US"/>
        </w:rPr>
        <w:t xml:space="preserve"> </w:t>
      </w:r>
      <w:r w:rsidR="00D10F6C" w:rsidRPr="000040EC">
        <w:rPr>
          <w:rFonts w:ascii="Times New Roman" w:hAnsi="Times New Roman" w:cs="Times New Roman"/>
          <w:lang w:val="en-US"/>
        </w:rPr>
        <w:t>t</w:t>
      </w:r>
      <w:r w:rsidRPr="000040EC">
        <w:rPr>
          <w:rFonts w:ascii="Times New Roman" w:hAnsi="Times New Roman" w:cs="Times New Roman"/>
          <w:lang w:val="en-US"/>
        </w:rPr>
        <w:t xml:space="preserve">his decline is mainly driven by falling prices in non-food products </w:t>
      </w:r>
      <w:r w:rsidR="00987B34" w:rsidRPr="000040EC">
        <w:rPr>
          <w:rFonts w:ascii="Times New Roman" w:hAnsi="Times New Roman" w:cs="Times New Roman"/>
          <w:lang w:val="en-US"/>
        </w:rPr>
        <w:t>as the same price index excluding food products nearly halved over the same period</w:t>
      </w:r>
      <w:r w:rsidR="00C20063" w:rsidRPr="000040EC">
        <w:rPr>
          <w:rFonts w:ascii="Times New Roman" w:hAnsi="Times New Roman" w:cs="Times New Roman"/>
          <w:lang w:val="en-US"/>
        </w:rPr>
        <w:t xml:space="preserve"> while </w:t>
      </w:r>
      <w:r w:rsidR="00DC1EF6" w:rsidRPr="000040EC">
        <w:rPr>
          <w:rFonts w:ascii="Times New Roman" w:hAnsi="Times New Roman" w:cs="Times New Roman"/>
          <w:lang w:val="en-US"/>
        </w:rPr>
        <w:t>the food-only index increased by 19%</w:t>
      </w:r>
      <w:r w:rsidR="00DC1EF6" w:rsidRPr="000040EC">
        <w:rPr>
          <w:rStyle w:val="Appelnotedebasdep"/>
          <w:rFonts w:ascii="Times New Roman" w:hAnsi="Times New Roman" w:cs="Times New Roman"/>
          <w:lang w:val="en-US"/>
        </w:rPr>
        <w:footnoteReference w:id="7"/>
      </w:r>
      <w:r w:rsidR="00C20063" w:rsidRPr="000040EC">
        <w:rPr>
          <w:rFonts w:ascii="Times New Roman" w:hAnsi="Times New Roman" w:cs="Times New Roman"/>
          <w:lang w:val="en-US"/>
        </w:rPr>
        <w:t>.</w:t>
      </w:r>
      <w:r w:rsidR="005B6498" w:rsidRPr="000040EC">
        <w:rPr>
          <w:rFonts w:ascii="Times New Roman" w:hAnsi="Times New Roman" w:cs="Times New Roman"/>
          <w:lang w:val="en-US"/>
        </w:rPr>
        <w:t xml:space="preserve"> </w:t>
      </w:r>
      <w:r w:rsidR="007F2DA8" w:rsidRPr="000040EC">
        <w:rPr>
          <w:rFonts w:ascii="Times New Roman" w:hAnsi="Times New Roman" w:cs="Times New Roman"/>
          <w:lang w:val="en-US"/>
        </w:rPr>
        <w:t>D</w:t>
      </w:r>
      <w:r w:rsidR="00C570BE" w:rsidRPr="000040EC">
        <w:rPr>
          <w:rFonts w:ascii="Times New Roman" w:hAnsi="Times New Roman" w:cs="Times New Roman"/>
          <w:lang w:val="en-US"/>
        </w:rPr>
        <w:t>ue to lack of information on</w:t>
      </w:r>
      <w:r w:rsidR="005B6498" w:rsidRPr="000040EC">
        <w:rPr>
          <w:rFonts w:ascii="Times New Roman" w:hAnsi="Times New Roman" w:cs="Times New Roman"/>
          <w:lang w:val="en-US"/>
        </w:rPr>
        <w:t xml:space="preserve"> Swiss firms</w:t>
      </w:r>
      <w:r w:rsidR="001B22E1" w:rsidRPr="000040EC">
        <w:rPr>
          <w:rFonts w:ascii="Times New Roman" w:hAnsi="Times New Roman" w:cs="Times New Roman"/>
          <w:lang w:val="en-US"/>
        </w:rPr>
        <w:t>’</w:t>
      </w:r>
      <w:r w:rsidR="00C570BE" w:rsidRPr="000040EC">
        <w:rPr>
          <w:rFonts w:ascii="Times New Roman" w:hAnsi="Times New Roman" w:cs="Times New Roman"/>
          <w:lang w:val="en-US"/>
        </w:rPr>
        <w:t xml:space="preserve"> margins and markups, it is </w:t>
      </w:r>
      <w:r w:rsidR="00374402" w:rsidRPr="000040EC">
        <w:rPr>
          <w:rFonts w:ascii="Times New Roman" w:hAnsi="Times New Roman" w:cs="Times New Roman"/>
          <w:lang w:val="en-US"/>
        </w:rPr>
        <w:t>however</w:t>
      </w:r>
      <w:r w:rsidR="007F2DA8" w:rsidRPr="000040EC">
        <w:rPr>
          <w:rFonts w:ascii="Times New Roman" w:hAnsi="Times New Roman" w:cs="Times New Roman"/>
          <w:lang w:val="en-US"/>
        </w:rPr>
        <w:t xml:space="preserve"> </w:t>
      </w:r>
      <w:r w:rsidR="00C570BE" w:rsidRPr="000040EC">
        <w:rPr>
          <w:rFonts w:ascii="Times New Roman" w:hAnsi="Times New Roman" w:cs="Times New Roman"/>
          <w:lang w:val="en-US"/>
        </w:rPr>
        <w:t xml:space="preserve">not possible to assess </w:t>
      </w:r>
      <w:r w:rsidR="005B6498" w:rsidRPr="000040EC">
        <w:rPr>
          <w:rFonts w:ascii="Times New Roman" w:hAnsi="Times New Roman" w:cs="Times New Roman"/>
          <w:lang w:val="en-US"/>
        </w:rPr>
        <w:t>how the costs of retail price decreases are distributed between producers and retailers</w:t>
      </w:r>
      <w:r w:rsidR="00AF4C7B" w:rsidRPr="000040EC">
        <w:rPr>
          <w:rFonts w:ascii="Times New Roman" w:hAnsi="Times New Roman" w:cs="Times New Roman"/>
          <w:lang w:val="en-US"/>
        </w:rPr>
        <w:t>.</w:t>
      </w:r>
      <w:r w:rsidR="00617CDD" w:rsidRPr="000040EC">
        <w:rPr>
          <w:rFonts w:ascii="Times New Roman" w:hAnsi="Times New Roman" w:cs="Times New Roman"/>
          <w:lang w:val="en-US"/>
        </w:rPr>
        <w:t xml:space="preserve"> What can be asserted </w:t>
      </w:r>
      <w:r w:rsidR="005A2F79" w:rsidRPr="000040EC">
        <w:rPr>
          <w:rFonts w:ascii="Times New Roman" w:hAnsi="Times New Roman" w:cs="Times New Roman"/>
          <w:lang w:val="en-US"/>
        </w:rPr>
        <w:t>with certainty</w:t>
      </w:r>
      <w:r w:rsidR="00617CDD" w:rsidRPr="000040EC">
        <w:rPr>
          <w:rFonts w:ascii="Times New Roman" w:hAnsi="Times New Roman" w:cs="Times New Roman"/>
          <w:lang w:val="en-US"/>
        </w:rPr>
        <w:t xml:space="preserve"> is that the strong degree of regulation and protection of the retail and agricultural sectors outlined above contribute </w:t>
      </w:r>
      <w:r w:rsidR="004C6BD4" w:rsidRPr="000040EC">
        <w:rPr>
          <w:rFonts w:ascii="Times New Roman" w:hAnsi="Times New Roman" w:cs="Times New Roman"/>
          <w:lang w:val="en-US"/>
        </w:rPr>
        <w:t>to Swiss food price stability by isolating the latter from international price fluctuations at the expense of very high domestic prices.</w:t>
      </w:r>
      <w:r w:rsidRPr="000040EC">
        <w:rPr>
          <w:rFonts w:ascii="Times New Roman" w:hAnsi="Times New Roman" w:cs="Times New Roman"/>
          <w:lang w:val="en-US"/>
        </w:rPr>
        <w:t xml:space="preserve"> </w:t>
      </w:r>
    </w:p>
    <w:p w14:paraId="5FD01D35" w14:textId="4DC53CC6" w:rsidR="00AB1A05" w:rsidRPr="000040EC" w:rsidRDefault="00AB1A05" w:rsidP="00AB1A05">
      <w:pPr>
        <w:pStyle w:val="Titre2"/>
        <w:rPr>
          <w:rFonts w:ascii="Times New Roman" w:hAnsi="Times New Roman" w:cs="Times New Roman"/>
          <w:color w:val="auto"/>
          <w:lang w:val="en-US"/>
        </w:rPr>
      </w:pPr>
      <w:r w:rsidRPr="000040EC">
        <w:rPr>
          <w:rFonts w:ascii="Times New Roman" w:hAnsi="Times New Roman" w:cs="Times New Roman"/>
          <w:color w:val="auto"/>
          <w:lang w:val="en-US"/>
        </w:rPr>
        <w:lastRenderedPageBreak/>
        <w:t>Energy sector</w:t>
      </w:r>
    </w:p>
    <w:p w14:paraId="7E4D3B26" w14:textId="1B5C7583" w:rsidR="00AD7EDD" w:rsidRPr="000040EC" w:rsidRDefault="003044C6" w:rsidP="00CB706E">
      <w:pPr>
        <w:jc w:val="both"/>
        <w:rPr>
          <w:rFonts w:ascii="Times New Roman" w:hAnsi="Times New Roman" w:cs="Times New Roman"/>
          <w:lang w:val="en-US"/>
        </w:rPr>
      </w:pPr>
      <w:r w:rsidRPr="000040E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06973DC" wp14:editId="51D146C1">
                <wp:simplePos x="0" y="0"/>
                <wp:positionH relativeFrom="margin">
                  <wp:align>center</wp:align>
                </wp:positionH>
                <wp:positionV relativeFrom="paragraph">
                  <wp:posOffset>5272697</wp:posOffset>
                </wp:positionV>
                <wp:extent cx="5527040" cy="635"/>
                <wp:effectExtent l="0" t="0" r="0" b="0"/>
                <wp:wrapSquare wrapText="bothSides"/>
                <wp:docPr id="153271882" name="Zone de texte 1"/>
                <wp:cNvGraphicFramePr/>
                <a:graphic xmlns:a="http://schemas.openxmlformats.org/drawingml/2006/main">
                  <a:graphicData uri="http://schemas.microsoft.com/office/word/2010/wordprocessingShape">
                    <wps:wsp>
                      <wps:cNvSpPr txBox="1"/>
                      <wps:spPr>
                        <a:xfrm>
                          <a:off x="0" y="0"/>
                          <a:ext cx="5527040" cy="635"/>
                        </a:xfrm>
                        <a:prstGeom prst="rect">
                          <a:avLst/>
                        </a:prstGeom>
                        <a:solidFill>
                          <a:prstClr val="white"/>
                        </a:solidFill>
                        <a:ln>
                          <a:noFill/>
                        </a:ln>
                      </wps:spPr>
                      <wps:txbx>
                        <w:txbxContent>
                          <w:p w14:paraId="69F4D29D" w14:textId="653699C8" w:rsidR="00394E9D" w:rsidRPr="00E22F4B" w:rsidRDefault="00394E9D" w:rsidP="00394E9D">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6</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Share of primary energy use by source in Switzerland (measured as a percentage of total energy supply). Data source: Our World in Data, Energy Institute.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6973DC" id="_x0000_s1031" type="#_x0000_t202" style="position:absolute;left:0;text-align:left;margin-left:0;margin-top:415.15pt;width:435.2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4aAGQIAAD8EAAAOAAAAZHJzL2Uyb0RvYy54bWysU02P0zAQvSPxHyzfadpCFxQ1XZWuipBW&#10;uyt10Z5dx2ksOR4zdpuUX8/YSVpYOCEuzsQzno/33ixvu8awk0KvwRZ8NplypqyEUttDwb89b999&#10;4swHYUthwKqCn5Xnt6u3b5aty9UcajClQkZJrM9bV/A6BJdnmZe1aoSfgFOWnBVgIwL94iErUbSU&#10;vTHZfDq9yVrA0iFI5T3d3vVOvkr5q0rJ8FhVXgVmCk69hXRiOvfxzFZLkR9QuFrLoQ3xD100Qlsq&#10;ekl1J4JgR9R/pGq0RPBQhYmEJoOq0lKlGWia2fTVNLtaOJVmIXC8u8Dk/19a+XDauSdkofsMHREY&#10;AWmdzz1dxnm6Cpv4pU4Z+QnC8wU21QUm6XKxmH+cfiCXJN/N+0X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BIHEeLeAAAACAEAAA8AAABkcnMvZG93bnJldi54bWxMj8FOwzAQRO9I/IO1&#10;SFwQtSFRiUKcqqrgAJeqoRdubryNA/E6sp02/D2GCxxnZzXzplrNdmAn9KF3JOFuIYAhtU731EnY&#10;vz3fFsBCVKTV4AglfGGAVX15UalSuzPt8NTEjqUQCqWSYGIcS85Da9CqsHAjUvKOzlsVk/Qd116d&#10;U7gd+L0QS25VT6nBqBE3BtvPZrIStvn71txMx6fXdZ75l/20WX50jZTXV/P6EVjEOf49ww9+Qoc6&#10;MR3cRDqwQUIaEiUUmciAJbt4EDmww+8lB15X/P+A+hsAAP//AwBQSwECLQAUAAYACAAAACEAtoM4&#10;kv4AAADhAQAAEwAAAAAAAAAAAAAAAAAAAAAAW0NvbnRlbnRfVHlwZXNdLnhtbFBLAQItABQABgAI&#10;AAAAIQA4/SH/1gAAAJQBAAALAAAAAAAAAAAAAAAAAC8BAABfcmVscy8ucmVsc1BLAQItABQABgAI&#10;AAAAIQD4Q4aAGQIAAD8EAAAOAAAAAAAAAAAAAAAAAC4CAABkcnMvZTJvRG9jLnhtbFBLAQItABQA&#10;BgAIAAAAIQASBxHi3gAAAAgBAAAPAAAAAAAAAAAAAAAAAHMEAABkcnMvZG93bnJldi54bWxQSwUG&#10;AAAAAAQABADzAAAAfgUAAAAA&#10;" stroked="f">
                <v:textbox style="mso-fit-shape-to-text:t" inset="0,0,0,0">
                  <w:txbxContent>
                    <w:p w14:paraId="69F4D29D" w14:textId="653699C8" w:rsidR="00394E9D" w:rsidRPr="00E22F4B" w:rsidRDefault="00394E9D" w:rsidP="00394E9D">
                      <w:pPr>
                        <w:pStyle w:val="Lgende"/>
                        <w:rPr>
                          <w:rFonts w:ascii="Times New Roman" w:hAnsi="Times New Roman" w:cs="Times New Roman"/>
                          <w:i w:val="0"/>
                          <w:iCs w:val="0"/>
                          <w:noProof/>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6</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Share of primary energy use by source in Switzerland (measured as a percentage of total energy supply). Data source: Our World in Data, Energy Institute.</w:t>
                      </w:r>
                    </w:p>
                  </w:txbxContent>
                </v:textbox>
                <w10:wrap type="square" anchorx="margin"/>
              </v:shape>
            </w:pict>
          </mc:Fallback>
        </mc:AlternateContent>
      </w:r>
      <w:r w:rsidR="00AD7EDD" w:rsidRPr="000040EC">
        <w:rPr>
          <w:rFonts w:ascii="Times New Roman" w:hAnsi="Times New Roman" w:cs="Times New Roman"/>
          <w:noProof/>
          <w:lang w:val="en-US"/>
        </w:rPr>
        <w:drawing>
          <wp:anchor distT="0" distB="0" distL="114300" distR="114300" simplePos="0" relativeHeight="251660288" behindDoc="0" locked="0" layoutInCell="1" allowOverlap="1" wp14:anchorId="72E75845" wp14:editId="68394547">
            <wp:simplePos x="0" y="0"/>
            <wp:positionH relativeFrom="margin">
              <wp:align>left</wp:align>
            </wp:positionH>
            <wp:positionV relativeFrom="paragraph">
              <wp:posOffset>843915</wp:posOffset>
            </wp:positionV>
            <wp:extent cx="5527040" cy="4550410"/>
            <wp:effectExtent l="0" t="0" r="0" b="2540"/>
            <wp:wrapSquare wrapText="bothSides"/>
            <wp:docPr id="1468408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7040" cy="4550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490" w:rsidRPr="000040EC">
        <w:rPr>
          <w:rFonts w:ascii="Times New Roman" w:hAnsi="Times New Roman" w:cs="Times New Roman"/>
          <w:noProof/>
          <w:lang w:val="en-US"/>
        </w:rPr>
        <w:t>An important</w:t>
      </w:r>
      <w:r w:rsidR="00C86307" w:rsidRPr="000040EC">
        <w:rPr>
          <w:rFonts w:ascii="Times New Roman" w:hAnsi="Times New Roman" w:cs="Times New Roman"/>
          <w:lang w:val="en-US"/>
        </w:rPr>
        <w:t xml:space="preserve"> systemically significant sector which deserves close attention is the Electricity </w:t>
      </w:r>
      <w:r w:rsidR="00AB1A05" w:rsidRPr="000040EC">
        <w:rPr>
          <w:rFonts w:ascii="Times New Roman" w:hAnsi="Times New Roman" w:cs="Times New Roman"/>
          <w:lang w:val="en-US"/>
        </w:rPr>
        <w:t>&amp;</w:t>
      </w:r>
      <w:r w:rsidR="00C86307" w:rsidRPr="000040EC">
        <w:rPr>
          <w:rFonts w:ascii="Times New Roman" w:hAnsi="Times New Roman" w:cs="Times New Roman"/>
          <w:lang w:val="en-US"/>
        </w:rPr>
        <w:t xml:space="preserve"> Gas sector</w:t>
      </w:r>
      <w:r w:rsidR="00AB1A05" w:rsidRPr="000040EC">
        <w:rPr>
          <w:rFonts w:ascii="Times New Roman" w:hAnsi="Times New Roman" w:cs="Times New Roman"/>
          <w:lang w:val="en-US"/>
        </w:rPr>
        <w:t xml:space="preserve"> and more generally the energy sector</w:t>
      </w:r>
      <w:r w:rsidR="00760A60" w:rsidRPr="000040EC">
        <w:rPr>
          <w:rFonts w:ascii="Times New Roman" w:hAnsi="Times New Roman" w:cs="Times New Roman"/>
          <w:lang w:val="en-US"/>
        </w:rPr>
        <w:t xml:space="preserve">. </w:t>
      </w:r>
      <w:r w:rsidR="003A0B35" w:rsidRPr="000040EC">
        <w:rPr>
          <w:rFonts w:ascii="Times New Roman" w:hAnsi="Times New Roman" w:cs="Times New Roman"/>
          <w:lang w:val="en-US"/>
        </w:rPr>
        <w:t>In terms of energy source, Switzerland is characterized by a well-diversified energy mix which makes the country relatively less dependent on fossil energy sources compared to other countries.</w:t>
      </w:r>
    </w:p>
    <w:p w14:paraId="512D1114" w14:textId="14AEB96D" w:rsidR="003044C6" w:rsidRPr="000040EC" w:rsidRDefault="00AD7EDD" w:rsidP="001372AC">
      <w:pPr>
        <w:jc w:val="both"/>
        <w:rPr>
          <w:rFonts w:ascii="Times New Roman" w:hAnsi="Times New Roman" w:cs="Times New Roman"/>
          <w:lang w:val="en-US"/>
        </w:rPr>
      </w:pPr>
      <w:r w:rsidRPr="000040EC">
        <w:rPr>
          <w:rFonts w:ascii="Times New Roman" w:hAnsi="Times New Roman" w:cs="Times New Roman"/>
          <w:lang w:val="en-US"/>
        </w:rPr>
        <w:t xml:space="preserve">Figure </w:t>
      </w:r>
      <w:r w:rsidR="00394E9D" w:rsidRPr="000040EC">
        <w:rPr>
          <w:rFonts w:ascii="Times New Roman" w:hAnsi="Times New Roman" w:cs="Times New Roman"/>
          <w:lang w:val="en-US"/>
        </w:rPr>
        <w:t xml:space="preserve">4 </w:t>
      </w:r>
      <w:r w:rsidRPr="000040EC">
        <w:rPr>
          <w:rFonts w:ascii="Times New Roman" w:hAnsi="Times New Roman" w:cs="Times New Roman"/>
          <w:lang w:val="en-US"/>
        </w:rPr>
        <w:t xml:space="preserve">shows Switzerland’s share of energy consumption by source, measured in percentage of </w:t>
      </w:r>
      <w:r w:rsidR="00394E9D" w:rsidRPr="000040EC">
        <w:rPr>
          <w:rFonts w:ascii="Times New Roman" w:hAnsi="Times New Roman" w:cs="Times New Roman"/>
          <w:lang w:val="en-US"/>
        </w:rPr>
        <w:t>total energy supply</w:t>
      </w:r>
      <w:r w:rsidRPr="000040EC">
        <w:rPr>
          <w:rFonts w:ascii="Times New Roman" w:hAnsi="Times New Roman" w:cs="Times New Roman"/>
          <w:lang w:val="en-US"/>
        </w:rPr>
        <w:t xml:space="preserve">. Even though Switzerland’s main energy source comes from oil, its share </w:t>
      </w:r>
      <w:r w:rsidR="0030213F" w:rsidRPr="000040EC">
        <w:rPr>
          <w:rFonts w:ascii="Times New Roman" w:hAnsi="Times New Roman" w:cs="Times New Roman"/>
          <w:lang w:val="en-US"/>
        </w:rPr>
        <w:t>in terms of total primary energy consumption has declined substantially in the last decades, so much that hydropower has become since 2024 the country’s principal energy source.</w:t>
      </w:r>
      <w:r w:rsidR="002575E2" w:rsidRPr="000040EC">
        <w:rPr>
          <w:rFonts w:ascii="Times New Roman" w:hAnsi="Times New Roman" w:cs="Times New Roman"/>
          <w:lang w:val="en-US"/>
        </w:rPr>
        <w:t xml:space="preserve"> </w:t>
      </w:r>
      <w:r w:rsidR="00D75457" w:rsidRPr="000040EC">
        <w:rPr>
          <w:rFonts w:ascii="Times New Roman" w:hAnsi="Times New Roman" w:cs="Times New Roman"/>
          <w:lang w:val="en-US"/>
        </w:rPr>
        <w:t>While Switzerland is often regarded as a country deprived of any natural resources, it benefits from abundant water resources which represent a key indigenous asset</w:t>
      </w:r>
      <w:r w:rsidR="00A029AF" w:rsidRPr="000040EC">
        <w:rPr>
          <w:rFonts w:ascii="Times New Roman" w:hAnsi="Times New Roman" w:cs="Times New Roman"/>
          <w:lang w:val="en-US"/>
        </w:rPr>
        <w:t xml:space="preserve">. The </w:t>
      </w:r>
      <w:r w:rsidR="0047020D" w:rsidRPr="000040EC">
        <w:rPr>
          <w:rFonts w:ascii="Times New Roman" w:hAnsi="Times New Roman" w:cs="Times New Roman"/>
          <w:lang w:val="en-US"/>
        </w:rPr>
        <w:t xml:space="preserve">use of water as a power resource </w:t>
      </w:r>
      <w:r w:rsidR="00630490" w:rsidRPr="000040EC">
        <w:rPr>
          <w:rFonts w:ascii="Times New Roman" w:hAnsi="Times New Roman" w:cs="Times New Roman"/>
          <w:lang w:val="en-US"/>
        </w:rPr>
        <w:t xml:space="preserve">goes </w:t>
      </w:r>
      <w:r w:rsidR="007526CB" w:rsidRPr="000040EC">
        <w:rPr>
          <w:rFonts w:ascii="Times New Roman" w:hAnsi="Times New Roman" w:cs="Times New Roman"/>
          <w:lang w:val="en-US"/>
        </w:rPr>
        <w:t>back to</w:t>
      </w:r>
      <w:r w:rsidR="007B1570" w:rsidRPr="000040EC">
        <w:rPr>
          <w:rFonts w:ascii="Times New Roman" w:hAnsi="Times New Roman" w:cs="Times New Roman"/>
          <w:lang w:val="en-US"/>
        </w:rPr>
        <w:t xml:space="preserve"> the first industrial revolution, when hydropower was preferred over the steam engine as the driving source of power for industrialization. The choice of hydropower over the steam engine was a consequence of </w:t>
      </w:r>
      <w:r w:rsidR="001F1A84" w:rsidRPr="000040EC">
        <w:rPr>
          <w:rFonts w:ascii="Times New Roman" w:hAnsi="Times New Roman" w:cs="Times New Roman"/>
          <w:lang w:val="en-US"/>
        </w:rPr>
        <w:t xml:space="preserve">the quasi-absence of domestic coal resources and the high transport costs which made imports of coal very expensive. </w:t>
      </w:r>
    </w:p>
    <w:p w14:paraId="7EBDE006" w14:textId="77777777" w:rsidR="003044C6" w:rsidRPr="000040EC" w:rsidRDefault="003C7045" w:rsidP="001372AC">
      <w:pPr>
        <w:jc w:val="both"/>
        <w:rPr>
          <w:rFonts w:ascii="Times New Roman" w:hAnsi="Times New Roman" w:cs="Times New Roman"/>
          <w:lang w:val="en-US"/>
        </w:rPr>
      </w:pPr>
      <w:r w:rsidRPr="000040EC">
        <w:rPr>
          <w:rFonts w:ascii="Times New Roman" w:hAnsi="Times New Roman" w:cs="Times New Roman"/>
          <w:lang w:val="en-US"/>
        </w:rPr>
        <w:t xml:space="preserve">The choice of hydraulic power as the driving force during the Industrial Revolution had major consequences for Switzerland's economic and social development. Swiss factories, particularly those in the textile industry, became dispersed throughout rural areas along rivers and streams. </w:t>
      </w:r>
      <w:r w:rsidRPr="000040EC">
        <w:rPr>
          <w:rFonts w:ascii="Times New Roman" w:hAnsi="Times New Roman" w:cs="Times New Roman"/>
          <w:lang w:val="en-US"/>
        </w:rPr>
        <w:lastRenderedPageBreak/>
        <w:t xml:space="preserve">For a long time, this rural character of Swiss industry allowed industrialists to keep wages very low, since workers could obtain food and other necessities at low cost or even produce part of their own subsistence. This decentralized pattern of industrialization also slowed the emergence of the trade union movement. </w:t>
      </w:r>
      <w:r w:rsidR="00737CCF" w:rsidRPr="000040EC">
        <w:rPr>
          <w:rFonts w:ascii="Times New Roman" w:hAnsi="Times New Roman" w:cs="Times New Roman"/>
          <w:lang w:val="en-US"/>
        </w:rPr>
        <w:t xml:space="preserve">The limited energy capacity of hydropower compared to the steam engine </w:t>
      </w:r>
      <w:r w:rsidR="00374402" w:rsidRPr="000040EC">
        <w:rPr>
          <w:rFonts w:ascii="Times New Roman" w:hAnsi="Times New Roman" w:cs="Times New Roman"/>
          <w:lang w:val="en-US"/>
        </w:rPr>
        <w:t>furthermore</w:t>
      </w:r>
      <w:r w:rsidR="00737CCF" w:rsidRPr="000040EC">
        <w:rPr>
          <w:rFonts w:ascii="Times New Roman" w:hAnsi="Times New Roman" w:cs="Times New Roman"/>
          <w:lang w:val="en-US"/>
        </w:rPr>
        <w:t xml:space="preserve"> explains why Swiss entrepreneurs specialized into the production of light commodities such as embroidery, textiles, ribbons, silk or watchmaking and jewelry-making. </w:t>
      </w:r>
    </w:p>
    <w:p w14:paraId="7215D37D" w14:textId="5DE877DE" w:rsidR="00394E9D" w:rsidRPr="000040EC" w:rsidRDefault="00737CCF" w:rsidP="001372AC">
      <w:pPr>
        <w:jc w:val="both"/>
        <w:rPr>
          <w:rFonts w:ascii="Times New Roman" w:hAnsi="Times New Roman" w:cs="Times New Roman"/>
          <w:lang w:val="en-US"/>
        </w:rPr>
      </w:pPr>
      <w:r w:rsidRPr="000040EC">
        <w:rPr>
          <w:rFonts w:ascii="Times New Roman" w:hAnsi="Times New Roman" w:cs="Times New Roman"/>
          <w:lang w:val="en-US"/>
        </w:rPr>
        <w:t xml:space="preserve">Industrial use of hydropower </w:t>
      </w:r>
      <w:r w:rsidR="00374402" w:rsidRPr="000040EC">
        <w:rPr>
          <w:rFonts w:ascii="Times New Roman" w:hAnsi="Times New Roman" w:cs="Times New Roman"/>
          <w:lang w:val="en-US"/>
        </w:rPr>
        <w:t xml:space="preserve">henceforth </w:t>
      </w:r>
      <w:r w:rsidRPr="000040EC">
        <w:rPr>
          <w:rFonts w:ascii="Times New Roman" w:hAnsi="Times New Roman" w:cs="Times New Roman"/>
          <w:lang w:val="en-US"/>
        </w:rPr>
        <w:t>created a path dependency into the production of high value added light manufactures which resisted to drastic increase in coal imports after the railway revolution in the second half of the 19</w:t>
      </w:r>
      <w:r w:rsidRPr="000040EC">
        <w:rPr>
          <w:rFonts w:ascii="Times New Roman" w:hAnsi="Times New Roman" w:cs="Times New Roman"/>
          <w:vertAlign w:val="superscript"/>
          <w:lang w:val="en-US"/>
        </w:rPr>
        <w:t>th</w:t>
      </w:r>
      <w:r w:rsidRPr="000040EC">
        <w:rPr>
          <w:rFonts w:ascii="Times New Roman" w:hAnsi="Times New Roman" w:cs="Times New Roman"/>
          <w:lang w:val="en-US"/>
        </w:rPr>
        <w:t xml:space="preserve"> century</w:t>
      </w:r>
      <w:r w:rsidR="00F44BEA" w:rsidRPr="000040EC">
        <w:rPr>
          <w:rFonts w:ascii="Times New Roman" w:hAnsi="Times New Roman" w:cs="Times New Roman"/>
          <w:lang w:val="en-US"/>
        </w:rPr>
        <w:t>, which were mainly use outside of private industries</w:t>
      </w:r>
      <w:r w:rsidR="002C26F3" w:rsidRPr="000040EC">
        <w:rPr>
          <w:rFonts w:ascii="Times New Roman" w:hAnsi="Times New Roman" w:cs="Times New Roman"/>
          <w:lang w:val="en-US"/>
        </w:rPr>
        <w:t xml:space="preserve"> </w:t>
      </w:r>
      <w:r w:rsidR="002C26F3" w:rsidRPr="000040EC">
        <w:rPr>
          <w:rFonts w:ascii="Times New Roman" w:hAnsi="Times New Roman" w:cs="Times New Roman"/>
          <w:lang w:val="en-US"/>
        </w:rPr>
        <w:fldChar w:fldCharType="begin"/>
      </w:r>
      <w:r w:rsidR="002C26F3" w:rsidRPr="000040EC">
        <w:rPr>
          <w:rFonts w:ascii="Times New Roman" w:hAnsi="Times New Roman" w:cs="Times New Roman"/>
          <w:lang w:val="en-US"/>
        </w:rPr>
        <w:instrText xml:space="preserve"> ADDIN ZOTERO_ITEM CSL_CITATION {"citationID":"fSgCmRcq","properties":{"formattedCitation":"(Humair and Chachereau 2024)","plainCitation":"(Humair and Chachereau 2024)","noteIndex":0},"citationItems":[{"id":6793,"uris":["http://zotero.org/groups/6311349/items/XEDFQB4K"],"itemData":{"id":6793,"type":"book","abstract":"Avec les défis du changement climatique et les difficultés d’approvisionnement en électricité et en gaz, le début du 21e siècle rappelle avec force la place centrale de l’énergie dans nos sociétés contemporaines. En réalité, toute l’histoire de l’humanité est étroitement liée à la disponibilité de cette ressource capitale. L’énergie a conditionné des phénomènes fondamentaux tels que l’industrialisation ou la mondialisation, et a façonné nos paysages comme nos modes de vie. Ce livre retrace le développement du système énergétique en Suisse entre 1800 et 2024, parcourant l’apparition successive et la superposition des différentes ressources mobilisées, du bois au solaire en passant par le pétrole et l’électricité. Comment la consommation et le mix énergétique ont-ils évolué et pourquoi ? Quel rôle les différents acteurs sociaux, politiques et économiques ont-ils joué ? Quelles sont les spécificités énergétiques de la Suisse en comparaison internationale ? Un questionnement qui a pour vocation d’éclairer les débats actuels avec un regard historique. - 4e de couverture","call-number":"DBUH 9638 BFLA 330065","collection-title":"Savoir suisse 179 Histoire","edition":"Première edition","ISBN":"978-2-88915-639-9","language":"fre","publisher":"Presses polytechniques et universitaires romandes","publisher-place":"Lausanne","source":"unige.swisscovery.slsp.ch","title":"L'énergie en Suisse: de 1800 à nos jours","title-short":"L'énergie en Suisse","author":[{"family":"Humair","given":"Cédric"},{"family":"Chachereau","given":"Nicolas"}],"issued":{"date-parts":[["2024"]]}}}],"schema":"https://github.com/citation-style-language/schema/raw/master/csl-citation.json"} </w:instrText>
      </w:r>
      <w:r w:rsidR="002C26F3" w:rsidRPr="000040EC">
        <w:rPr>
          <w:rFonts w:ascii="Times New Roman" w:hAnsi="Times New Roman" w:cs="Times New Roman"/>
          <w:lang w:val="en-US"/>
        </w:rPr>
        <w:fldChar w:fldCharType="separate"/>
      </w:r>
      <w:r w:rsidR="002C26F3" w:rsidRPr="000040EC">
        <w:rPr>
          <w:rFonts w:ascii="Times New Roman" w:hAnsi="Times New Roman" w:cs="Times New Roman"/>
          <w:lang w:val="en-US"/>
        </w:rPr>
        <w:t>(Humair and Chachereau 2024)</w:t>
      </w:r>
      <w:r w:rsidR="002C26F3" w:rsidRPr="000040EC">
        <w:rPr>
          <w:rFonts w:ascii="Times New Roman" w:hAnsi="Times New Roman" w:cs="Times New Roman"/>
          <w:lang w:val="en-US"/>
        </w:rPr>
        <w:fldChar w:fldCharType="end"/>
      </w:r>
      <w:r w:rsidR="00F44BEA" w:rsidRPr="000040EC">
        <w:rPr>
          <w:rFonts w:ascii="Times New Roman" w:hAnsi="Times New Roman" w:cs="Times New Roman"/>
          <w:lang w:val="en-US"/>
        </w:rPr>
        <w:t>.</w:t>
      </w:r>
      <w:r w:rsidR="002C26F3" w:rsidRPr="000040EC">
        <w:rPr>
          <w:rFonts w:ascii="Times New Roman" w:hAnsi="Times New Roman" w:cs="Times New Roman"/>
          <w:lang w:val="en-US"/>
        </w:rPr>
        <w:t xml:space="preserve"> Hydropower generates nowadays around 58% of the country’s electricity and used to generate 90% of total electricity before the adoption nuclear power</w:t>
      </w:r>
      <w:r w:rsidR="009C5FE7" w:rsidRPr="000040EC">
        <w:rPr>
          <w:rFonts w:ascii="Times New Roman" w:hAnsi="Times New Roman" w:cs="Times New Roman"/>
          <w:lang w:val="en-US"/>
        </w:rPr>
        <w:t xml:space="preserve"> in the 70s (figure</w:t>
      </w:r>
      <w:r w:rsidR="00394E9D" w:rsidRPr="000040EC">
        <w:rPr>
          <w:rFonts w:ascii="Times New Roman" w:hAnsi="Times New Roman" w:cs="Times New Roman"/>
          <w:lang w:val="en-US"/>
        </w:rPr>
        <w:t xml:space="preserve"> 4</w:t>
      </w:r>
      <w:r w:rsidR="009C5FE7" w:rsidRPr="000040EC">
        <w:rPr>
          <w:rFonts w:ascii="Times New Roman" w:hAnsi="Times New Roman" w:cs="Times New Roman"/>
          <w:lang w:val="en-US"/>
        </w:rPr>
        <w:t>)</w:t>
      </w:r>
      <w:r w:rsidR="002C26F3" w:rsidRPr="000040EC">
        <w:rPr>
          <w:rFonts w:ascii="Times New Roman" w:hAnsi="Times New Roman" w:cs="Times New Roman"/>
          <w:lang w:val="en-US"/>
        </w:rPr>
        <w:t xml:space="preserve">, whose emergence also contributed </w:t>
      </w:r>
      <w:r w:rsidR="009C5FE7" w:rsidRPr="000040EC">
        <w:rPr>
          <w:rFonts w:ascii="Times New Roman" w:hAnsi="Times New Roman" w:cs="Times New Roman"/>
          <w:lang w:val="en-US"/>
        </w:rPr>
        <w:t xml:space="preserve">to lower Switzerland’s strong energy mix. As a result, the share of low carbon energy in Switzerland (56,8%) is by far better compared than Europe (26,2%). With respect to inflation, there is evidence that </w:t>
      </w:r>
      <w:r w:rsidR="00976B54" w:rsidRPr="000040EC">
        <w:rPr>
          <w:rFonts w:ascii="Times New Roman" w:hAnsi="Times New Roman" w:cs="Times New Roman"/>
          <w:lang w:val="en-US"/>
        </w:rPr>
        <w:t xml:space="preserve">a high share of renewable sources in energy production helps to increase an economy’s resistance to external price shocks </w:t>
      </w:r>
      <w:r w:rsidR="00976B54" w:rsidRPr="000040EC">
        <w:rPr>
          <w:rFonts w:ascii="Times New Roman" w:hAnsi="Times New Roman" w:cs="Times New Roman"/>
          <w:lang w:val="en-US"/>
        </w:rPr>
        <w:fldChar w:fldCharType="begin"/>
      </w:r>
      <w:r w:rsidR="00976B54" w:rsidRPr="000040EC">
        <w:rPr>
          <w:rFonts w:ascii="Times New Roman" w:hAnsi="Times New Roman" w:cs="Times New Roman"/>
          <w:lang w:val="en-US"/>
        </w:rPr>
        <w:instrText xml:space="preserve"> ADDIN ZOTERO_ITEM CSL_CITATION {"citationID":"1p6Nk66x","properties":{"formattedCitation":"(Markowski and Kotli\\uc0\\u324{}ski 2023)","plainCitation":"(Markowski and Kotliński 2023)","noteIndex":0},"citationItems":[{"id":6534,"uris":["http://zotero.org/groups/6311349/items/QGDCJRLH"],"itemData":{"id":6534,"type":"article-journal","abstract":"One of the effects of the 2022 energy crisis was a high increase in inflation. According to a review of the literature on the subject, a factor that may increase the economy’s resistance to external price shocks is the relatively high share of renewable sources in energy production. The aim of this paper is to assess the relationship between the share of renewables in energy production and the level of HICP and core inflation in a cross-sectional approach in the crisis year of 2022 within the EU countries. This study used regression methods, cluster analysis and dispersion measures. As a result of the analysis, it was found that in 2022 (using a cross-sectional approach), there was a statistically significant relationship between the above-mentioned variables. A higher share of renewables by 1 p.p. meant lower HICP by 0.13 p.p. and lower core inflation by 0.1 p.p. “Wind” and “solar” had the greatest importance in the multiple regression equation. It can also be stated that in 2022, countries with a similar energy mix structure were characterized as having a similar rate of inflation. It is therefore justified to increase the share of renewables in energy production, because it brings not only positive environmental but also economic effects.","container-title":"Energies","DOI":"10.3390/en16237808","ISSN":"1996-1073","issue":"23","language":"en","license":"http://creativecommons.org/licenses/by/3.0/","page":"7808","publisher":"Multidisciplinary Digital Publishing Institute","source":"www.mdpi.com","title":"Renewables, Energy Mix and Inflation in the European Union Countries","volume":"16","author":[{"family":"Markowski","given":"Łukasz"},{"family":"Kotliński","given":"Kamil"}],"issued":{"date-parts":[["2023",1]]}}}],"schema":"https://github.com/citation-style-language/schema/raw/master/csl-citation.json"} </w:instrText>
      </w:r>
      <w:r w:rsidR="00976B54" w:rsidRPr="000040EC">
        <w:rPr>
          <w:rFonts w:ascii="Times New Roman" w:hAnsi="Times New Roman" w:cs="Times New Roman"/>
          <w:lang w:val="en-US"/>
        </w:rPr>
        <w:fldChar w:fldCharType="separate"/>
      </w:r>
      <w:r w:rsidR="00976B54" w:rsidRPr="000040EC">
        <w:rPr>
          <w:rFonts w:ascii="Times New Roman" w:hAnsi="Times New Roman" w:cs="Times New Roman"/>
          <w:kern w:val="0"/>
          <w:lang w:val="en-US"/>
        </w:rPr>
        <w:t>(Markowski and Kotliński 2023)</w:t>
      </w:r>
      <w:r w:rsidR="00976B54" w:rsidRPr="000040EC">
        <w:rPr>
          <w:rFonts w:ascii="Times New Roman" w:hAnsi="Times New Roman" w:cs="Times New Roman"/>
          <w:lang w:val="en-US"/>
        </w:rPr>
        <w:fldChar w:fldCharType="end"/>
      </w:r>
      <w:r w:rsidR="00976B54" w:rsidRPr="000040EC">
        <w:rPr>
          <w:rFonts w:ascii="Times New Roman" w:hAnsi="Times New Roman" w:cs="Times New Roman"/>
          <w:lang w:val="en-US"/>
        </w:rPr>
        <w:t xml:space="preserve">. However, Switzerland’s low inflation cannot be explained solely by its efficient energy mix as </w:t>
      </w:r>
      <w:r w:rsidR="001372AC" w:rsidRPr="000040EC">
        <w:rPr>
          <w:rFonts w:ascii="Times New Roman" w:hAnsi="Times New Roman" w:cs="Times New Roman"/>
          <w:lang w:val="en-US"/>
        </w:rPr>
        <w:t xml:space="preserve">Northern European countries have higher inflation rates than Switzerland despite having a lower share of carbon energy </w:t>
      </w:r>
      <w:r w:rsidR="00394E9D" w:rsidRPr="000040EC">
        <w:rPr>
          <w:rFonts w:ascii="Times New Roman" w:hAnsi="Times New Roman" w:cs="Times New Roman"/>
          <w:lang w:val="en-US"/>
        </w:rPr>
        <w:t>(</w:t>
      </w:r>
      <w:r w:rsidR="001372AC" w:rsidRPr="000040EC">
        <w:rPr>
          <w:rFonts w:ascii="Times New Roman" w:hAnsi="Times New Roman" w:cs="Times New Roman"/>
          <w:lang w:val="en-US"/>
        </w:rPr>
        <w:t>figure</w:t>
      </w:r>
      <w:r w:rsidR="00394E9D" w:rsidRPr="000040EC">
        <w:rPr>
          <w:rFonts w:ascii="Times New Roman" w:hAnsi="Times New Roman" w:cs="Times New Roman"/>
          <w:lang w:val="en-US"/>
        </w:rPr>
        <w:t xml:space="preserve"> </w:t>
      </w:r>
      <w:r w:rsidR="00394E9D" w:rsidRPr="000040EC">
        <w:rPr>
          <w:rFonts w:ascii="Times New Roman" w:hAnsi="Times New Roman" w:cs="Times New Roman"/>
          <w:lang w:val="en-US"/>
        </w:rPr>
        <w:lastRenderedPageBreak/>
        <w:t>5</w:t>
      </w:r>
      <w:r w:rsidR="001372AC" w:rsidRPr="000040EC">
        <w:rPr>
          <w:rFonts w:ascii="Times New Roman" w:hAnsi="Times New Roman" w:cs="Times New Roman"/>
          <w:lang w:val="en-US"/>
        </w:rPr>
        <w:t xml:space="preserve">). </w:t>
      </w:r>
      <w:r w:rsidR="007E1B6E" w:rsidRPr="000040EC">
        <w:rPr>
          <w:rFonts w:ascii="Times New Roman" w:hAnsi="Times New Roman" w:cs="Times New Roman"/>
          <w:lang w:val="en-US"/>
        </w:rPr>
        <w:t xml:space="preserve">Along with the energy mix, two other factors need to be </w:t>
      </w:r>
      <w:proofErr w:type="gramStart"/>
      <w:r w:rsidR="007E1B6E" w:rsidRPr="000040EC">
        <w:rPr>
          <w:rFonts w:ascii="Times New Roman" w:hAnsi="Times New Roman" w:cs="Times New Roman"/>
          <w:lang w:val="en-US"/>
        </w:rPr>
        <w:t>taken into account</w:t>
      </w:r>
      <w:proofErr w:type="gramEnd"/>
      <w:r w:rsidR="007E1B6E" w:rsidRPr="000040EC">
        <w:rPr>
          <w:rFonts w:ascii="Times New Roman" w:hAnsi="Times New Roman" w:cs="Times New Roman"/>
          <w:lang w:val="en-US"/>
        </w:rPr>
        <w:t xml:space="preserve">: </w:t>
      </w:r>
      <w:r w:rsidR="001372AC" w:rsidRPr="000040EC">
        <w:rPr>
          <w:rFonts w:ascii="Times New Roman" w:hAnsi="Times New Roman" w:cs="Times New Roman"/>
          <w:lang w:val="en-US"/>
        </w:rPr>
        <w:t>the regulation</w:t>
      </w:r>
      <w:r w:rsidR="003044C6" w:rsidRPr="000040EC">
        <w:rPr>
          <w:rFonts w:ascii="Times New Roman" w:hAnsi="Times New Roman" w:cs="Times New Roman"/>
          <w:lang w:val="en-US"/>
        </w:rPr>
        <w:t xml:space="preserve"> </w:t>
      </w:r>
      <w:r w:rsidR="003044C6" w:rsidRPr="000040EC">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A4B5F68" wp14:editId="3A9C1EFA">
                <wp:simplePos x="0" y="0"/>
                <wp:positionH relativeFrom="column">
                  <wp:posOffset>0</wp:posOffset>
                </wp:positionH>
                <wp:positionV relativeFrom="paragraph">
                  <wp:posOffset>6320155</wp:posOffset>
                </wp:positionV>
                <wp:extent cx="5760720" cy="635"/>
                <wp:effectExtent l="0" t="0" r="0" b="0"/>
                <wp:wrapSquare wrapText="bothSides"/>
                <wp:docPr id="1102624215"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8D78821" w14:textId="530BA01F" w:rsidR="003044C6" w:rsidRPr="00E22F4B" w:rsidRDefault="003044C6" w:rsidP="003044C6">
                            <w:pPr>
                              <w:pStyle w:val="Lgende"/>
                              <w:rPr>
                                <w:rFonts w:ascii="Times New Roman" w:hAnsi="Times New Roman" w:cs="Times New Roman"/>
                                <w:i w:val="0"/>
                                <w:iCs w:val="0"/>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7</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Share of low carbon energy (2024). Source: Our World in Data, Energy Institute.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5F68" id="_x0000_s1032" type="#_x0000_t202" style="position:absolute;left:0;text-align:left;margin-left:0;margin-top:497.65pt;width:453.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L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OsvL67gAAAACAEAAA8AAABkcnMvZG93bnJldi54bWxMj8FOwzAQRO9I/IO1&#10;lbgg6tCmhaRxqqqCA1wqQi/c3HgbB+J1ZDtt+HsMF3qcndXMm2I9mo6d0PnWkoD7aQIMqbaqpUbA&#10;/v357hGYD5KU7CyhgG/0sC6vrwqZK3umNzxVoWExhHwuBegQ+pxzX2s00k9tjxS9o3VGhihdw5WT&#10;5xhuOj5LkiU3sqXYoGWPW431VzUYAbv0Y6dvh+PT6yadu5f9sF1+NpUQN5NxswIWcAz/z/CLH9Gh&#10;jEwHO5DyrBMQhwQBWbaYA4t2ljzMgB3+LinwsuCXA8ofAAAA//8DAFBLAQItABQABgAIAAAAIQC2&#10;gziS/gAAAOEBAAATAAAAAAAAAAAAAAAAAAAAAABbQ29udGVudF9UeXBlc10ueG1sUEsBAi0AFAAG&#10;AAgAAAAhADj9If/WAAAAlAEAAAsAAAAAAAAAAAAAAAAALwEAAF9yZWxzLy5yZWxzUEsBAi0AFAAG&#10;AAgAAAAhABLA34sZAgAAPwQAAA4AAAAAAAAAAAAAAAAALgIAAGRycy9lMm9Eb2MueG1sUEsBAi0A&#10;FAAGAAgAAAAhAOsvL67gAAAACAEAAA8AAAAAAAAAAAAAAAAAcwQAAGRycy9kb3ducmV2LnhtbFBL&#10;BQYAAAAABAAEAPMAAACABQAAAAA=&#10;" stroked="f">
                <v:textbox style="mso-fit-shape-to-text:t" inset="0,0,0,0">
                  <w:txbxContent>
                    <w:p w14:paraId="48D78821" w14:textId="530BA01F" w:rsidR="003044C6" w:rsidRPr="00E22F4B" w:rsidRDefault="003044C6" w:rsidP="003044C6">
                      <w:pPr>
                        <w:pStyle w:val="Lgende"/>
                        <w:rPr>
                          <w:rFonts w:ascii="Times New Roman" w:hAnsi="Times New Roman" w:cs="Times New Roman"/>
                          <w:i w:val="0"/>
                          <w:iCs w:val="0"/>
                          <w:color w:val="000000" w:themeColor="text1"/>
                          <w:sz w:val="24"/>
                          <w:szCs w:val="24"/>
                          <w:lang w:val="en-US"/>
                        </w:rPr>
                      </w:pPr>
                      <w:r w:rsidRPr="00E22F4B">
                        <w:rPr>
                          <w:rFonts w:ascii="Times New Roman" w:hAnsi="Times New Roman" w:cs="Times New Roman"/>
                          <w:i w:val="0"/>
                          <w:iCs w:val="0"/>
                          <w:color w:val="000000" w:themeColor="text1"/>
                          <w:sz w:val="24"/>
                          <w:szCs w:val="24"/>
                          <w:lang w:val="en-US"/>
                        </w:rPr>
                        <w:t xml:space="preserve">Figure </w:t>
                      </w:r>
                      <w:r w:rsidRPr="00E22F4B">
                        <w:rPr>
                          <w:rFonts w:ascii="Times New Roman" w:hAnsi="Times New Roman" w:cs="Times New Roman"/>
                          <w:i w:val="0"/>
                          <w:iCs w:val="0"/>
                          <w:color w:val="000000" w:themeColor="text1"/>
                          <w:sz w:val="24"/>
                          <w:szCs w:val="24"/>
                        </w:rPr>
                        <w:fldChar w:fldCharType="begin"/>
                      </w:r>
                      <w:r w:rsidRPr="00E22F4B">
                        <w:rPr>
                          <w:rFonts w:ascii="Times New Roman" w:hAnsi="Times New Roman" w:cs="Times New Roman"/>
                          <w:i w:val="0"/>
                          <w:iCs w:val="0"/>
                          <w:color w:val="000000" w:themeColor="text1"/>
                          <w:sz w:val="24"/>
                          <w:szCs w:val="24"/>
                          <w:lang w:val="en-US"/>
                        </w:rPr>
                        <w:instrText xml:space="preserve"> SEQ Figure \* ARABIC </w:instrText>
                      </w:r>
                      <w:r w:rsidRPr="00E22F4B">
                        <w:rPr>
                          <w:rFonts w:ascii="Times New Roman" w:hAnsi="Times New Roman" w:cs="Times New Roman"/>
                          <w:i w:val="0"/>
                          <w:iCs w:val="0"/>
                          <w:color w:val="000000" w:themeColor="text1"/>
                          <w:sz w:val="24"/>
                          <w:szCs w:val="24"/>
                        </w:rPr>
                        <w:fldChar w:fldCharType="separate"/>
                      </w:r>
                      <w:r w:rsidR="00EB04EB" w:rsidRPr="00E22F4B">
                        <w:rPr>
                          <w:rFonts w:ascii="Times New Roman" w:hAnsi="Times New Roman" w:cs="Times New Roman"/>
                          <w:i w:val="0"/>
                          <w:iCs w:val="0"/>
                          <w:noProof/>
                          <w:color w:val="000000" w:themeColor="text1"/>
                          <w:sz w:val="24"/>
                          <w:szCs w:val="24"/>
                          <w:lang w:val="en-US"/>
                        </w:rPr>
                        <w:t>7</w:t>
                      </w:r>
                      <w:r w:rsidRPr="00E22F4B">
                        <w:rPr>
                          <w:rFonts w:ascii="Times New Roman" w:hAnsi="Times New Roman" w:cs="Times New Roman"/>
                          <w:i w:val="0"/>
                          <w:iCs w:val="0"/>
                          <w:color w:val="000000" w:themeColor="text1"/>
                          <w:sz w:val="24"/>
                          <w:szCs w:val="24"/>
                        </w:rPr>
                        <w:fldChar w:fldCharType="end"/>
                      </w:r>
                      <w:r w:rsidRPr="00E22F4B">
                        <w:rPr>
                          <w:rFonts w:ascii="Times New Roman" w:hAnsi="Times New Roman" w:cs="Times New Roman"/>
                          <w:i w:val="0"/>
                          <w:iCs w:val="0"/>
                          <w:color w:val="000000" w:themeColor="text1"/>
                          <w:sz w:val="24"/>
                          <w:szCs w:val="24"/>
                          <w:lang w:val="en-US"/>
                        </w:rPr>
                        <w:t>: Share of low carbon energy (2024). Source: Our World in Data, Energy Institute.</w:t>
                      </w:r>
                    </w:p>
                  </w:txbxContent>
                </v:textbox>
                <w10:wrap type="square"/>
              </v:shape>
            </w:pict>
          </mc:Fallback>
        </mc:AlternateContent>
      </w:r>
      <w:r w:rsidR="003044C6" w:rsidRPr="000040EC">
        <w:rPr>
          <w:rFonts w:ascii="Times New Roman" w:hAnsi="Times New Roman" w:cs="Times New Roman"/>
          <w:noProof/>
          <w:lang w:val="en-US"/>
        </w:rPr>
        <w:drawing>
          <wp:anchor distT="0" distB="0" distL="114300" distR="114300" simplePos="0" relativeHeight="251670528" behindDoc="0" locked="0" layoutInCell="1" allowOverlap="1" wp14:anchorId="52F33E52" wp14:editId="64944017">
            <wp:simplePos x="0" y="0"/>
            <wp:positionH relativeFrom="margin">
              <wp:align>right</wp:align>
            </wp:positionH>
            <wp:positionV relativeFrom="paragraph">
              <wp:posOffset>502285</wp:posOffset>
            </wp:positionV>
            <wp:extent cx="5760720" cy="5760720"/>
            <wp:effectExtent l="0" t="0" r="0" b="0"/>
            <wp:wrapSquare wrapText="bothSides"/>
            <wp:docPr id="204361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anchor>
        </w:drawing>
      </w:r>
      <w:r w:rsidR="001372AC" w:rsidRPr="000040EC">
        <w:rPr>
          <w:rFonts w:ascii="Times New Roman" w:hAnsi="Times New Roman" w:cs="Times New Roman"/>
          <w:lang w:val="en-US"/>
        </w:rPr>
        <w:t xml:space="preserve">of the Swiss electricity market and the low energy intensity of the Swiss economy. </w:t>
      </w:r>
    </w:p>
    <w:p w14:paraId="6A26FF21" w14:textId="7A9E365D" w:rsidR="00082874" w:rsidRPr="000040EC" w:rsidRDefault="007E1B6E" w:rsidP="001372AC">
      <w:pPr>
        <w:jc w:val="both"/>
        <w:rPr>
          <w:rFonts w:ascii="Times New Roman" w:hAnsi="Times New Roman" w:cs="Times New Roman"/>
          <w:lang w:val="en-US"/>
        </w:rPr>
      </w:pPr>
      <w:r w:rsidRPr="000040EC">
        <w:rPr>
          <w:rFonts w:ascii="Times New Roman" w:hAnsi="Times New Roman" w:cs="Times New Roman"/>
          <w:lang w:val="en-US"/>
        </w:rPr>
        <w:t xml:space="preserve">Regarding the former, </w:t>
      </w:r>
      <w:r w:rsidR="00780960" w:rsidRPr="000040EC">
        <w:rPr>
          <w:rFonts w:ascii="Times New Roman" w:hAnsi="Times New Roman" w:cs="Times New Roman"/>
          <w:lang w:val="en-US"/>
        </w:rPr>
        <w:t xml:space="preserve">electricity supply for private households in Switzerland is not governed by a liberalized market as in the rest of Europe. Consumers purchase their electricity from a local utility provider which is only allowed to adjust electricity tariffs once a year, tariffs which are determined </w:t>
      </w:r>
      <w:r w:rsidR="001C55C0" w:rsidRPr="000040EC">
        <w:rPr>
          <w:rFonts w:ascii="Times New Roman" w:hAnsi="Times New Roman" w:cs="Times New Roman"/>
          <w:lang w:val="en-US"/>
        </w:rPr>
        <w:t>based on</w:t>
      </w:r>
      <w:r w:rsidR="00780960" w:rsidRPr="000040EC">
        <w:rPr>
          <w:rFonts w:ascii="Times New Roman" w:hAnsi="Times New Roman" w:cs="Times New Roman"/>
          <w:lang w:val="en-US"/>
        </w:rPr>
        <w:t xml:space="preserve"> their actual production and procurement cost. </w:t>
      </w:r>
      <w:r w:rsidR="001372AC" w:rsidRPr="000040EC">
        <w:rPr>
          <w:rFonts w:ascii="Times New Roman" w:hAnsi="Times New Roman" w:cs="Times New Roman"/>
          <w:lang w:val="en-US"/>
        </w:rPr>
        <w:t>Nordic countries, despite their</w:t>
      </w:r>
      <w:r w:rsidR="00780960" w:rsidRPr="000040EC">
        <w:rPr>
          <w:rFonts w:ascii="Times New Roman" w:hAnsi="Times New Roman" w:cs="Times New Roman"/>
          <w:lang w:val="en-US"/>
        </w:rPr>
        <w:t xml:space="preserve"> better energy mix</w:t>
      </w:r>
      <w:r w:rsidR="001372AC" w:rsidRPr="000040EC">
        <w:rPr>
          <w:rFonts w:ascii="Times New Roman" w:hAnsi="Times New Roman" w:cs="Times New Roman"/>
          <w:lang w:val="en-US"/>
        </w:rPr>
        <w:t xml:space="preserve">, are integrated into the European energy market, where </w:t>
      </w:r>
      <w:r w:rsidR="00CE15A4" w:rsidRPr="000040EC">
        <w:rPr>
          <w:rFonts w:ascii="Times New Roman" w:hAnsi="Times New Roman" w:cs="Times New Roman"/>
          <w:lang w:val="en-US"/>
        </w:rPr>
        <w:t>wholesale electricity prices are influenced by the merit-order principle, under which the market price is determined by the cost of the marginal kilowatt-hour supplied to the market</w:t>
      </w:r>
      <w:r w:rsidR="006E580C" w:rsidRPr="000040EC">
        <w:rPr>
          <w:rFonts w:ascii="Times New Roman" w:hAnsi="Times New Roman" w:cs="Times New Roman"/>
          <w:lang w:val="en-US"/>
        </w:rPr>
        <w:t>.</w:t>
      </w:r>
    </w:p>
    <w:p w14:paraId="29C9A309" w14:textId="6488B7DA" w:rsidR="00CB706E" w:rsidRPr="000040EC" w:rsidRDefault="006E580C" w:rsidP="00CD13EE">
      <w:pPr>
        <w:jc w:val="both"/>
        <w:rPr>
          <w:rFonts w:ascii="Times New Roman" w:hAnsi="Times New Roman" w:cs="Times New Roman"/>
          <w:lang w:val="en-US"/>
        </w:rPr>
      </w:pPr>
      <w:r w:rsidRPr="000040EC">
        <w:rPr>
          <w:rFonts w:ascii="Times New Roman" w:hAnsi="Times New Roman" w:cs="Times New Roman"/>
          <w:lang w:val="en-US"/>
        </w:rPr>
        <w:t xml:space="preserve">Finally, the </w:t>
      </w:r>
      <w:r w:rsidR="001A3967" w:rsidRPr="000040EC">
        <w:rPr>
          <w:rFonts w:ascii="Times New Roman" w:hAnsi="Times New Roman" w:cs="Times New Roman"/>
          <w:lang w:val="en-US"/>
        </w:rPr>
        <w:t xml:space="preserve">resistance of Switzerland’s prices to international energy shocks stems from its very low energy intensity. </w:t>
      </w:r>
      <w:r w:rsidR="002D6403" w:rsidRPr="000040EC">
        <w:rPr>
          <w:rFonts w:ascii="Times New Roman" w:hAnsi="Times New Roman" w:cs="Times New Roman"/>
          <w:lang w:val="en-US"/>
        </w:rPr>
        <w:t xml:space="preserve">With only 0,45 kilowatt-hours produced per unit of output, Switzerland is the most energy efficient country among developed economies, far above Northern European </w:t>
      </w:r>
      <w:r w:rsidR="002D6403" w:rsidRPr="000040EC">
        <w:rPr>
          <w:rFonts w:ascii="Times New Roman" w:hAnsi="Times New Roman" w:cs="Times New Roman"/>
          <w:lang w:val="en-US"/>
        </w:rPr>
        <w:lastRenderedPageBreak/>
        <w:t>countries (which had, as we saw, a lower share of carbon energy), France (0,86), Germany (0,8) or Austria (0,77)</w:t>
      </w:r>
      <w:r w:rsidR="00EF3A1C" w:rsidRPr="000040EC">
        <w:rPr>
          <w:rFonts w:ascii="Times New Roman" w:hAnsi="Times New Roman" w:cs="Times New Roman"/>
          <w:lang w:val="en-US"/>
        </w:rPr>
        <w:t xml:space="preserve"> </w:t>
      </w:r>
      <w:r w:rsidR="00EF3A1C" w:rsidRPr="000040EC">
        <w:rPr>
          <w:rFonts w:ascii="Times New Roman" w:hAnsi="Times New Roman" w:cs="Times New Roman"/>
          <w:lang w:val="en-US"/>
        </w:rPr>
        <w:fldChar w:fldCharType="begin"/>
      </w:r>
      <w:r w:rsidR="00EF3A1C" w:rsidRPr="000040EC">
        <w:rPr>
          <w:rFonts w:ascii="Times New Roman" w:hAnsi="Times New Roman" w:cs="Times New Roman"/>
          <w:lang w:val="en-US"/>
        </w:rPr>
        <w:instrText xml:space="preserve"> ADDIN ZOTERO_ITEM CSL_CITATION {"citationID":"oDuBAcFU","properties":{"formattedCitation":"(Ritchie and Rosado 2025)","plainCitation":"(Ritchie and Rosado 2025)","noteIndex":0},"citationItems":[{"id":6791,"uris":["http://zotero.org/groups/6311349/items/RKGJ4427"],"itemData":{"id":6791,"type":"article-journal","abstract":"Data on Energy in Switzerland","container-title":"Our World in Data","journalAbbreviation":"Our World in Data","language":"en","source":"ourworldindata.org","title":"Switzerland Country Profile. Energy","URL":"https://ourworldindata.org/profile/energy/switzerland","author":[{"family":"Ritchie","given":"Hannah"},{"family":"Rosado","given":"Pablo"}],"accessed":{"date-parts":[["2026",8,6]]},"issued":{"date-parts":[["2025",12,19]]}}}],"schema":"https://github.com/citation-style-language/schema/raw/master/csl-citation.json"} </w:instrText>
      </w:r>
      <w:r w:rsidR="00EF3A1C" w:rsidRPr="000040EC">
        <w:rPr>
          <w:rFonts w:ascii="Times New Roman" w:hAnsi="Times New Roman" w:cs="Times New Roman"/>
          <w:lang w:val="en-US"/>
        </w:rPr>
        <w:fldChar w:fldCharType="separate"/>
      </w:r>
      <w:r w:rsidR="00EF3A1C" w:rsidRPr="000040EC">
        <w:rPr>
          <w:rFonts w:ascii="Times New Roman" w:hAnsi="Times New Roman" w:cs="Times New Roman"/>
          <w:lang w:val="en-US"/>
        </w:rPr>
        <w:t>(Ritchie and Rosado 2025)</w:t>
      </w:r>
      <w:r w:rsidR="00EF3A1C" w:rsidRPr="000040EC">
        <w:rPr>
          <w:rFonts w:ascii="Times New Roman" w:hAnsi="Times New Roman" w:cs="Times New Roman"/>
          <w:lang w:val="en-US"/>
        </w:rPr>
        <w:fldChar w:fldCharType="end"/>
      </w:r>
      <w:r w:rsidR="002D6403" w:rsidRPr="000040EC">
        <w:rPr>
          <w:rFonts w:ascii="Times New Roman" w:hAnsi="Times New Roman" w:cs="Times New Roman"/>
          <w:lang w:val="en-US"/>
        </w:rPr>
        <w:t>.</w:t>
      </w:r>
      <w:r w:rsidR="00662BD6" w:rsidRPr="000040EC">
        <w:rPr>
          <w:rFonts w:ascii="Times New Roman" w:hAnsi="Times New Roman" w:cs="Times New Roman"/>
          <w:lang w:val="en-US"/>
        </w:rPr>
        <w:t xml:space="preserve"> Switzerland’s low energy intensity can be explained by a structural and intensity effect. </w:t>
      </w:r>
      <w:r w:rsidR="00267E3A" w:rsidRPr="000040EC">
        <w:rPr>
          <w:rFonts w:ascii="Times New Roman" w:hAnsi="Times New Roman" w:cs="Times New Roman"/>
          <w:lang w:val="en-US"/>
        </w:rPr>
        <w:t xml:space="preserve">Structural change in the last decade </w:t>
      </w:r>
      <w:proofErr w:type="gramStart"/>
      <w:r w:rsidR="00267E3A" w:rsidRPr="000040EC">
        <w:rPr>
          <w:rFonts w:ascii="Times New Roman" w:hAnsi="Times New Roman" w:cs="Times New Roman"/>
          <w:lang w:val="en-US"/>
        </w:rPr>
        <w:t>was</w:t>
      </w:r>
      <w:proofErr w:type="gramEnd"/>
      <w:r w:rsidR="00267E3A" w:rsidRPr="000040EC">
        <w:rPr>
          <w:rFonts w:ascii="Times New Roman" w:hAnsi="Times New Roman" w:cs="Times New Roman"/>
          <w:lang w:val="en-US"/>
        </w:rPr>
        <w:t xml:space="preserve"> driven by an important expansion of the pharmaceutical sector, which tends to be generally more energy efficient than other sectors. During the 2010s, the share of the Swiss pharmaceutical sector in the gross value added in the Swiss industrial sector grew from 15% to 31%. Energy intensity declined by 35% in the Swiss manufacturing industry over the same period</w:t>
      </w:r>
      <w:r w:rsidR="00EF3A1C" w:rsidRPr="000040EC">
        <w:rPr>
          <w:rFonts w:ascii="Times New Roman" w:hAnsi="Times New Roman" w:cs="Times New Roman"/>
          <w:lang w:val="en-US"/>
        </w:rPr>
        <w:t xml:space="preserve"> </w:t>
      </w:r>
      <w:r w:rsidR="00EF3A1C" w:rsidRPr="000040EC">
        <w:rPr>
          <w:rFonts w:ascii="Times New Roman" w:hAnsi="Times New Roman" w:cs="Times New Roman"/>
          <w:lang w:val="en-US"/>
        </w:rPr>
        <w:fldChar w:fldCharType="begin"/>
      </w:r>
      <w:r w:rsidR="00EF3A1C" w:rsidRPr="000040EC">
        <w:rPr>
          <w:rFonts w:ascii="Times New Roman" w:hAnsi="Times New Roman" w:cs="Times New Roman"/>
          <w:lang w:val="en-US"/>
        </w:rPr>
        <w:instrText xml:space="preserve"> ADDIN ZOTERO_ITEM CSL_CITATION {"citationID":"LLzkeEZ7","properties":{"formattedCitation":"(Gorgels et al. 2024)","plainCitation":"(Gorgels et al. 2024)","noteIndex":0},"citationItems":[{"id":6461,"uris":["http://zotero.org/groups/6311349/items/CXBWE7QK"],"itemData":{"id":6461,"type":"document","publisher":"Staatssekretariat für Wirtschaft SECO","publisher-place":"Bern","title":"Was erklärt die tiefe Energieintensität der Schweizer Wirtschaft?","URL":"https://www.seco.admin.ch/seco/fr/home/Publikationen_Dienstleistungen/Publikationen_und_Formulare/Strukturwandel_Wachstum/Strukturwandel/wp_48.html","author":[{"family":"Gorgels","given":"Stefan"},{"family":"Polugodina","given":"Maria"},{"family":"Waights","given":"Sevrin"}],"issued":{"date-parts":[["2024"]]}}}],"schema":"https://github.com/citation-style-language/schema/raw/master/csl-citation.json"} </w:instrText>
      </w:r>
      <w:r w:rsidR="00EF3A1C" w:rsidRPr="000040EC">
        <w:rPr>
          <w:rFonts w:ascii="Times New Roman" w:hAnsi="Times New Roman" w:cs="Times New Roman"/>
          <w:lang w:val="en-US"/>
        </w:rPr>
        <w:fldChar w:fldCharType="separate"/>
      </w:r>
      <w:r w:rsidR="00EF3A1C" w:rsidRPr="000040EC">
        <w:rPr>
          <w:rFonts w:ascii="Times New Roman" w:hAnsi="Times New Roman" w:cs="Times New Roman"/>
          <w:lang w:val="en-US"/>
        </w:rPr>
        <w:t>(Gorgels et al. 2024)</w:t>
      </w:r>
      <w:r w:rsidR="00EF3A1C" w:rsidRPr="000040EC">
        <w:rPr>
          <w:rFonts w:ascii="Times New Roman" w:hAnsi="Times New Roman" w:cs="Times New Roman"/>
          <w:lang w:val="en-US"/>
        </w:rPr>
        <w:fldChar w:fldCharType="end"/>
      </w:r>
      <w:r w:rsidR="00267E3A" w:rsidRPr="000040EC">
        <w:rPr>
          <w:rFonts w:ascii="Times New Roman" w:hAnsi="Times New Roman" w:cs="Times New Roman"/>
          <w:lang w:val="en-US"/>
        </w:rPr>
        <w:t xml:space="preserve">. However, as argued by </w:t>
      </w:r>
      <w:r w:rsidR="00267E3A" w:rsidRPr="000040EC">
        <w:rPr>
          <w:rFonts w:ascii="Times New Roman" w:hAnsi="Times New Roman" w:cs="Times New Roman"/>
          <w:lang w:val="en-US"/>
        </w:rPr>
        <w:fldChar w:fldCharType="begin"/>
      </w:r>
      <w:r w:rsidR="00EF3A1C" w:rsidRPr="000040EC">
        <w:rPr>
          <w:rFonts w:ascii="Times New Roman" w:hAnsi="Times New Roman" w:cs="Times New Roman"/>
          <w:lang w:val="en-US"/>
        </w:rPr>
        <w:instrText xml:space="preserve"> ADDIN ZOTERO_ITEM CSL_CITATION {"citationID":"d3XyYvkd","properties":{"formattedCitation":"(Gorgels et al. 2024)","plainCitation":"(Gorgels et al. 2024)","dontUpdate":true,"noteIndex":0},"citationItems":[{"id":6461,"uris":["http://zotero.org/groups/6311349/items/CXBWE7QK"],"itemData":{"id":6461,"type":"document","publisher":"Staatssekretariat für Wirtschaft SECO","publisher-place":"Bern","title":"Was erklärt die tiefe Energieintensität der Schweizer Wirtschaft?","URL":"https://www.seco.admin.ch/seco/fr/home/Publikationen_Dienstleistungen/Publikationen_und_Formulare/Strukturwandel_Wachstum/Strukturwandel/wp_48.html","author":[{"family":"Gorgels","given":"Stefan"},{"family":"Polugodina","given":"Maria"},{"family":"Waights","given":"Sevrin"}],"issued":{"date-parts":[["2024"]]}}}],"schema":"https://github.com/citation-style-language/schema/raw/master/csl-citation.json"} </w:instrText>
      </w:r>
      <w:r w:rsidR="00267E3A" w:rsidRPr="000040EC">
        <w:rPr>
          <w:rFonts w:ascii="Times New Roman" w:hAnsi="Times New Roman" w:cs="Times New Roman"/>
          <w:lang w:val="en-US"/>
        </w:rPr>
        <w:fldChar w:fldCharType="separate"/>
      </w:r>
      <w:r w:rsidR="00267E3A" w:rsidRPr="000040EC">
        <w:rPr>
          <w:rFonts w:ascii="Times New Roman" w:hAnsi="Times New Roman" w:cs="Times New Roman"/>
          <w:lang w:val="en-US"/>
        </w:rPr>
        <w:t>Gorgels et al. (2024)</w:t>
      </w:r>
      <w:r w:rsidR="00267E3A" w:rsidRPr="000040EC">
        <w:rPr>
          <w:rFonts w:ascii="Times New Roman" w:hAnsi="Times New Roman" w:cs="Times New Roman"/>
          <w:lang w:val="en-US"/>
        </w:rPr>
        <w:fldChar w:fldCharType="end"/>
      </w:r>
      <w:r w:rsidR="00267E3A" w:rsidRPr="000040EC">
        <w:rPr>
          <w:rFonts w:ascii="Times New Roman" w:hAnsi="Times New Roman" w:cs="Times New Roman"/>
          <w:lang w:val="en-US"/>
        </w:rPr>
        <w:t xml:space="preserve">, the low Swiss energy intensity is not only the result of a structural advantage in the distribution of value added across sectors, but is also a consequence of a decrease in energy intensity within the sectors, meaning that </w:t>
      </w:r>
      <w:r w:rsidR="00F45205" w:rsidRPr="000040EC">
        <w:rPr>
          <w:rFonts w:ascii="Times New Roman" w:hAnsi="Times New Roman" w:cs="Times New Roman"/>
          <w:lang w:val="en-US"/>
        </w:rPr>
        <w:t>its energy efficiency is pervasive across all sectors of the economy (primary, secondary, tertiary and household sectors)</w:t>
      </w:r>
      <w:r w:rsidR="008D5F10" w:rsidRPr="000040EC">
        <w:rPr>
          <w:rFonts w:ascii="Times New Roman" w:hAnsi="Times New Roman" w:cs="Times New Roman"/>
          <w:lang w:val="en-US"/>
        </w:rPr>
        <w:t>.</w:t>
      </w:r>
    </w:p>
    <w:p w14:paraId="24E79E03" w14:textId="025AAA50" w:rsidR="00CD13EE" w:rsidRPr="000040EC" w:rsidRDefault="00CD13EE" w:rsidP="00CD13EE">
      <w:pPr>
        <w:jc w:val="both"/>
        <w:rPr>
          <w:rFonts w:ascii="Times New Roman" w:hAnsi="Times New Roman" w:cs="Times New Roman"/>
          <w:lang w:val="en-US"/>
        </w:rPr>
      </w:pPr>
      <w:r w:rsidRPr="000040EC">
        <w:rPr>
          <w:rFonts w:ascii="Times New Roman" w:hAnsi="Times New Roman" w:cs="Times New Roman"/>
          <w:lang w:val="en-US"/>
        </w:rPr>
        <w:t xml:space="preserve">The Swiss economy is thus very resilient to international energy shocks thanks to a combination of institutional, structural and technical factors. Simulation results from a multi-regional </w:t>
      </w:r>
      <w:r w:rsidR="00933033" w:rsidRPr="000040EC">
        <w:rPr>
          <w:rFonts w:ascii="Times New Roman" w:hAnsi="Times New Roman" w:cs="Times New Roman"/>
          <w:lang w:val="en-US"/>
        </w:rPr>
        <w:t xml:space="preserve">price-quantity </w:t>
      </w:r>
      <w:r w:rsidRPr="000040EC">
        <w:rPr>
          <w:rFonts w:ascii="Times New Roman" w:hAnsi="Times New Roman" w:cs="Times New Roman"/>
          <w:lang w:val="en-US"/>
        </w:rPr>
        <w:t xml:space="preserve">input-output analysis by </w:t>
      </w:r>
      <w:r w:rsidRPr="000040EC">
        <w:rPr>
          <w:rFonts w:ascii="Times New Roman" w:hAnsi="Times New Roman" w:cs="Times New Roman"/>
          <w:lang w:val="en-US"/>
        </w:rPr>
        <w:fldChar w:fldCharType="begin"/>
      </w:r>
      <w:r w:rsidR="006F43AC" w:rsidRPr="000040EC">
        <w:rPr>
          <w:rFonts w:ascii="Times New Roman" w:hAnsi="Times New Roman" w:cs="Times New Roman"/>
          <w:lang w:val="en-US"/>
        </w:rPr>
        <w:instrText xml:space="preserve"> ADDIN ZOTERO_ITEM CSL_CITATION {"citationID":"NkOxe2Hk","properties":{"formattedCitation":"(Fern\\uc0\\u225{}ndez-Amador et al. 2025)","plainCitation":"(Fernández-Amador et al. 2025)","dontUpdate":true,"noteIndex":0},"citationItems":[{"id":4946,"uris":["http://zotero.org/groups/6311349/items/FM883W85"],"itemData":{"id":4946,"type":"article-journal","abstract":"There is an increasing demand for understanding how international shocks affect regions within a country differently. We study the short-term effects of a global energy price shock on output and inflation in the Swiss cantons using input–output techniques. Our results show that the induced inflation and contraction of output are small compared to other countries, indicating that Switzerland is generally resilient to price changes of fossil fuels. This is due to the low dependence of Switzerland on oil and gas and because of the large value added share of other activities. The responses of the cantons are heterogeneous, with Ticino, Neuchâtel and Basel-Country being most affected owing to their specialization in fossil fuel-dependent sectors with strong reliance on international inputs. Although the source of the responses to the shock relates to the energy sector, the contribution of other sectors through regional international linkages is larger as a result of an intermediates’ price spiral in all cantons. The results emphasize the informational gains from data on sectoral structures and global value chain integration at the regional level.","container-title":"Swiss Journal of Economics and Statistics","DOI":"10.1186/s41937-025-00134-9","ISSN":"2235-6282","issue":"1","journalAbbreviation":"Swiss Journal of Economics and Statistics","page":"3","source":"BioMed Central","title":"Measuring regional integration into global supply chains: evidence from a new dataset of Swiss cantons","title-short":"Measuring regional integration into global supply chains","volume":"161","author":[{"family":"Fernández-Amador","given":"Octavio"},{"family":"Oberdabernig","given":"Doris A."},{"family":"Tomberger","given":"Patrick"}],"issued":{"date-parts":[["2025",5,30]]}}}],"schema":"https://github.com/citation-style-language/schema/raw/master/csl-citation.json"} </w:instrText>
      </w:r>
      <w:r w:rsidRPr="000040EC">
        <w:rPr>
          <w:rFonts w:ascii="Times New Roman" w:hAnsi="Times New Roman" w:cs="Times New Roman"/>
          <w:lang w:val="en-US"/>
        </w:rPr>
        <w:fldChar w:fldCharType="separate"/>
      </w:r>
      <w:r w:rsidRPr="000040EC">
        <w:rPr>
          <w:rFonts w:ascii="Times New Roman" w:hAnsi="Times New Roman" w:cs="Times New Roman"/>
          <w:kern w:val="0"/>
          <w:lang w:val="en-US"/>
        </w:rPr>
        <w:t>Fernández-Amador et al. (2025)</w:t>
      </w:r>
      <w:r w:rsidRPr="000040EC">
        <w:rPr>
          <w:rFonts w:ascii="Times New Roman" w:hAnsi="Times New Roman" w:cs="Times New Roman"/>
          <w:lang w:val="en-US"/>
        </w:rPr>
        <w:fldChar w:fldCharType="end"/>
      </w:r>
      <w:r w:rsidRPr="000040EC">
        <w:rPr>
          <w:rFonts w:ascii="Times New Roman" w:hAnsi="Times New Roman" w:cs="Times New Roman"/>
          <w:lang w:val="en-US"/>
        </w:rPr>
        <w:t xml:space="preserve"> showed that a global price increase of 100% in oil and gas result</w:t>
      </w:r>
      <w:r w:rsidR="00933033" w:rsidRPr="000040EC">
        <w:rPr>
          <w:rFonts w:ascii="Times New Roman" w:hAnsi="Times New Roman" w:cs="Times New Roman"/>
          <w:lang w:val="en-US"/>
        </w:rPr>
        <w:t>s</w:t>
      </w:r>
      <w:r w:rsidRPr="000040EC">
        <w:rPr>
          <w:rFonts w:ascii="Times New Roman" w:hAnsi="Times New Roman" w:cs="Times New Roman"/>
          <w:lang w:val="en-US"/>
        </w:rPr>
        <w:t xml:space="preserve"> in only a 1,78% increase in the national price level. However, the responses to such an energy shock </w:t>
      </w:r>
      <w:r w:rsidR="00933033" w:rsidRPr="000040EC">
        <w:rPr>
          <w:rFonts w:ascii="Times New Roman" w:hAnsi="Times New Roman" w:cs="Times New Roman"/>
          <w:lang w:val="en-US"/>
        </w:rPr>
        <w:t>are</w:t>
      </w:r>
      <w:r w:rsidRPr="000040EC">
        <w:rPr>
          <w:rFonts w:ascii="Times New Roman" w:hAnsi="Times New Roman" w:cs="Times New Roman"/>
          <w:lang w:val="en-US"/>
        </w:rPr>
        <w:t xml:space="preserve"> heterogenous across cantons</w:t>
      </w:r>
      <w:r w:rsidR="00933033" w:rsidRPr="000040EC">
        <w:rPr>
          <w:rFonts w:ascii="Times New Roman" w:hAnsi="Times New Roman" w:cs="Times New Roman"/>
          <w:lang w:val="en-US"/>
        </w:rPr>
        <w:t>. The canton of Ticino, Neuchâtel are for instance more vulnerable to energy price shocks as they host important refineries of precious metals.</w:t>
      </w:r>
    </w:p>
    <w:p w14:paraId="54AB2853" w14:textId="515C8357" w:rsidR="00FB525B" w:rsidRPr="000040EC" w:rsidRDefault="002F07CE" w:rsidP="00977F79">
      <w:pPr>
        <w:pStyle w:val="Titre1"/>
        <w:jc w:val="both"/>
        <w:rPr>
          <w:rFonts w:ascii="Times New Roman" w:hAnsi="Times New Roman" w:cs="Times New Roman"/>
          <w:color w:val="auto"/>
          <w:lang w:val="en-US"/>
        </w:rPr>
      </w:pPr>
      <w:r w:rsidRPr="000040EC">
        <w:rPr>
          <w:rFonts w:ascii="Times New Roman" w:hAnsi="Times New Roman" w:cs="Times New Roman"/>
          <w:color w:val="auto"/>
          <w:lang w:val="en-US"/>
        </w:rPr>
        <w:t xml:space="preserve">The </w:t>
      </w:r>
      <w:r w:rsidR="00630490" w:rsidRPr="000040EC">
        <w:rPr>
          <w:rFonts w:ascii="Times New Roman" w:hAnsi="Times New Roman" w:cs="Times New Roman"/>
          <w:color w:val="auto"/>
          <w:lang w:val="en-US"/>
        </w:rPr>
        <w:t>socio-political</w:t>
      </w:r>
      <w:r w:rsidR="00C90930" w:rsidRPr="000040EC">
        <w:rPr>
          <w:rFonts w:ascii="Times New Roman" w:hAnsi="Times New Roman" w:cs="Times New Roman"/>
          <w:color w:val="auto"/>
          <w:lang w:val="en-US"/>
        </w:rPr>
        <w:t xml:space="preserve"> coalition behind</w:t>
      </w:r>
      <w:r w:rsidRPr="000040EC">
        <w:rPr>
          <w:rFonts w:ascii="Times New Roman" w:hAnsi="Times New Roman" w:cs="Times New Roman"/>
          <w:color w:val="auto"/>
          <w:lang w:val="en-US"/>
        </w:rPr>
        <w:t xml:space="preserve"> the island of high prices</w:t>
      </w:r>
    </w:p>
    <w:p w14:paraId="7DE94F44" w14:textId="65700390" w:rsidR="001A1F9C" w:rsidRPr="000040EC" w:rsidRDefault="001D4998" w:rsidP="00977F79">
      <w:pPr>
        <w:jc w:val="both"/>
        <w:rPr>
          <w:rFonts w:ascii="Times New Roman" w:hAnsi="Times New Roman" w:cs="Times New Roman"/>
          <w:lang w:val="en-US"/>
        </w:rPr>
      </w:pPr>
      <w:r w:rsidRPr="000040EC">
        <w:rPr>
          <w:rFonts w:ascii="Times New Roman" w:hAnsi="Times New Roman" w:cs="Times New Roman"/>
          <w:lang w:val="en-US"/>
        </w:rPr>
        <w:t>Switzerland’s high</w:t>
      </w:r>
      <w:r w:rsidR="00CE7524" w:rsidRPr="000040EC">
        <w:rPr>
          <w:rFonts w:ascii="Times New Roman" w:hAnsi="Times New Roman" w:cs="Times New Roman"/>
          <w:lang w:val="en-US"/>
        </w:rPr>
        <w:t xml:space="preserve"> </w:t>
      </w:r>
      <w:r w:rsidRPr="000040EC">
        <w:rPr>
          <w:rFonts w:ascii="Times New Roman" w:hAnsi="Times New Roman" w:cs="Times New Roman"/>
          <w:lang w:val="en-US"/>
        </w:rPr>
        <w:t>price island is often regarded as a double-edged sword. On the one hand, the elevated price level insulates Swiss price dynamics from international fluctuations and external shocks. On the other hand, the high price level is seen as the result of market distortions stemming from excessive regulation</w:t>
      </w:r>
      <w:r w:rsidR="00CE7524" w:rsidRPr="000040EC">
        <w:rPr>
          <w:rFonts w:ascii="Times New Roman" w:hAnsi="Times New Roman" w:cs="Times New Roman"/>
          <w:lang w:val="en-US"/>
        </w:rPr>
        <w:t>s</w:t>
      </w:r>
      <w:r w:rsidRPr="000040EC">
        <w:rPr>
          <w:rFonts w:ascii="Times New Roman" w:hAnsi="Times New Roman" w:cs="Times New Roman"/>
          <w:lang w:val="en-US"/>
        </w:rPr>
        <w:t xml:space="preserve"> and protectionism, as well as insufficient competition in sectors geared toward the domestic market</w:t>
      </w:r>
      <w:r w:rsidR="00EF501D" w:rsidRPr="000040EC">
        <w:rPr>
          <w:rFonts w:ascii="Times New Roman" w:hAnsi="Times New Roman" w:cs="Times New Roman"/>
          <w:lang w:val="en-US"/>
        </w:rPr>
        <w:t xml:space="preserve"> </w:t>
      </w:r>
      <w:r w:rsidR="00EF501D" w:rsidRPr="000040EC">
        <w:rPr>
          <w:rFonts w:ascii="Times New Roman" w:hAnsi="Times New Roman" w:cs="Times New Roman"/>
          <w:lang w:val="en-US"/>
        </w:rPr>
        <w:fldChar w:fldCharType="begin"/>
      </w:r>
      <w:r w:rsidR="00EF501D" w:rsidRPr="000040EC">
        <w:rPr>
          <w:rFonts w:ascii="Times New Roman" w:hAnsi="Times New Roman" w:cs="Times New Roman"/>
          <w:lang w:val="en-US"/>
        </w:rPr>
        <w:instrText xml:space="preserve"> ADDIN ZOTERO_ITEM CSL_CITATION {"citationID":"PLJ9SKPx","properties":{"formattedCitation":"(Schaller 2008)","plainCitation":"(Schaller 2008)","noteIndex":0},"citationItems":[{"id":6752,"uris":["http://zotero.org/groups/6311349/items/JJC3PVCW"],"itemData":{"id":6752,"type":"book","abstract":"Peuplée de huit millions de personnes à peine, la Suisse fait partie des dix premières puissances industrielles du monde (l'Union Européenne comptant pour une). Sa politique économique tente de faire baisser les prix sur le marché intérieur depuis plus de vingt ans, pour les ramener aux niveaux européens. Or, l'on s'aperçoit aujourd'hui que ce sont au contraire les prix européens qui se sont hissés à la hauteur des prix en Suisse ! Ce qui a été dit et répété à ce sujet en Suisse - à propos de concurrence en particulier, maître-mot des raisonnements économiques sommaires - ne relève-t- il pas d'une sorte de mirage intellectuel ? D'un délire collectif comme il s'en produit parfois en économie, rendant la science impuissante ? La même question mérite sans doute d'être posée au sujet des lamentations sur le pouvoir d'achat, et des recettes politiques mises en oeuvre. En France et dans bien d'autres pays ! L'île de cherté rassemble divers textes de controverse rédigés sur plusieurs années, considérant la Suisse comme un cas d'école. L'analyse explore certains malentendus économiques au sens large, qui alimentent sans cesse le ressentiment populaire et politique.","ISBN":"978-2-8321-0327-2","language":"French","number-of-pages":"154","publisher":"SLATKINE","source":"Amazon","title":"L'île de cherte: Chronique d'un délire économique collectif suivi de L'éternel retour des crises financières - Anthropologie de la destruction de valeur","title-short":"Lile de cherte","author":[{"family":"Schaller","given":"Francois"}],"issued":{"date-parts":[["2008"]]}}}],"schema":"https://github.com/citation-style-language/schema/raw/master/csl-citation.json"} </w:instrText>
      </w:r>
      <w:r w:rsidR="00EF501D" w:rsidRPr="000040EC">
        <w:rPr>
          <w:rFonts w:ascii="Times New Roman" w:hAnsi="Times New Roman" w:cs="Times New Roman"/>
          <w:lang w:val="en-US"/>
        </w:rPr>
        <w:fldChar w:fldCharType="separate"/>
      </w:r>
      <w:r w:rsidR="00EF501D" w:rsidRPr="000040EC">
        <w:rPr>
          <w:rFonts w:ascii="Times New Roman" w:hAnsi="Times New Roman" w:cs="Times New Roman"/>
          <w:lang w:val="en-US"/>
        </w:rPr>
        <w:t>(Schaller 2008)</w:t>
      </w:r>
      <w:r w:rsidR="00EF501D" w:rsidRPr="000040EC">
        <w:rPr>
          <w:rFonts w:ascii="Times New Roman" w:hAnsi="Times New Roman" w:cs="Times New Roman"/>
          <w:lang w:val="en-US"/>
        </w:rPr>
        <w:fldChar w:fldCharType="end"/>
      </w:r>
      <w:r w:rsidRPr="000040EC">
        <w:rPr>
          <w:rFonts w:ascii="Times New Roman" w:hAnsi="Times New Roman" w:cs="Times New Roman"/>
          <w:lang w:val="en-US"/>
        </w:rPr>
        <w:t>.</w:t>
      </w:r>
      <w:r w:rsidR="005A3BF5" w:rsidRPr="000040EC">
        <w:rPr>
          <w:rFonts w:ascii="Times New Roman" w:hAnsi="Times New Roman" w:cs="Times New Roman"/>
          <w:lang w:val="en-US"/>
        </w:rPr>
        <w:t xml:space="preserve"> </w:t>
      </w:r>
      <w:r w:rsidR="00953817" w:rsidRPr="000040EC">
        <w:rPr>
          <w:rFonts w:ascii="Times New Roman" w:hAnsi="Times New Roman" w:cs="Times New Roman"/>
          <w:lang w:val="en-US"/>
        </w:rPr>
        <w:t xml:space="preserve">The Swiss high price island </w:t>
      </w:r>
      <w:r w:rsidR="00852296" w:rsidRPr="000040EC">
        <w:rPr>
          <w:rFonts w:ascii="Times New Roman" w:hAnsi="Times New Roman" w:cs="Times New Roman"/>
          <w:lang w:val="en-US"/>
        </w:rPr>
        <w:t xml:space="preserve">mirrors </w:t>
      </w:r>
      <w:r w:rsidR="00953817" w:rsidRPr="000040EC">
        <w:rPr>
          <w:rFonts w:ascii="Times New Roman" w:hAnsi="Times New Roman" w:cs="Times New Roman"/>
          <w:lang w:val="en-US"/>
        </w:rPr>
        <w:t xml:space="preserve">the dual character of its economy between, on the one hand, highly competitive and internationalized sectors (for instance multinational companies in finance or industry) which benefit from price stability, and on the other hand the domestic-oriented sectors which remain protected from international competition or is highly cartelized and concentrated (as retail and agriculture) </w:t>
      </w:r>
      <w:r w:rsidR="00953817" w:rsidRPr="000040EC">
        <w:rPr>
          <w:rFonts w:ascii="Times New Roman" w:hAnsi="Times New Roman" w:cs="Times New Roman"/>
          <w:lang w:val="en-US"/>
        </w:rPr>
        <w:fldChar w:fldCharType="begin"/>
      </w:r>
      <w:r w:rsidR="00953817" w:rsidRPr="000040EC">
        <w:rPr>
          <w:rFonts w:ascii="Times New Roman" w:hAnsi="Times New Roman" w:cs="Times New Roman"/>
          <w:lang w:val="en-US"/>
        </w:rPr>
        <w:instrText xml:space="preserve"> ADDIN ZOTERO_ITEM CSL_CITATION {"citationID":"t3NPb3ff","properties":{"formattedCitation":"(Mach and Trampusch 2011)","plainCitation":"(Mach and Trampusch 2011)","noteIndex":0},"citationItems":[{"id":6928,"uris":["http://zotero.org/groups/6311349/items/QT63N75S"],"itemData":{"id":6928,"type":"chapter","abstract":"In the various typologies used in comparative political economy, Switzerland is either neglected entirely or is difficult to classify. By analysing the peculiarities of the Swiss political economy, this chapter shows that this small country sits between two stools as far as classification is concerned. On the one hand, it exhibits obvious traits of self-governance by associations similar to other coordinated market economies like Austria or Germany, while on the other, it resembles liberal political economies like the US or the UK in terms of its strong reliance on market forces. The difficulties in classifying the Swiss case and the emphasis put on its specificities often leads authors to stress the Swiss Sonderfall (special case), without providing any clear and detailed explanation for this divergent status. The objective of this chapter is not only to specify Switzerland's location in the various typologies used in comparative political economy; we also contend that it is precisely the Sonderfall Switzerland that makes this country such an interesting case for comparative studies.","container-title":"Switzerland in Europe","note":"number-of-pages: 16","publisher":"Routledge","title":"The Swiss political economy in comparative perspective","author":[{"family":"Mach","given":"André"},{"family":"Trampusch","given":"Christine"}],"issued":{"date-parts":[["2011"]]}}}],"schema":"https://github.com/citation-style-language/schema/raw/master/csl-citation.json"} </w:instrText>
      </w:r>
      <w:r w:rsidR="00953817" w:rsidRPr="000040EC">
        <w:rPr>
          <w:rFonts w:ascii="Times New Roman" w:hAnsi="Times New Roman" w:cs="Times New Roman"/>
          <w:lang w:val="en-US"/>
        </w:rPr>
        <w:fldChar w:fldCharType="separate"/>
      </w:r>
      <w:r w:rsidR="00953817" w:rsidRPr="000040EC">
        <w:rPr>
          <w:rFonts w:ascii="Times New Roman" w:hAnsi="Times New Roman" w:cs="Times New Roman"/>
          <w:lang w:val="en-US"/>
        </w:rPr>
        <w:t>(Mach and Trampusch 2011)</w:t>
      </w:r>
      <w:r w:rsidR="00953817" w:rsidRPr="000040EC">
        <w:rPr>
          <w:rFonts w:ascii="Times New Roman" w:hAnsi="Times New Roman" w:cs="Times New Roman"/>
          <w:lang w:val="en-US"/>
        </w:rPr>
        <w:fldChar w:fldCharType="end"/>
      </w:r>
      <w:r w:rsidR="00953817" w:rsidRPr="000040EC">
        <w:rPr>
          <w:rFonts w:ascii="Times New Roman" w:hAnsi="Times New Roman" w:cs="Times New Roman"/>
          <w:lang w:val="en-US"/>
        </w:rPr>
        <w:t xml:space="preserve">. </w:t>
      </w:r>
    </w:p>
    <w:p w14:paraId="1FE907D2" w14:textId="74435F47" w:rsidR="001D4998" w:rsidRPr="000040EC" w:rsidRDefault="00852296" w:rsidP="00977F79">
      <w:pPr>
        <w:jc w:val="both"/>
        <w:rPr>
          <w:rFonts w:ascii="Times New Roman" w:hAnsi="Times New Roman" w:cs="Times New Roman"/>
          <w:lang w:val="en-US"/>
        </w:rPr>
      </w:pPr>
      <w:r w:rsidRPr="000040EC">
        <w:rPr>
          <w:rFonts w:ascii="Times New Roman" w:hAnsi="Times New Roman" w:cs="Times New Roman"/>
          <w:lang w:val="en-US"/>
        </w:rPr>
        <w:t xml:space="preserve">This dualist structure of the Swiss economy has shaped the evolution of Swiss capitalism into a hybrid system characterized by both liberal </w:t>
      </w:r>
      <w:r w:rsidR="006820EC" w:rsidRPr="000040EC">
        <w:rPr>
          <w:rFonts w:ascii="Times New Roman" w:hAnsi="Times New Roman" w:cs="Times New Roman"/>
          <w:lang w:val="en-US"/>
        </w:rPr>
        <w:t xml:space="preserve">and coordinating institutions through the early emergence of powerful business interest </w:t>
      </w:r>
      <w:r w:rsidR="0027597F" w:rsidRPr="000040EC">
        <w:rPr>
          <w:rFonts w:ascii="Times New Roman" w:hAnsi="Times New Roman" w:cs="Times New Roman"/>
          <w:lang w:val="en-US"/>
        </w:rPr>
        <w:t>association</w:t>
      </w:r>
      <w:r w:rsidR="006820EC" w:rsidRPr="000040EC">
        <w:rPr>
          <w:rFonts w:ascii="Times New Roman" w:hAnsi="Times New Roman" w:cs="Times New Roman"/>
          <w:lang w:val="en-US"/>
        </w:rPr>
        <w:t xml:space="preserve"> (BIAs) which play an active role in Swiss politics. A telling example is the fact that the director of the Swiss Federation of Commerce and Industry (</w:t>
      </w:r>
      <w:proofErr w:type="spellStart"/>
      <w:r w:rsidR="006820EC" w:rsidRPr="000040EC">
        <w:rPr>
          <w:rFonts w:ascii="Times New Roman" w:hAnsi="Times New Roman" w:cs="Times New Roman"/>
          <w:lang w:val="en-US"/>
        </w:rPr>
        <w:t>Economiesuisse</w:t>
      </w:r>
      <w:proofErr w:type="spellEnd"/>
      <w:r w:rsidR="00DA1E3A" w:rsidRPr="000040EC">
        <w:rPr>
          <w:rFonts w:ascii="Times New Roman" w:hAnsi="Times New Roman" w:cs="Times New Roman"/>
          <w:lang w:val="en-US"/>
        </w:rPr>
        <w:t xml:space="preserve">, previously </w:t>
      </w:r>
      <w:proofErr w:type="spellStart"/>
      <w:r w:rsidR="00DA1E3A" w:rsidRPr="000040EC">
        <w:rPr>
          <w:rFonts w:ascii="Times New Roman" w:hAnsi="Times New Roman" w:cs="Times New Roman"/>
          <w:lang w:val="en-US"/>
        </w:rPr>
        <w:t>Vorort</w:t>
      </w:r>
      <w:proofErr w:type="spellEnd"/>
      <w:r w:rsidR="006820EC" w:rsidRPr="000040EC">
        <w:rPr>
          <w:rFonts w:ascii="Times New Roman" w:hAnsi="Times New Roman" w:cs="Times New Roman"/>
          <w:lang w:val="en-US"/>
        </w:rPr>
        <w:t xml:space="preserve">), which is the largest BIA in Switzerland and represents the interests of the large export-oriented industries, was generally seen as the eighth federal </w:t>
      </w:r>
      <w:proofErr w:type="spellStart"/>
      <w:r w:rsidR="006820EC" w:rsidRPr="000040EC">
        <w:rPr>
          <w:rFonts w:ascii="Times New Roman" w:hAnsi="Times New Roman" w:cs="Times New Roman"/>
          <w:lang w:val="en-US"/>
        </w:rPr>
        <w:t>councillor</w:t>
      </w:r>
      <w:proofErr w:type="spellEnd"/>
      <w:r w:rsidR="00017001" w:rsidRPr="000040EC">
        <w:rPr>
          <w:rFonts w:ascii="Times New Roman" w:hAnsi="Times New Roman" w:cs="Times New Roman"/>
          <w:lang w:val="en-US"/>
        </w:rPr>
        <w:t xml:space="preserve"> </w:t>
      </w:r>
      <w:r w:rsidR="00017001" w:rsidRPr="000040EC">
        <w:rPr>
          <w:rFonts w:ascii="Times New Roman" w:hAnsi="Times New Roman" w:cs="Times New Roman"/>
          <w:lang w:val="en-US"/>
        </w:rPr>
        <w:fldChar w:fldCharType="begin"/>
      </w:r>
      <w:r w:rsidR="00017001" w:rsidRPr="000040EC">
        <w:rPr>
          <w:rFonts w:ascii="Times New Roman" w:hAnsi="Times New Roman" w:cs="Times New Roman"/>
          <w:lang w:val="en-US"/>
        </w:rPr>
        <w:instrText xml:space="preserve"> ADDIN ZOTERO_ITEM CSL_CITATION {"citationID":"SiDXOgre","properties":{"formattedCitation":"(Bassin and Noghero 2022)","plainCitation":"(Bassin and Noghero 2022)","noteIndex":0},"citationItems":[{"id":6930,"uris":["http://zotero.org/groups/6311349/items/EAGIKURM"],"itemData":{"id":6930,"type":"article-newspaper","abstract":"L’arrivée de deux nouveaux membres au gouvernement ne va pas révolutionner la marche des affaires des entreprises suisses. Le collège va néanmoins devoir empoigner cinq dossiers majeurs pour l’économie","ISSN":"1423-3967","language":"fr","publisher":"Le Temps","source":"www.letemps.ch","title":"Les cinq chantiers économiques du nouveau Conseil fédéral","URL":"https://www.letemps.ch/economie/cinq-chantiers-economiques-nouveau-conseil-federal","author":[{"family":"Bassin","given":"Aline"},{"family":"Noghero","given":"Fanny"}],"accessed":{"date-parts":[["2026",8,12]]},"issued":{"date-parts":[["2022",12,8]]}}}],"schema":"https://github.com/citation-style-language/schema/raw/master/csl-citation.json"} </w:instrText>
      </w:r>
      <w:r w:rsidR="00017001" w:rsidRPr="000040EC">
        <w:rPr>
          <w:rFonts w:ascii="Times New Roman" w:hAnsi="Times New Roman" w:cs="Times New Roman"/>
          <w:lang w:val="en-US"/>
        </w:rPr>
        <w:fldChar w:fldCharType="separate"/>
      </w:r>
      <w:r w:rsidR="00017001" w:rsidRPr="000040EC">
        <w:rPr>
          <w:rFonts w:ascii="Times New Roman" w:hAnsi="Times New Roman" w:cs="Times New Roman"/>
          <w:lang w:val="en-US"/>
        </w:rPr>
        <w:t xml:space="preserve">(Bassin and </w:t>
      </w:r>
      <w:proofErr w:type="spellStart"/>
      <w:r w:rsidR="00017001" w:rsidRPr="000040EC">
        <w:rPr>
          <w:rFonts w:ascii="Times New Roman" w:hAnsi="Times New Roman" w:cs="Times New Roman"/>
          <w:lang w:val="en-US"/>
        </w:rPr>
        <w:t>Noghero</w:t>
      </w:r>
      <w:proofErr w:type="spellEnd"/>
      <w:r w:rsidR="00017001" w:rsidRPr="000040EC">
        <w:rPr>
          <w:rFonts w:ascii="Times New Roman" w:hAnsi="Times New Roman" w:cs="Times New Roman"/>
          <w:lang w:val="en-US"/>
        </w:rPr>
        <w:t xml:space="preserve"> 2022)</w:t>
      </w:r>
      <w:r w:rsidR="00017001" w:rsidRPr="000040EC">
        <w:rPr>
          <w:rFonts w:ascii="Times New Roman" w:hAnsi="Times New Roman" w:cs="Times New Roman"/>
          <w:lang w:val="en-US"/>
        </w:rPr>
        <w:fldChar w:fldCharType="end"/>
      </w:r>
      <w:r w:rsidR="006820EC" w:rsidRPr="000040EC">
        <w:rPr>
          <w:rFonts w:ascii="Times New Roman" w:hAnsi="Times New Roman" w:cs="Times New Roman"/>
          <w:lang w:val="en-US"/>
        </w:rPr>
        <w:t>.</w:t>
      </w:r>
      <w:r w:rsidR="0080034A" w:rsidRPr="000040EC">
        <w:rPr>
          <w:rFonts w:ascii="Times New Roman" w:hAnsi="Times New Roman" w:cs="Times New Roman"/>
          <w:lang w:val="en-US"/>
        </w:rPr>
        <w:t xml:space="preserve"> The sheltered sectors producing for the domestic market are for their part represented by Swiss Industry and Trade Association (</w:t>
      </w:r>
      <w:proofErr w:type="spellStart"/>
      <w:r w:rsidR="0080034A" w:rsidRPr="000040EC">
        <w:rPr>
          <w:rFonts w:ascii="Times New Roman" w:hAnsi="Times New Roman" w:cs="Times New Roman"/>
          <w:lang w:val="en-US"/>
        </w:rPr>
        <w:t>Gewerverband</w:t>
      </w:r>
      <w:proofErr w:type="spellEnd"/>
      <w:r w:rsidR="0080034A" w:rsidRPr="000040EC">
        <w:rPr>
          <w:rFonts w:ascii="Times New Roman" w:hAnsi="Times New Roman" w:cs="Times New Roman"/>
          <w:lang w:val="en-US"/>
        </w:rPr>
        <w:t>). T</w:t>
      </w:r>
      <w:r w:rsidR="0065416F" w:rsidRPr="000040EC">
        <w:rPr>
          <w:rFonts w:ascii="Times New Roman" w:hAnsi="Times New Roman" w:cs="Times New Roman"/>
          <w:lang w:val="en-US"/>
        </w:rPr>
        <w:t>hree</w:t>
      </w:r>
      <w:r w:rsidR="0080034A" w:rsidRPr="000040EC">
        <w:rPr>
          <w:rFonts w:ascii="Times New Roman" w:hAnsi="Times New Roman" w:cs="Times New Roman"/>
          <w:lang w:val="en-US"/>
        </w:rPr>
        <w:t xml:space="preserve"> other important BIAs are the Swiss employers’ Association, which represent the same </w:t>
      </w:r>
      <w:r w:rsidR="0080034A" w:rsidRPr="000040EC">
        <w:rPr>
          <w:rFonts w:ascii="Times New Roman" w:hAnsi="Times New Roman" w:cs="Times New Roman"/>
          <w:lang w:val="en-US"/>
        </w:rPr>
        <w:lastRenderedPageBreak/>
        <w:t xml:space="preserve">interests </w:t>
      </w:r>
      <w:r w:rsidR="006C0BEA" w:rsidRPr="000040EC">
        <w:rPr>
          <w:rFonts w:ascii="Times New Roman" w:hAnsi="Times New Roman" w:cs="Times New Roman"/>
          <w:lang w:val="en-US"/>
        </w:rPr>
        <w:t>as</w:t>
      </w:r>
      <w:r w:rsidR="0080034A" w:rsidRPr="000040EC">
        <w:rPr>
          <w:rFonts w:ascii="Times New Roman" w:hAnsi="Times New Roman" w:cs="Times New Roman"/>
          <w:lang w:val="en-US"/>
        </w:rPr>
        <w:t xml:space="preserve"> </w:t>
      </w:r>
      <w:proofErr w:type="spellStart"/>
      <w:r w:rsidR="0080034A" w:rsidRPr="000040EC">
        <w:rPr>
          <w:rFonts w:ascii="Times New Roman" w:hAnsi="Times New Roman" w:cs="Times New Roman"/>
          <w:lang w:val="en-US"/>
        </w:rPr>
        <w:t>Economiesuisse</w:t>
      </w:r>
      <w:proofErr w:type="spellEnd"/>
      <w:r w:rsidR="0080034A" w:rsidRPr="000040EC">
        <w:rPr>
          <w:rFonts w:ascii="Times New Roman" w:hAnsi="Times New Roman" w:cs="Times New Roman"/>
          <w:lang w:val="en-US"/>
        </w:rPr>
        <w:t xml:space="preserve"> but deal mostly with </w:t>
      </w:r>
      <w:proofErr w:type="spellStart"/>
      <w:r w:rsidR="0080034A" w:rsidRPr="000040EC">
        <w:rPr>
          <w:rFonts w:ascii="Times New Roman" w:hAnsi="Times New Roman" w:cs="Times New Roman"/>
          <w:lang w:val="en-US"/>
        </w:rPr>
        <w:t>labour</w:t>
      </w:r>
      <w:proofErr w:type="spellEnd"/>
      <w:r w:rsidR="0080034A" w:rsidRPr="000040EC">
        <w:rPr>
          <w:rFonts w:ascii="Times New Roman" w:hAnsi="Times New Roman" w:cs="Times New Roman"/>
          <w:lang w:val="en-US"/>
        </w:rPr>
        <w:t xml:space="preserve"> market and social policy issues</w:t>
      </w:r>
      <w:r w:rsidR="0065416F" w:rsidRPr="000040EC">
        <w:rPr>
          <w:rFonts w:ascii="Times New Roman" w:hAnsi="Times New Roman" w:cs="Times New Roman"/>
          <w:lang w:val="en-US"/>
        </w:rPr>
        <w:t>;</w:t>
      </w:r>
      <w:r w:rsidR="0080034A" w:rsidRPr="000040EC">
        <w:rPr>
          <w:rFonts w:ascii="Times New Roman" w:hAnsi="Times New Roman" w:cs="Times New Roman"/>
          <w:lang w:val="en-US"/>
        </w:rPr>
        <w:t xml:space="preserve"> the Swiss Bankers’ Association which represent and organize financial and banking interests</w:t>
      </w:r>
      <w:r w:rsidR="00630490" w:rsidRPr="000040EC">
        <w:rPr>
          <w:rFonts w:ascii="Times New Roman" w:hAnsi="Times New Roman" w:cs="Times New Roman"/>
          <w:lang w:val="en-US"/>
        </w:rPr>
        <w:t>;</w:t>
      </w:r>
      <w:r w:rsidR="0065416F" w:rsidRPr="000040EC">
        <w:rPr>
          <w:rFonts w:ascii="Times New Roman" w:hAnsi="Times New Roman" w:cs="Times New Roman"/>
          <w:lang w:val="en-US"/>
        </w:rPr>
        <w:t xml:space="preserve"> and the Swiss Farmers’ Union</w:t>
      </w:r>
      <w:r w:rsidR="00DA1E3A" w:rsidRPr="000040EC">
        <w:rPr>
          <w:rFonts w:ascii="Times New Roman" w:hAnsi="Times New Roman" w:cs="Times New Roman"/>
          <w:lang w:val="en-US"/>
        </w:rPr>
        <w:t xml:space="preserve"> (</w:t>
      </w:r>
      <w:proofErr w:type="spellStart"/>
      <w:r w:rsidR="00DA1E3A" w:rsidRPr="000040EC">
        <w:rPr>
          <w:rFonts w:ascii="Times New Roman" w:hAnsi="Times New Roman" w:cs="Times New Roman"/>
          <w:lang w:val="en-US"/>
        </w:rPr>
        <w:t>Bauernverband</w:t>
      </w:r>
      <w:proofErr w:type="spellEnd"/>
      <w:r w:rsidR="00DA1E3A" w:rsidRPr="000040EC">
        <w:rPr>
          <w:rFonts w:ascii="Times New Roman" w:hAnsi="Times New Roman" w:cs="Times New Roman"/>
          <w:lang w:val="en-US"/>
        </w:rPr>
        <w:t>)</w:t>
      </w:r>
      <w:r w:rsidR="0065416F" w:rsidRPr="000040EC">
        <w:rPr>
          <w:rFonts w:ascii="Times New Roman" w:hAnsi="Times New Roman" w:cs="Times New Roman"/>
          <w:lang w:val="en-US"/>
        </w:rPr>
        <w:t xml:space="preserve"> which represents the agricultural sector</w:t>
      </w:r>
      <w:r w:rsidR="0080034A" w:rsidRPr="000040EC">
        <w:rPr>
          <w:rFonts w:ascii="Times New Roman" w:hAnsi="Times New Roman" w:cs="Times New Roman"/>
          <w:lang w:val="en-US"/>
        </w:rPr>
        <w:t>.</w:t>
      </w:r>
      <w:r w:rsidR="001A1F9C" w:rsidRPr="000040EC">
        <w:rPr>
          <w:rFonts w:ascii="Times New Roman" w:hAnsi="Times New Roman" w:cs="Times New Roman"/>
          <w:lang w:val="en-US"/>
        </w:rPr>
        <w:t xml:space="preserve"> These </w:t>
      </w:r>
      <w:r w:rsidR="0065416F" w:rsidRPr="000040EC">
        <w:rPr>
          <w:rFonts w:ascii="Times New Roman" w:hAnsi="Times New Roman" w:cs="Times New Roman"/>
          <w:lang w:val="en-US"/>
        </w:rPr>
        <w:t>five</w:t>
      </w:r>
      <w:r w:rsidR="001A1F9C" w:rsidRPr="000040EC">
        <w:rPr>
          <w:rFonts w:ascii="Times New Roman" w:hAnsi="Times New Roman" w:cs="Times New Roman"/>
          <w:lang w:val="en-US"/>
        </w:rPr>
        <w:t xml:space="preserve"> main BIAs defend conflicting </w:t>
      </w:r>
      <w:r w:rsidR="00630490" w:rsidRPr="000040EC">
        <w:rPr>
          <w:rFonts w:ascii="Times New Roman" w:hAnsi="Times New Roman" w:cs="Times New Roman"/>
          <w:lang w:val="en-US"/>
        </w:rPr>
        <w:t xml:space="preserve">business </w:t>
      </w:r>
      <w:r w:rsidR="001A1F9C" w:rsidRPr="000040EC">
        <w:rPr>
          <w:rFonts w:ascii="Times New Roman" w:hAnsi="Times New Roman" w:cs="Times New Roman"/>
          <w:lang w:val="en-US"/>
        </w:rPr>
        <w:t xml:space="preserve">interests. On the side of export-oriented industries, </w:t>
      </w:r>
      <w:proofErr w:type="spellStart"/>
      <w:r w:rsidR="001A1F9C" w:rsidRPr="000040EC">
        <w:rPr>
          <w:rFonts w:ascii="Times New Roman" w:hAnsi="Times New Roman" w:cs="Times New Roman"/>
          <w:lang w:val="en-US"/>
        </w:rPr>
        <w:t>Economiesuisse</w:t>
      </w:r>
      <w:proofErr w:type="spellEnd"/>
      <w:r w:rsidR="001A1F9C" w:rsidRPr="000040EC">
        <w:rPr>
          <w:rFonts w:ascii="Times New Roman" w:hAnsi="Times New Roman" w:cs="Times New Roman"/>
          <w:lang w:val="en-US"/>
        </w:rPr>
        <w:t xml:space="preserve"> </w:t>
      </w:r>
      <w:r w:rsidR="0065416F" w:rsidRPr="000040EC">
        <w:rPr>
          <w:rFonts w:ascii="Times New Roman" w:hAnsi="Times New Roman" w:cs="Times New Roman"/>
          <w:lang w:val="en-US"/>
        </w:rPr>
        <w:t>supports</w:t>
      </w:r>
      <w:r w:rsidR="001A1F9C" w:rsidRPr="000040EC">
        <w:rPr>
          <w:rFonts w:ascii="Times New Roman" w:hAnsi="Times New Roman" w:cs="Times New Roman"/>
          <w:lang w:val="en-US"/>
        </w:rPr>
        <w:t xml:space="preserve"> free-trade, low tariff rates, competition policies</w:t>
      </w:r>
      <w:r w:rsidR="0065416F" w:rsidRPr="000040EC">
        <w:rPr>
          <w:rFonts w:ascii="Times New Roman" w:hAnsi="Times New Roman" w:cs="Times New Roman"/>
          <w:lang w:val="en-US"/>
        </w:rPr>
        <w:t>, minimalistic welfare state and</w:t>
      </w:r>
      <w:r w:rsidR="00630490" w:rsidRPr="000040EC">
        <w:rPr>
          <w:rFonts w:ascii="Times New Roman" w:hAnsi="Times New Roman" w:cs="Times New Roman"/>
          <w:lang w:val="en-US"/>
        </w:rPr>
        <w:t xml:space="preserve"> a small degree</w:t>
      </w:r>
      <w:r w:rsidR="0065416F" w:rsidRPr="000040EC">
        <w:rPr>
          <w:rFonts w:ascii="Times New Roman" w:hAnsi="Times New Roman" w:cs="Times New Roman"/>
          <w:lang w:val="en-US"/>
        </w:rPr>
        <w:t xml:space="preserve"> </w:t>
      </w:r>
      <w:r w:rsidR="00630490" w:rsidRPr="000040EC">
        <w:rPr>
          <w:rFonts w:ascii="Times New Roman" w:hAnsi="Times New Roman" w:cs="Times New Roman"/>
          <w:lang w:val="en-US"/>
        </w:rPr>
        <w:t xml:space="preserve">of </w:t>
      </w:r>
      <w:proofErr w:type="spellStart"/>
      <w:r w:rsidR="0065416F" w:rsidRPr="000040EC">
        <w:rPr>
          <w:rFonts w:ascii="Times New Roman" w:hAnsi="Times New Roman" w:cs="Times New Roman"/>
          <w:lang w:val="en-US"/>
        </w:rPr>
        <w:t>labour</w:t>
      </w:r>
      <w:proofErr w:type="spellEnd"/>
      <w:r w:rsidR="0065416F" w:rsidRPr="000040EC">
        <w:rPr>
          <w:rFonts w:ascii="Times New Roman" w:hAnsi="Times New Roman" w:cs="Times New Roman"/>
          <w:lang w:val="en-US"/>
        </w:rPr>
        <w:t xml:space="preserve"> protection </w:t>
      </w:r>
      <w:r w:rsidR="00630490" w:rsidRPr="000040EC">
        <w:rPr>
          <w:rFonts w:ascii="Times New Roman" w:hAnsi="Times New Roman" w:cs="Times New Roman"/>
          <w:lang w:val="en-US"/>
        </w:rPr>
        <w:t>and</w:t>
      </w:r>
      <w:r w:rsidR="0065416F" w:rsidRPr="000040EC">
        <w:rPr>
          <w:rFonts w:ascii="Times New Roman" w:hAnsi="Times New Roman" w:cs="Times New Roman"/>
          <w:lang w:val="en-US"/>
        </w:rPr>
        <w:t xml:space="preserve"> state intervention into the economy. On the side of sheltered sectors, the </w:t>
      </w:r>
      <w:proofErr w:type="spellStart"/>
      <w:r w:rsidR="0065416F" w:rsidRPr="000040EC">
        <w:rPr>
          <w:rFonts w:ascii="Times New Roman" w:hAnsi="Times New Roman" w:cs="Times New Roman"/>
          <w:lang w:val="en-US"/>
        </w:rPr>
        <w:t>Gewerverband</w:t>
      </w:r>
      <w:proofErr w:type="spellEnd"/>
      <w:r w:rsidR="0065416F" w:rsidRPr="000040EC">
        <w:rPr>
          <w:rFonts w:ascii="Times New Roman" w:hAnsi="Times New Roman" w:cs="Times New Roman"/>
          <w:lang w:val="en-US"/>
        </w:rPr>
        <w:t xml:space="preserve"> and the Swiss Farmers’ Union defend the interests of the domestic-oriented firms which are less competitive and thus demand protection from international competition through protectionist measures or state subsidies (as we have seen with the agricultural sector). </w:t>
      </w:r>
      <w:r w:rsidR="00626693" w:rsidRPr="000040EC">
        <w:rPr>
          <w:rFonts w:ascii="Times New Roman" w:hAnsi="Times New Roman" w:cs="Times New Roman"/>
          <w:lang w:val="en-US"/>
        </w:rPr>
        <w:t xml:space="preserve">Another </w:t>
      </w:r>
      <w:r w:rsidR="00C75F0D" w:rsidRPr="000040EC">
        <w:rPr>
          <w:rFonts w:ascii="Times New Roman" w:hAnsi="Times New Roman" w:cs="Times New Roman"/>
          <w:lang w:val="en-US"/>
        </w:rPr>
        <w:t>traditional cleavage among business interests concern</w:t>
      </w:r>
      <w:r w:rsidR="00DE701E" w:rsidRPr="000040EC">
        <w:rPr>
          <w:rFonts w:ascii="Times New Roman" w:hAnsi="Times New Roman" w:cs="Times New Roman"/>
          <w:lang w:val="en-US"/>
        </w:rPr>
        <w:t>s</w:t>
      </w:r>
      <w:r w:rsidR="00C75F0D" w:rsidRPr="000040EC">
        <w:rPr>
          <w:rFonts w:ascii="Times New Roman" w:hAnsi="Times New Roman" w:cs="Times New Roman"/>
          <w:lang w:val="en-US"/>
        </w:rPr>
        <w:t xml:space="preserve"> the division between the financial and industrial sectors on monetary policy as the strength of the Swiss franc is regularly seen as a threat by export-oriented industries</w:t>
      </w:r>
      <w:r w:rsidR="00DE701E" w:rsidRPr="000040EC">
        <w:rPr>
          <w:rFonts w:ascii="Times New Roman" w:hAnsi="Times New Roman" w:cs="Times New Roman"/>
          <w:lang w:val="en-US"/>
        </w:rPr>
        <w:t xml:space="preserve"> </w:t>
      </w:r>
      <w:r w:rsidR="00DE701E" w:rsidRPr="000040EC">
        <w:rPr>
          <w:rFonts w:ascii="Times New Roman" w:hAnsi="Times New Roman" w:cs="Times New Roman"/>
          <w:lang w:val="en-US"/>
        </w:rPr>
        <w:fldChar w:fldCharType="begin"/>
      </w:r>
      <w:r w:rsidR="00DE701E" w:rsidRPr="000040EC">
        <w:rPr>
          <w:rFonts w:ascii="Times New Roman" w:hAnsi="Times New Roman" w:cs="Times New Roman"/>
          <w:lang w:val="en-US"/>
        </w:rPr>
        <w:instrText xml:space="preserve"> ADDIN ZOTERO_ITEM CSL_CITATION {"citationID":"W6uYfOJY","properties":{"formattedCitation":"(Eichenberger and Mach 2011)","plainCitation":"(Eichenberger and Mach 2011)","noteIndex":0},"citationItems":[{"id":6929,"uris":["http://zotero.org/groups/6311349/items/N34WICUA"],"itemData":{"id":6929,"type":"chapter","abstract":"Business interest associations (BIAs) are broadly recognized in the literature as being crucial actors in the organization of the Swiss economy on account of their active role in self-regulating important economic and social issues, as well as in Swiss politics, due to their close involvement in decision-making processes and their connections to political actors. As a case in point, the director of the Swiss Federation of Commerce and Industry (Vorort, now economiesuisse) was generally seen as the eighth federal councillor. Despite their central role in Swiss society, BIAs have largely remained neglected in social science literature.\n                        2\n                      Where they have been addressed, the focus has been on the political influence of ‘peak-level’ (Spitzenverbände) BIAs.\n                        3\n                      Yet, as we will see, these associations also fulfil important economic and social functions.","container-title":"Switzerland in Europe","note":"number-of-pages: 19","publisher":"Routledge","title":"Organized capital and coordinated market economy: Swiss business interest associations between socio-economic regulation and political influence","title-short":"Organized capital and coordinated market economy","author":[{"family":"Eichenberger","given":"Pierre"},{"family":"Mach","given":"André"}],"issued":{"date-parts":[["2011"]]}}}],"schema":"https://github.com/citation-style-language/schema/raw/master/csl-citation.json"} </w:instrText>
      </w:r>
      <w:r w:rsidR="00DE701E" w:rsidRPr="000040EC">
        <w:rPr>
          <w:rFonts w:ascii="Times New Roman" w:hAnsi="Times New Roman" w:cs="Times New Roman"/>
          <w:lang w:val="en-US"/>
        </w:rPr>
        <w:fldChar w:fldCharType="separate"/>
      </w:r>
      <w:r w:rsidR="00DE701E" w:rsidRPr="000040EC">
        <w:rPr>
          <w:rFonts w:ascii="Times New Roman" w:hAnsi="Times New Roman" w:cs="Times New Roman"/>
          <w:lang w:val="en-US"/>
        </w:rPr>
        <w:t>(Eichenberger and Mach 2011)</w:t>
      </w:r>
      <w:r w:rsidR="00DE701E" w:rsidRPr="000040EC">
        <w:rPr>
          <w:rFonts w:ascii="Times New Roman" w:hAnsi="Times New Roman" w:cs="Times New Roman"/>
          <w:lang w:val="en-US"/>
        </w:rPr>
        <w:fldChar w:fldCharType="end"/>
      </w:r>
      <w:r w:rsidR="00C75F0D" w:rsidRPr="000040EC">
        <w:rPr>
          <w:rFonts w:ascii="Times New Roman" w:hAnsi="Times New Roman" w:cs="Times New Roman"/>
          <w:lang w:val="en-US"/>
        </w:rPr>
        <w:t>.</w:t>
      </w:r>
      <w:r w:rsidR="00B200CC" w:rsidRPr="000040EC">
        <w:rPr>
          <w:rFonts w:ascii="Times New Roman" w:hAnsi="Times New Roman" w:cs="Times New Roman"/>
          <w:lang w:val="en-US"/>
        </w:rPr>
        <w:t xml:space="preserve"> However, these differentiated interests did not prevent the formation of a long-lasting political </w:t>
      </w:r>
      <w:r w:rsidR="00DA1E3A" w:rsidRPr="000040EC">
        <w:rPr>
          <w:rFonts w:ascii="Times New Roman" w:hAnsi="Times New Roman" w:cs="Times New Roman"/>
          <w:lang w:val="en-US"/>
        </w:rPr>
        <w:t>coalition</w:t>
      </w:r>
      <w:r w:rsidR="00B200CC" w:rsidRPr="000040EC">
        <w:rPr>
          <w:rFonts w:ascii="Times New Roman" w:hAnsi="Times New Roman" w:cs="Times New Roman"/>
          <w:lang w:val="en-US"/>
        </w:rPr>
        <w:t xml:space="preserve"> between </w:t>
      </w:r>
      <w:r w:rsidR="00DA1E3A" w:rsidRPr="000040EC">
        <w:rPr>
          <w:rFonts w:ascii="Times New Roman" w:hAnsi="Times New Roman" w:cs="Times New Roman"/>
          <w:lang w:val="en-US"/>
        </w:rPr>
        <w:t>the main BIAs (</w:t>
      </w:r>
      <w:proofErr w:type="spellStart"/>
      <w:r w:rsidR="00DA1E3A" w:rsidRPr="000040EC">
        <w:rPr>
          <w:rFonts w:ascii="Times New Roman" w:hAnsi="Times New Roman" w:cs="Times New Roman"/>
          <w:lang w:val="en-US"/>
        </w:rPr>
        <w:t>Economiesuisse</w:t>
      </w:r>
      <w:proofErr w:type="spellEnd"/>
      <w:r w:rsidR="00DA1E3A" w:rsidRPr="000040EC">
        <w:rPr>
          <w:rFonts w:ascii="Times New Roman" w:hAnsi="Times New Roman" w:cs="Times New Roman"/>
          <w:lang w:val="en-US"/>
        </w:rPr>
        <w:t xml:space="preserve">, </w:t>
      </w:r>
      <w:proofErr w:type="spellStart"/>
      <w:r w:rsidR="00DA1E3A" w:rsidRPr="000040EC">
        <w:rPr>
          <w:rFonts w:ascii="Times New Roman" w:hAnsi="Times New Roman" w:cs="Times New Roman"/>
          <w:lang w:val="en-US"/>
        </w:rPr>
        <w:t>Bauernverband</w:t>
      </w:r>
      <w:proofErr w:type="spellEnd"/>
      <w:r w:rsidR="00DA1E3A" w:rsidRPr="000040EC">
        <w:rPr>
          <w:rFonts w:ascii="Times New Roman" w:hAnsi="Times New Roman" w:cs="Times New Roman"/>
          <w:lang w:val="en-US"/>
        </w:rPr>
        <w:t xml:space="preserve"> and </w:t>
      </w:r>
      <w:proofErr w:type="spellStart"/>
      <w:r w:rsidR="00DA1E3A" w:rsidRPr="000040EC">
        <w:rPr>
          <w:rFonts w:ascii="Times New Roman" w:hAnsi="Times New Roman" w:cs="Times New Roman"/>
          <w:lang w:val="en-US"/>
        </w:rPr>
        <w:t>Gewerverband</w:t>
      </w:r>
      <w:proofErr w:type="spellEnd"/>
      <w:r w:rsidR="00DA1E3A" w:rsidRPr="000040EC">
        <w:rPr>
          <w:rFonts w:ascii="Times New Roman" w:hAnsi="Times New Roman" w:cs="Times New Roman"/>
          <w:lang w:val="en-US"/>
        </w:rPr>
        <w:t xml:space="preserve">) and the major right-wing parties: the </w:t>
      </w:r>
      <w:r w:rsidR="001174F2" w:rsidRPr="000040EC">
        <w:rPr>
          <w:rFonts w:ascii="Times New Roman" w:hAnsi="Times New Roman" w:cs="Times New Roman"/>
          <w:lang w:val="en-US"/>
        </w:rPr>
        <w:t>Free Democratic Party (FDP)</w:t>
      </w:r>
      <w:r w:rsidR="00DA1E3A" w:rsidRPr="000040EC">
        <w:rPr>
          <w:rFonts w:ascii="Times New Roman" w:hAnsi="Times New Roman" w:cs="Times New Roman"/>
          <w:lang w:val="en-US"/>
        </w:rPr>
        <w:t xml:space="preserve">, the </w:t>
      </w:r>
      <w:r w:rsidR="001174F2" w:rsidRPr="000040EC">
        <w:rPr>
          <w:rFonts w:ascii="Times New Roman" w:hAnsi="Times New Roman" w:cs="Times New Roman"/>
          <w:lang w:val="en-US"/>
        </w:rPr>
        <w:t>Christian Democratic Party</w:t>
      </w:r>
      <w:r w:rsidR="00DA1E3A" w:rsidRPr="000040EC">
        <w:rPr>
          <w:rFonts w:ascii="Times New Roman" w:hAnsi="Times New Roman" w:cs="Times New Roman"/>
          <w:lang w:val="en-US"/>
        </w:rPr>
        <w:t xml:space="preserve"> (now The Center) and the Party of Farmers, Traders and Independents (now the Swiss People’s Party SVP). This coalition, often called the “bourgeois bloc”</w:t>
      </w:r>
      <w:r w:rsidR="00EA5DA7" w:rsidRPr="000040EC">
        <w:rPr>
          <w:rFonts w:ascii="Times New Roman" w:hAnsi="Times New Roman" w:cs="Times New Roman"/>
          <w:lang w:val="en-US"/>
        </w:rPr>
        <w:t xml:space="preserve"> </w:t>
      </w:r>
      <w:r w:rsidR="00EA5DA7" w:rsidRPr="000040EC">
        <w:rPr>
          <w:rFonts w:ascii="Times New Roman" w:hAnsi="Times New Roman" w:cs="Times New Roman"/>
          <w:lang w:val="en-US"/>
        </w:rPr>
        <w:fldChar w:fldCharType="begin"/>
      </w:r>
      <w:r w:rsidR="00EA5DA7" w:rsidRPr="000040EC">
        <w:rPr>
          <w:rFonts w:ascii="Times New Roman" w:hAnsi="Times New Roman" w:cs="Times New Roman"/>
          <w:lang w:val="en-US"/>
        </w:rPr>
        <w:instrText xml:space="preserve"> ADDIN ZOTERO_ITEM CSL_CITATION {"citationID":"JLVtJe3e","properties":{"formattedCitation":"(Mach 2007)","plainCitation":"(Mach 2007)","noteIndex":0},"citationItems":[{"id":6860,"uris":["http://zotero.org/groups/6311349/items/GKXMSIPD"],"itemData":{"id":6860,"type":"chapter","collection-number":"3.2997","collection-title":"Jahrbuch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r w:rsidR="00EA5DA7" w:rsidRPr="000040EC">
        <w:rPr>
          <w:rFonts w:ascii="Times New Roman" w:hAnsi="Times New Roman" w:cs="Times New Roman"/>
          <w:lang w:val="en-US"/>
        </w:rPr>
        <w:fldChar w:fldCharType="separate"/>
      </w:r>
      <w:r w:rsidR="00EA5DA7" w:rsidRPr="000040EC">
        <w:rPr>
          <w:rFonts w:ascii="Times New Roman" w:hAnsi="Times New Roman" w:cs="Times New Roman"/>
          <w:lang w:val="en-US"/>
        </w:rPr>
        <w:t>(Mach 2007)</w:t>
      </w:r>
      <w:r w:rsidR="00EA5DA7" w:rsidRPr="000040EC">
        <w:rPr>
          <w:rFonts w:ascii="Times New Roman" w:hAnsi="Times New Roman" w:cs="Times New Roman"/>
          <w:lang w:val="en-US"/>
        </w:rPr>
        <w:fldChar w:fldCharType="end"/>
      </w:r>
      <w:r w:rsidR="001174F2" w:rsidRPr="000040EC">
        <w:rPr>
          <w:rFonts w:ascii="Times New Roman" w:hAnsi="Times New Roman" w:cs="Times New Roman"/>
          <w:lang w:val="en-US"/>
        </w:rPr>
        <w:t xml:space="preserve"> or “bourgeois-peasant bloc”</w:t>
      </w:r>
      <w:r w:rsidR="00EA5DA7" w:rsidRPr="000040EC">
        <w:rPr>
          <w:rFonts w:ascii="Times New Roman" w:hAnsi="Times New Roman" w:cs="Times New Roman"/>
          <w:lang w:val="en-US"/>
        </w:rPr>
        <w:t xml:space="preserve"> </w:t>
      </w:r>
      <w:r w:rsidR="00EA5DA7" w:rsidRPr="000040EC">
        <w:rPr>
          <w:rFonts w:ascii="Times New Roman" w:hAnsi="Times New Roman" w:cs="Times New Roman"/>
          <w:lang w:val="en-US"/>
        </w:rPr>
        <w:fldChar w:fldCharType="begin"/>
      </w:r>
      <w:r w:rsidR="00EA5DA7" w:rsidRPr="000040EC">
        <w:rPr>
          <w:rFonts w:ascii="Times New Roman" w:hAnsi="Times New Roman" w:cs="Times New Roman"/>
          <w:lang w:val="en-US"/>
        </w:rPr>
        <w:instrText xml:space="preserve"> ADDIN ZOTERO_ITEM CSL_CITATION {"citationID":"Juo9Kgmu","properties":{"formattedCitation":"(Charles and Vallet 2024, 2025)","plainCitation":"(Charles and Vallet 2024, 2025)","noteIndex":0},"citationItems":[{"id":730,"uris":["http://zotero.org/groups/5121315/items/SNWGX73S"],"itemData":{"id":730,"type":"article-journal","abstract":"The article investigates the institutional roots of the Swiss organized capitalism that contributed to the success of its industrialization and its subsequent economic growth during the second industrial revolution (1880–1913). Recent literature underlines the link between public and private actors and shows that the second industrial revolution in Switzerland owed its success to state-led organized capitalism. If the majority of studies analysed in detail one or more components of the Swiss organized capitalism, to our knowledge, there are no works seeking to explain the (institutional) construction of this organized capitalism by mobilizing a large number of factors in a single theoretical frame of reference. Using the Regulation Theory approach, this article sheds light on the institutional construction of the Swiss organized capitalism. We show that it rested on original institutional arrangements driven by the necessity to survive on external markets. We therefore demonstrate that these arrangements also enabled Switzerland to successfully deal with the production of essential public goods supporting both industrialization and national social bonds required to promote political unity.","container-title":"Review of Political Economy","DOI":"10.1080/09538259.2023.2298747","ISSN":"0953-8259","issue":"0","note":"_eprint: https://doi.org/10.1080/09538259.2023.2298747","page":"1-27","publisher":"Routledge","source":"Taylor and Francis+NEJM","title":"Fast and Curious: ‘The Swiss Development Puzzle’. The Institutional Roots of the Success of Industrialization","title-short":"Fast and Curious","volume":"0","author":[{"family":"Charles","given":"Léo"},{"family":"Vallet","given":"Guillaume"}],"issued":{"date-parts":[["2024"]]}}},{"id":6934,"uris":["http://zotero.org/groups/6311349/items/KV8IYLUP"],"itemData":{"id":6934,"type":"article-journal","abstract":"Le développement économique rapide de la Suisse après la création politique du pays en 1848 doit être relié à la mise en place d’un capitalisme organisé, au sein duquel le bloc social dominant « bourgeois-paysans » a joué un rôle prépondérant. Dans cet article, centré sur la période 1848-1936, nous cherchons à déterminer cette influence, en concentrant plus particulièrement notre analyse sur les industries exportatrices. Celles-ci ont tiré le bloc social dominant en ralliant à leurs intérêts les autres principaux acteurs économiques, mais surtout en parvenant à influencer les politiques publiques. C’est en ce sens que les industries exportatrices ont soutenu la mise en place d’un franc suisse fort, créant une connexion efficiente entre le bloc social dominant et la monnaie, et permettant de soutenir le régime d’accumulation helvétique.","container-title":"Revue de l'OFCE","DOI":"10.3917/reof.190.0085","ISSN":"1265-9576","issue":"3","language":"fr","page":"85-112","publisher":"OFCE","source":"shs.cairn.info","title":"Le bloc social aux origines du capitalisme de la Suisse et son succès de long terme:L’exemple des industries exportatrices suisses, 1848-1936","title-short":"Le bloc social aux origines du capitalisme de la Suisse et son succès de long terme","volume":"190","author":[{"family":"Charles","given":"Léo"},{"family":"Vallet","given":"Guillaume"}],"issued":{"date-parts":[["2025"]]}}}],"schema":"https://github.com/citation-style-language/schema/raw/master/csl-citation.json"} </w:instrText>
      </w:r>
      <w:r w:rsidR="00EA5DA7" w:rsidRPr="000040EC">
        <w:rPr>
          <w:rFonts w:ascii="Times New Roman" w:hAnsi="Times New Roman" w:cs="Times New Roman"/>
          <w:lang w:val="en-US"/>
        </w:rPr>
        <w:fldChar w:fldCharType="separate"/>
      </w:r>
      <w:r w:rsidR="00EA5DA7" w:rsidRPr="000040EC">
        <w:rPr>
          <w:rFonts w:ascii="Times New Roman" w:hAnsi="Times New Roman" w:cs="Times New Roman"/>
          <w:lang w:val="en-US"/>
        </w:rPr>
        <w:t>(Charles and Vallet 2024, 2025)</w:t>
      </w:r>
      <w:r w:rsidR="00EA5DA7" w:rsidRPr="000040EC">
        <w:rPr>
          <w:rFonts w:ascii="Times New Roman" w:hAnsi="Times New Roman" w:cs="Times New Roman"/>
          <w:lang w:val="en-US"/>
        </w:rPr>
        <w:fldChar w:fldCharType="end"/>
      </w:r>
      <w:r w:rsidR="00DA1E3A" w:rsidRPr="000040EC">
        <w:rPr>
          <w:rFonts w:ascii="Times New Roman" w:hAnsi="Times New Roman" w:cs="Times New Roman"/>
          <w:lang w:val="en-US"/>
        </w:rPr>
        <w:t xml:space="preserve"> rested on a political compromise based </w:t>
      </w:r>
      <w:r w:rsidR="000077F6" w:rsidRPr="000040EC">
        <w:rPr>
          <w:rFonts w:ascii="Times New Roman" w:hAnsi="Times New Roman" w:cs="Times New Roman"/>
          <w:lang w:val="en-US"/>
        </w:rPr>
        <w:t xml:space="preserve">on external liberalization with domestic compensation. Selective protectionism was for instance key to meet the expectations of both export-oriented industries while sheltering domestic-oriented firms </w:t>
      </w:r>
      <w:r w:rsidR="000077F6" w:rsidRPr="000040EC">
        <w:rPr>
          <w:rFonts w:ascii="Times New Roman" w:hAnsi="Times New Roman" w:cs="Times New Roman"/>
          <w:lang w:val="en-US"/>
        </w:rPr>
        <w:fldChar w:fldCharType="begin"/>
      </w:r>
      <w:r w:rsidR="00EA5DA7" w:rsidRPr="000040EC">
        <w:rPr>
          <w:rFonts w:ascii="Times New Roman" w:hAnsi="Times New Roman" w:cs="Times New Roman"/>
          <w:lang w:val="en-US"/>
        </w:rPr>
        <w:instrText xml:space="preserve"> ADDIN ZOTERO_ITEM CSL_CITATION {"citationID":"nXQOgpyT","properties":{"formattedCitation":"(Mach 2007)","plainCitation":"(Mach 2007)","noteIndex":0},"citationItems":[{"id":6860,"uris":["http://zotero.org/groups/6311349/items/GKXMSIPD"],"itemData":{"id":6860,"type":"chapter","collection-number":"3.2997","collection-title":"Jahrbuch / Denknetz","container-title":"Zur politischen Ökonomie der Schweiz: eine Annäherung ; Analysen und Impulse zur Politik ; Jahrbuch Denknetz 2007: une approche ; analyses et impulsions politiques ; cahier Réseau de Réflexion 2007 = La politique économique de la suisse","edition":"1. Aufl","publisher-place":"Zürich","title":"La redéfinition du block bourgeois au cours des vingt dernières années","title-short":"Zur politischen Ökonomie der Schweiz","author":[{"family":"Mach","given":"André"}],"issued":{"date-parts":[["2007"]]}}}],"schema":"https://github.com/citation-style-language/schema/raw/master/csl-citation.json"} </w:instrText>
      </w:r>
      <w:r w:rsidR="000077F6" w:rsidRPr="000040EC">
        <w:rPr>
          <w:rFonts w:ascii="Times New Roman" w:hAnsi="Times New Roman" w:cs="Times New Roman"/>
          <w:lang w:val="en-US"/>
        </w:rPr>
        <w:fldChar w:fldCharType="separate"/>
      </w:r>
      <w:r w:rsidR="00EA5DA7" w:rsidRPr="000040EC">
        <w:rPr>
          <w:rFonts w:ascii="Times New Roman" w:hAnsi="Times New Roman" w:cs="Times New Roman"/>
          <w:lang w:val="en-US"/>
        </w:rPr>
        <w:t>(Mach 2007)</w:t>
      </w:r>
      <w:r w:rsidR="000077F6" w:rsidRPr="000040EC">
        <w:rPr>
          <w:rFonts w:ascii="Times New Roman" w:hAnsi="Times New Roman" w:cs="Times New Roman"/>
          <w:lang w:val="en-US"/>
        </w:rPr>
        <w:fldChar w:fldCharType="end"/>
      </w:r>
      <w:r w:rsidR="00EA5DA7" w:rsidRPr="000040EC">
        <w:rPr>
          <w:rFonts w:ascii="Times New Roman" w:hAnsi="Times New Roman" w:cs="Times New Roman"/>
          <w:lang w:val="en-US"/>
        </w:rPr>
        <w:t>.</w:t>
      </w:r>
    </w:p>
    <w:p w14:paraId="49BD88E0" w14:textId="55159C87" w:rsidR="00CF2965" w:rsidRPr="000040EC" w:rsidRDefault="009975BA" w:rsidP="00977F79">
      <w:pPr>
        <w:jc w:val="both"/>
        <w:rPr>
          <w:rFonts w:ascii="Times New Roman" w:hAnsi="Times New Roman" w:cs="Times New Roman"/>
          <w:lang w:val="en-US"/>
        </w:rPr>
      </w:pPr>
      <w:r w:rsidRPr="000040EC">
        <w:rPr>
          <w:rFonts w:ascii="Times New Roman" w:hAnsi="Times New Roman" w:cs="Times New Roman"/>
          <w:lang w:val="en-US"/>
        </w:rPr>
        <w:t xml:space="preserve">A bourgeois bloc interpretation of the Swiss high-price island would go as follows: price stability at the expense of a high price level </w:t>
      </w:r>
      <w:r w:rsidR="00A143B5" w:rsidRPr="000040EC">
        <w:rPr>
          <w:rFonts w:ascii="Times New Roman" w:hAnsi="Times New Roman" w:cs="Times New Roman"/>
          <w:lang w:val="en-US"/>
        </w:rPr>
        <w:t>can be explained by the domestic compensation measures implemented by the bourgeois bloc to guarantee its cohesion as the support from firms oriented towards the domestic market was key for the bloc’s stability. This hypothesis rests on the assumption that the Swiss price island is the result of an abundance of protectionist regulations</w:t>
      </w:r>
      <w:r w:rsidR="00F66D2F" w:rsidRPr="000040EC">
        <w:rPr>
          <w:rFonts w:ascii="Times New Roman" w:hAnsi="Times New Roman" w:cs="Times New Roman"/>
          <w:lang w:val="en-US"/>
        </w:rPr>
        <w:t xml:space="preserve"> and weak competition policy</w:t>
      </w:r>
      <w:r w:rsidR="00A143B5" w:rsidRPr="000040EC">
        <w:rPr>
          <w:rFonts w:ascii="Times New Roman" w:hAnsi="Times New Roman" w:cs="Times New Roman"/>
          <w:lang w:val="en-US"/>
        </w:rPr>
        <w:t xml:space="preserve"> of the domestic sectors. </w:t>
      </w:r>
      <w:r w:rsidR="00F66D2F" w:rsidRPr="000040EC">
        <w:rPr>
          <w:rFonts w:ascii="Times New Roman" w:hAnsi="Times New Roman" w:cs="Times New Roman"/>
          <w:lang w:val="en-US"/>
        </w:rPr>
        <w:t xml:space="preserve">However, as shown by </w:t>
      </w:r>
      <w:r w:rsidR="00F66D2F" w:rsidRPr="000040EC">
        <w:rPr>
          <w:rFonts w:ascii="Times New Roman" w:hAnsi="Times New Roman" w:cs="Times New Roman"/>
          <w:lang w:val="en-US"/>
        </w:rPr>
        <w:fldChar w:fldCharType="begin"/>
      </w:r>
      <w:r w:rsidR="00F66D2F" w:rsidRPr="000040EC">
        <w:rPr>
          <w:rFonts w:ascii="Times New Roman" w:hAnsi="Times New Roman" w:cs="Times New Roman"/>
          <w:lang w:val="en-US"/>
        </w:rPr>
        <w:instrText xml:space="preserve"> ADDIN ZOTERO_ITEM CSL_CITATION {"citationID":"I2j86jQF","properties":{"formattedCitation":"(Sax and Weder 2009)","plainCitation":"(Sax and Weder 2009)","noteIndex":0},"citationItems":[{"id":6404,"uris":["http://zotero.org/groups/6311349/items/REJNH22Z"],"itemData":{"id":6404,"type":"article-journal","abstract":"This article challenges the view that a lack of competition and a high level of regulations are the main causes of Switzerland’s high prices. First, we point out a number of stylized facts which are inconsistent with this popular view. Second, we econometrically asses the “competition-regulation hypothesis” together with the well-established determinants from the real exchange rate literature in a panel of 22 OECD countries from 1970 to 2004. We find that changes in the terms of trade and the degree of openness, and to a minor extent in government expenditures and the current account, explain the movements in the Swiss real exchange rate reasonably well over the last 35 years. Changes in regulations and competition as well as in relative productivities perform poorly as explanatory variables.","container-title":"Swiss Journal of Economics and Statistics","DOI":"10.1007/BF03399292","ISSN":"2235-6282","issue":"4","journalAbbreviation":"Swiss J Economics Statistics","language":"en","page":"463-483","source":"Springer Link","title":"How to Explain the High Prices in Switzerland?","volume":"145","author":[{"family":"Sax","given":"Christoph"},{"family":"Weder","given":"Rolf"}],"issued":{"date-parts":[["2009",10,1]]}}}],"schema":"https://github.com/citation-style-language/schema/raw/master/csl-citation.json"} </w:instrText>
      </w:r>
      <w:r w:rsidR="00F66D2F" w:rsidRPr="000040EC">
        <w:rPr>
          <w:rFonts w:ascii="Times New Roman" w:hAnsi="Times New Roman" w:cs="Times New Roman"/>
          <w:lang w:val="en-US"/>
        </w:rPr>
        <w:fldChar w:fldCharType="separate"/>
      </w:r>
      <w:r w:rsidR="00F66D2F" w:rsidRPr="000040EC">
        <w:rPr>
          <w:rFonts w:ascii="Times New Roman" w:hAnsi="Times New Roman" w:cs="Times New Roman"/>
          <w:lang w:val="en-US"/>
        </w:rPr>
        <w:t>Sax and Weder (2009)</w:t>
      </w:r>
      <w:r w:rsidR="00F66D2F" w:rsidRPr="000040EC">
        <w:rPr>
          <w:rFonts w:ascii="Times New Roman" w:hAnsi="Times New Roman" w:cs="Times New Roman"/>
          <w:lang w:val="en-US"/>
        </w:rPr>
        <w:fldChar w:fldCharType="end"/>
      </w:r>
      <w:r w:rsidR="00F66D2F" w:rsidRPr="000040EC">
        <w:rPr>
          <w:rFonts w:ascii="Times New Roman" w:hAnsi="Times New Roman" w:cs="Times New Roman"/>
          <w:lang w:val="en-US"/>
        </w:rPr>
        <w:t xml:space="preserve">, the degree of regulations does not have any explanatory power behind the Swiss high price level while the degree of openness along with the long-run improvement of the Swiss terms of trade have positively impacted the real exchange rate. The high level of prices in Switzerland is therefore not so much the result of policy making in favor </w:t>
      </w:r>
      <w:r w:rsidR="005A5C0C" w:rsidRPr="000040EC">
        <w:rPr>
          <w:rFonts w:ascii="Times New Roman" w:hAnsi="Times New Roman" w:cs="Times New Roman"/>
          <w:lang w:val="en-US"/>
        </w:rPr>
        <w:t>of the interests of the industries and sectors producing for the national market as it is a consequence of the growing internationalization of the Swiss economy, which is promoted by the competitive export-oriented industries. Ironically, it is these same industries that, through their political representatives, regularly denounce what they considered as excessive regulations</w:t>
      </w:r>
      <w:r w:rsidR="00594A4E" w:rsidRPr="000040EC">
        <w:rPr>
          <w:rFonts w:ascii="Times New Roman" w:hAnsi="Times New Roman" w:cs="Times New Roman"/>
          <w:lang w:val="en-US"/>
        </w:rPr>
        <w:t xml:space="preserve"> and price administration</w:t>
      </w:r>
      <w:r w:rsidR="005A5C0C" w:rsidRPr="000040EC">
        <w:rPr>
          <w:rFonts w:ascii="Times New Roman" w:hAnsi="Times New Roman" w:cs="Times New Roman"/>
          <w:lang w:val="en-US"/>
        </w:rPr>
        <w:t xml:space="preserve"> as being responsible for Switzerland’s high price level.</w:t>
      </w:r>
      <w:r w:rsidR="00CF2965" w:rsidRPr="000040EC">
        <w:rPr>
          <w:rFonts w:ascii="Times New Roman" w:hAnsi="Times New Roman" w:cs="Times New Roman"/>
          <w:lang w:val="en-US"/>
        </w:rPr>
        <w:t xml:space="preserve"> </w:t>
      </w:r>
      <w:r w:rsidR="002753F1" w:rsidRPr="000040EC">
        <w:rPr>
          <w:rFonts w:ascii="Times New Roman" w:hAnsi="Times New Roman" w:cs="Times New Roman"/>
          <w:lang w:val="en-US"/>
        </w:rPr>
        <w:t xml:space="preserve">Peter Katzenstein, in his famous study of Swiss liberal democratic corporatism, once stated that “The problems that Switzerland confronts in the international economy are problems of success: the management of monetary stability in a world of inflation and the viability of an export industry hit hard by the appreciation of the Franc” </w:t>
      </w:r>
      <w:r w:rsidR="002753F1" w:rsidRPr="000040EC">
        <w:rPr>
          <w:rFonts w:ascii="Times New Roman" w:hAnsi="Times New Roman" w:cs="Times New Roman"/>
          <w:lang w:val="en-US"/>
        </w:rPr>
        <w:fldChar w:fldCharType="begin"/>
      </w:r>
      <w:r w:rsidR="002753F1" w:rsidRPr="000040EC">
        <w:rPr>
          <w:rFonts w:ascii="Times New Roman" w:hAnsi="Times New Roman" w:cs="Times New Roman"/>
          <w:lang w:val="en-US"/>
        </w:rPr>
        <w:instrText xml:space="preserve"> ADDIN ZOTERO_ITEM CSL_CITATION {"citationID":"2FioqlVr","properties":{"formattedCitation":"(Katzenstein 1980)","plainCitation":"(Katzenstein 1980)","noteIndex":0},"citationItems":[{"id":6925,"uris":["http://zotero.org/groups/6311349/items/M775FFGN"],"itemData":{"id":6925,"type":"article-journal","abstract":"Recent experience confirms an old truth: Switzerland offers a view of the past that works. In 1978 Switzerland was one of the richest countries in the world with a Gross National Product (GNP) of $13,853 per capita. Between 1975 and 1978 it raised the proportion of exports of goods and services in its Gross Domestic Product (GDP) from 36 to 44 percent. In 1977 its current account surplus surpassed that of West Germany and was second only to Japan's. Between 1970 and the end of 1979 the Swiss Franc appreciated by about 90 percent on a trade-weighted basis; against the dollar the appreciation was about 120 percent. From a rate of more than 10 percent in 1974 its inflation rate dropped to 1 percent in 1978. Switzerland's official unemployment figures (which do not record the loss of more than 300,000 jobs among foreign workers and women since 1973) are lower than those of all other advanced industrial states. And even though since 1970 government expenditures have increased faster than in any other OECD country, Switzerland's budget deficit was cut by one-third in the midst of a general recession in 1976–1977. Real GDP dropped by more than 7 percent in 1975, which represented one of the largest declines in the OECD and was a much greater drop than had been recorded in any one year in the 1930s; yet, only two years later, in 1977 Switzerland's real GNP increased by 4.3 percent, which exceeded the growth rate of any other OECD member state.","container-title":"International Organization","DOI":"10.1017/S002081830001883X","ISSN":"1531-5088, 0020-8183","issue":"4","language":"en","page":"507-540","source":"Cambridge University Press","title":"Capitalism in one country? Switzerland in the international economy","title-short":"Capitalism in one country?","volume":"34","author":[{"family":"Katzenstein","given":"Peter J."}],"issued":{"date-parts":[["1980",10]]}}}],"schema":"https://github.com/citation-style-language/schema/raw/master/csl-citation.json"} </w:instrText>
      </w:r>
      <w:r w:rsidR="002753F1" w:rsidRPr="000040EC">
        <w:rPr>
          <w:rFonts w:ascii="Times New Roman" w:hAnsi="Times New Roman" w:cs="Times New Roman"/>
          <w:lang w:val="en-US"/>
        </w:rPr>
        <w:fldChar w:fldCharType="separate"/>
      </w:r>
      <w:r w:rsidR="002753F1" w:rsidRPr="000040EC">
        <w:rPr>
          <w:rFonts w:ascii="Times New Roman" w:hAnsi="Times New Roman" w:cs="Times New Roman"/>
          <w:lang w:val="en-US"/>
        </w:rPr>
        <w:t>(Katzenstein 1980, 508)</w:t>
      </w:r>
      <w:r w:rsidR="002753F1" w:rsidRPr="000040EC">
        <w:rPr>
          <w:rFonts w:ascii="Times New Roman" w:hAnsi="Times New Roman" w:cs="Times New Roman"/>
          <w:lang w:val="en-US"/>
        </w:rPr>
        <w:fldChar w:fldCharType="end"/>
      </w:r>
      <w:r w:rsidR="002753F1" w:rsidRPr="000040EC">
        <w:rPr>
          <w:rFonts w:ascii="Times New Roman" w:hAnsi="Times New Roman" w:cs="Times New Roman"/>
          <w:lang w:val="en-US"/>
        </w:rPr>
        <w:t>. The Swiss high price island is the symptom of such “problems of success” as it reflects the success of its export-oriented industries in the context of increasing internationalization.</w:t>
      </w:r>
      <w:r w:rsidR="00A2126F" w:rsidRPr="000040EC">
        <w:rPr>
          <w:rFonts w:ascii="Times New Roman" w:hAnsi="Times New Roman" w:cs="Times New Roman"/>
          <w:lang w:val="en-US"/>
        </w:rPr>
        <w:t xml:space="preserve"> </w:t>
      </w:r>
      <w:r w:rsidR="00DD5D93" w:rsidRPr="000040EC">
        <w:rPr>
          <w:rFonts w:ascii="Times New Roman" w:hAnsi="Times New Roman" w:cs="Times New Roman"/>
          <w:lang w:val="en-US"/>
        </w:rPr>
        <w:t xml:space="preserve">However, problems of success are only one side of the story because, as we have seen, real estate is the most systemically </w:t>
      </w:r>
      <w:r w:rsidR="00DD5D93" w:rsidRPr="000040EC">
        <w:rPr>
          <w:rFonts w:ascii="Times New Roman" w:hAnsi="Times New Roman" w:cs="Times New Roman"/>
          <w:lang w:val="en-US"/>
        </w:rPr>
        <w:lastRenderedPageBreak/>
        <w:t xml:space="preserve">significant sector of the Swiss </w:t>
      </w:r>
      <w:proofErr w:type="gramStart"/>
      <w:r w:rsidR="00DD5D93" w:rsidRPr="000040EC">
        <w:rPr>
          <w:rFonts w:ascii="Times New Roman" w:hAnsi="Times New Roman" w:cs="Times New Roman"/>
          <w:lang w:val="en-US"/>
        </w:rPr>
        <w:t>economy</w:t>
      </w:r>
      <w:proofErr w:type="gramEnd"/>
      <w:r w:rsidR="00DD5D93" w:rsidRPr="000040EC">
        <w:rPr>
          <w:rFonts w:ascii="Times New Roman" w:hAnsi="Times New Roman" w:cs="Times New Roman"/>
          <w:lang w:val="en-US"/>
        </w:rPr>
        <w:t xml:space="preserve"> and the housing crisis has substantially contributed to elevating the price level in the last decades.</w:t>
      </w:r>
    </w:p>
    <w:p w14:paraId="0266C30A" w14:textId="49C94414" w:rsidR="00F66D2F" w:rsidRPr="000040EC" w:rsidRDefault="00CF2965" w:rsidP="002753F1">
      <w:pPr>
        <w:pStyle w:val="Titre1"/>
        <w:rPr>
          <w:rFonts w:ascii="Times New Roman" w:hAnsi="Times New Roman" w:cs="Times New Roman"/>
          <w:color w:val="auto"/>
          <w:lang w:val="en-US"/>
        </w:rPr>
      </w:pPr>
      <w:r w:rsidRPr="000040EC">
        <w:rPr>
          <w:rFonts w:ascii="Times New Roman" w:hAnsi="Times New Roman" w:cs="Times New Roman"/>
          <w:color w:val="auto"/>
          <w:lang w:val="en-US"/>
        </w:rPr>
        <w:t>Conclusion</w:t>
      </w:r>
    </w:p>
    <w:p w14:paraId="559C1463" w14:textId="661F5540" w:rsidR="0084424E" w:rsidRPr="000040EC" w:rsidRDefault="003F425D" w:rsidP="0084424E">
      <w:pPr>
        <w:jc w:val="both"/>
        <w:rPr>
          <w:rFonts w:ascii="Times New Roman" w:hAnsi="Times New Roman" w:cs="Times New Roman"/>
          <w:lang w:val="en-US"/>
        </w:rPr>
      </w:pPr>
      <w:r w:rsidRPr="000040EC">
        <w:rPr>
          <w:rFonts w:ascii="Times New Roman" w:hAnsi="Times New Roman" w:cs="Times New Roman"/>
          <w:lang w:val="en-US"/>
        </w:rPr>
        <w:t xml:space="preserve">In summary, several factors explain the resistance of the Swiss economy to inflation. First, price administration helps to shelter prices from international fluctuations in key sectors for price stability such as electricity, transport or food manufacturing. Second, the high share of nuclear and hydropower energy in the Swiss energy mix, as well as the country’s low energy intensity help to further strengthen its resistance to </w:t>
      </w:r>
      <w:proofErr w:type="spellStart"/>
      <w:r w:rsidRPr="000040EC">
        <w:rPr>
          <w:rFonts w:ascii="Times New Roman" w:hAnsi="Times New Roman" w:cs="Times New Roman"/>
          <w:lang w:val="en-US"/>
        </w:rPr>
        <w:t>shockflation</w:t>
      </w:r>
      <w:proofErr w:type="spellEnd"/>
      <w:r w:rsidRPr="000040EC">
        <w:rPr>
          <w:rFonts w:ascii="Times New Roman" w:hAnsi="Times New Roman" w:cs="Times New Roman"/>
          <w:lang w:val="en-US"/>
        </w:rPr>
        <w:t xml:space="preserve"> emanating from oil or gas shocks. Third, some key domestic sectors are heavily regulated</w:t>
      </w:r>
      <w:r w:rsidR="00F0333A" w:rsidRPr="000040EC">
        <w:rPr>
          <w:rFonts w:ascii="Times New Roman" w:hAnsi="Times New Roman" w:cs="Times New Roman"/>
          <w:lang w:val="en-US"/>
        </w:rPr>
        <w:t xml:space="preserve"> and protected from the international economy, or are strongly cartelized, as we have seen with the example of the Migros-Coop duopoly and the sheltered agricultural sector. While this helps to insulate domestic prices from international pressures, the high degree of protection, regulation and cartelization of the domestic economy has often being accused of making Switzerland a island of high prices. </w:t>
      </w:r>
      <w:r w:rsidR="001C1B1D" w:rsidRPr="000040EC">
        <w:rPr>
          <w:rFonts w:ascii="Times New Roman" w:hAnsi="Times New Roman" w:cs="Times New Roman"/>
          <w:lang w:val="en-US"/>
        </w:rPr>
        <w:t xml:space="preserve">We have shown that the latter is not so much the consequence of the protection </w:t>
      </w:r>
      <w:r w:rsidR="001C1B1D" w:rsidRPr="000040EC">
        <w:rPr>
          <w:rFonts w:ascii="Times New Roman" w:hAnsi="Times New Roman" w:cs="Times New Roman"/>
          <w:lang w:val="en-US"/>
        </w:rPr>
        <w:t>of the industries and sectors producing for the national market as it is a consequence of the growing internationalization of the Swiss economy, which is promoted by the competitive export-oriented industries</w:t>
      </w:r>
      <w:r w:rsidR="001C1B1D" w:rsidRPr="000040EC">
        <w:rPr>
          <w:rFonts w:ascii="Times New Roman" w:hAnsi="Times New Roman" w:cs="Times New Roman"/>
          <w:lang w:val="en-US"/>
        </w:rPr>
        <w:t xml:space="preserve">. </w:t>
      </w:r>
      <w:r w:rsidR="00220163" w:rsidRPr="000040EC">
        <w:rPr>
          <w:rFonts w:ascii="Times New Roman" w:hAnsi="Times New Roman" w:cs="Times New Roman"/>
          <w:lang w:val="en-US"/>
        </w:rPr>
        <w:t xml:space="preserve">In conclusion, </w:t>
      </w:r>
      <w:r w:rsidR="007211AF" w:rsidRPr="000040EC">
        <w:rPr>
          <w:rFonts w:ascii="Times New Roman" w:hAnsi="Times New Roman" w:cs="Times New Roman"/>
          <w:lang w:val="en-US"/>
        </w:rPr>
        <w:t>accusing the</w:t>
      </w:r>
      <w:r w:rsidR="00220163" w:rsidRPr="000040EC">
        <w:rPr>
          <w:rFonts w:ascii="Times New Roman" w:hAnsi="Times New Roman" w:cs="Times New Roman"/>
          <w:lang w:val="en-US"/>
        </w:rPr>
        <w:t xml:space="preserve"> high degree of protection and cartelization of the domestic economy is largely a case of not seeing the forest for the trees</w:t>
      </w:r>
      <w:r w:rsidR="007211AF" w:rsidRPr="000040EC">
        <w:rPr>
          <w:rFonts w:ascii="Times New Roman" w:hAnsi="Times New Roman" w:cs="Times New Roman"/>
          <w:lang w:val="en-US"/>
        </w:rPr>
        <w:t xml:space="preserve"> as</w:t>
      </w:r>
      <w:r w:rsidR="00220163" w:rsidRPr="000040EC">
        <w:rPr>
          <w:rFonts w:ascii="Times New Roman" w:hAnsi="Times New Roman" w:cs="Times New Roman"/>
          <w:lang w:val="en-US"/>
        </w:rPr>
        <w:t xml:space="preserve"> Switzerland’s high price level </w:t>
      </w:r>
      <w:r w:rsidR="00BB252D" w:rsidRPr="000040EC">
        <w:rPr>
          <w:rFonts w:ascii="Times New Roman" w:hAnsi="Times New Roman" w:cs="Times New Roman"/>
          <w:lang w:val="en-US"/>
        </w:rPr>
        <w:t>originates</w:t>
      </w:r>
      <w:r w:rsidR="00220163" w:rsidRPr="000040EC">
        <w:rPr>
          <w:rFonts w:ascii="Times New Roman" w:hAnsi="Times New Roman" w:cs="Times New Roman"/>
          <w:lang w:val="en-US"/>
        </w:rPr>
        <w:t xml:space="preserve"> from other more important factors such as the housing crisis and the increasing internationalization of the Swiss economy.</w:t>
      </w:r>
      <w:r w:rsidR="00B6789C" w:rsidRPr="000040EC">
        <w:rPr>
          <w:rFonts w:ascii="Times New Roman" w:hAnsi="Times New Roman" w:cs="Times New Roman"/>
          <w:lang w:val="en-US"/>
        </w:rPr>
        <w:t xml:space="preserve"> </w:t>
      </w:r>
      <w:r w:rsidR="006D4FDF" w:rsidRPr="000040EC">
        <w:rPr>
          <w:rFonts w:ascii="Times New Roman" w:hAnsi="Times New Roman" w:cs="Times New Roman"/>
          <w:lang w:val="en-US"/>
        </w:rPr>
        <w:t>Our key finding is that there is no trade-off between high prices and inflation, and that the factors which contribute to the high price level are not the same that keep inflation low.</w:t>
      </w:r>
    </w:p>
    <w:p w14:paraId="5EACF2F2" w14:textId="2E4E9127" w:rsidR="00CE7524" w:rsidRPr="000040EC" w:rsidRDefault="00CE7524" w:rsidP="00CE7524">
      <w:pPr>
        <w:pStyle w:val="Titre1"/>
        <w:rPr>
          <w:rFonts w:ascii="Times New Roman" w:hAnsi="Times New Roman" w:cs="Times New Roman"/>
          <w:color w:val="auto"/>
          <w:lang w:val="en-US"/>
        </w:rPr>
      </w:pPr>
      <w:r w:rsidRPr="000040EC">
        <w:rPr>
          <w:rFonts w:ascii="Times New Roman" w:hAnsi="Times New Roman" w:cs="Times New Roman"/>
          <w:color w:val="auto"/>
          <w:lang w:val="en-US"/>
        </w:rPr>
        <w:t>References</w:t>
      </w:r>
    </w:p>
    <w:p w14:paraId="28ECCFB5"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lang w:val="en-US"/>
        </w:rPr>
        <w:fldChar w:fldCharType="begin"/>
      </w:r>
      <w:r w:rsidRPr="000040EC">
        <w:rPr>
          <w:rFonts w:ascii="Times New Roman" w:hAnsi="Times New Roman" w:cs="Times New Roman"/>
          <w:lang w:val="en-US"/>
        </w:rPr>
        <w:instrText xml:space="preserve"> ADDIN ZOTERO_BIBL {"uncited":[],"omitted":[],"custom":[]} CSL_BIBLIOGRAPHY </w:instrText>
      </w:r>
      <w:r w:rsidRPr="000040EC">
        <w:rPr>
          <w:rFonts w:ascii="Times New Roman" w:hAnsi="Times New Roman" w:cs="Times New Roman"/>
          <w:lang w:val="en-US"/>
        </w:rPr>
        <w:fldChar w:fldCharType="separate"/>
      </w:r>
      <w:proofErr w:type="spellStart"/>
      <w:r w:rsidRPr="000040EC">
        <w:rPr>
          <w:rFonts w:ascii="Times New Roman" w:hAnsi="Times New Roman" w:cs="Times New Roman"/>
          <w:lang w:val="en-US"/>
        </w:rPr>
        <w:t>Albouy</w:t>
      </w:r>
      <w:proofErr w:type="spellEnd"/>
      <w:r w:rsidRPr="000040EC">
        <w:rPr>
          <w:rFonts w:ascii="Times New Roman" w:hAnsi="Times New Roman" w:cs="Times New Roman"/>
          <w:lang w:val="en-US"/>
        </w:rPr>
        <w:t xml:space="preserve">, Martin, and Gilles Bordes. 2026. “The Swiss High-Price Island.” </w:t>
      </w:r>
      <w:r w:rsidRPr="000040EC">
        <w:rPr>
          <w:rFonts w:ascii="Times New Roman" w:hAnsi="Times New Roman" w:cs="Times New Roman"/>
        </w:rPr>
        <w:t>Direction générale du Trésor. https://www.tresor.economie.gouv.fr/Articles/2026/01/22/the-swiss-high-price-island.</w:t>
      </w:r>
    </w:p>
    <w:p w14:paraId="1FE911D9"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Auer, Raphael, Ariel Burstein, and Sarah M. Lein. 2021. </w:t>
      </w:r>
      <w:r w:rsidRPr="000040EC">
        <w:rPr>
          <w:rFonts w:ascii="Times New Roman" w:hAnsi="Times New Roman" w:cs="Times New Roman"/>
          <w:lang w:val="en-US"/>
        </w:rPr>
        <w:t xml:space="preserve">“Exchange Rates and Prices: Evidence from the 2015 Swiss Franc Appreciation.” </w:t>
      </w:r>
      <w:r w:rsidRPr="000040EC">
        <w:rPr>
          <w:rFonts w:ascii="Times New Roman" w:hAnsi="Times New Roman" w:cs="Times New Roman"/>
          <w:i/>
          <w:iCs/>
          <w:lang w:val="en-US"/>
        </w:rPr>
        <w:t>American Economic Review</w:t>
      </w:r>
      <w:r w:rsidRPr="000040EC">
        <w:rPr>
          <w:rFonts w:ascii="Times New Roman" w:hAnsi="Times New Roman" w:cs="Times New Roman"/>
          <w:lang w:val="en-US"/>
        </w:rPr>
        <w:t xml:space="preserve"> 111 (2): 652–86. https://doi.org/10.1257/aer.20181415.</w:t>
      </w:r>
    </w:p>
    <w:p w14:paraId="4B5E630F"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Auer, Simone, Simon Beyeler, and Jonas Meier. 2025. </w:t>
      </w:r>
      <w:r w:rsidRPr="000040EC">
        <w:rPr>
          <w:rFonts w:ascii="Times New Roman" w:hAnsi="Times New Roman" w:cs="Times New Roman"/>
          <w:i/>
          <w:iCs/>
          <w:lang w:val="en-US"/>
        </w:rPr>
        <w:t>How Large Is the Impact of Administered Prices on Inflation in Switzerland?</w:t>
      </w:r>
      <w:r w:rsidRPr="000040EC">
        <w:rPr>
          <w:rFonts w:ascii="Times New Roman" w:hAnsi="Times New Roman" w:cs="Times New Roman"/>
          <w:lang w:val="en-US"/>
        </w:rPr>
        <w:t xml:space="preserve"> No. 10/2025. Swiss National Bank. https://www.snb.ch/en/publications/research/economic-notes/2025/economic_note_2025_10.</w:t>
      </w:r>
    </w:p>
    <w:p w14:paraId="7F0B1D3F"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Bachmann, Andreas. 2012. </w:t>
      </w:r>
      <w:r w:rsidRPr="000040EC">
        <w:rPr>
          <w:rFonts w:ascii="Times New Roman" w:hAnsi="Times New Roman" w:cs="Times New Roman"/>
          <w:i/>
          <w:iCs/>
          <w:lang w:val="en-US"/>
        </w:rPr>
        <w:t>Exchange Rate Pass-through to Various Price Indices: Empirical Estimation Using Vector Error Correction Models</w:t>
      </w:r>
      <w:r w:rsidRPr="000040EC">
        <w:rPr>
          <w:rFonts w:ascii="Times New Roman" w:hAnsi="Times New Roman" w:cs="Times New Roman"/>
          <w:lang w:val="en-US"/>
        </w:rPr>
        <w:t>. Working Paper Nos. 12–05. Discussion Papers. https://www.econstor.eu/handle/10419/76750.</w:t>
      </w:r>
    </w:p>
    <w:p w14:paraId="686E022E"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Baltensperger, Ernst. 2023. “The Return of Inflation.”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159 (1): 10. https://doi.org/10.1186/s41937-023-00114-x.</w:t>
      </w:r>
    </w:p>
    <w:p w14:paraId="5F568822"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lang w:val="de-CH"/>
        </w:rPr>
        <w:lastRenderedPageBreak/>
        <w:t xml:space="preserve">Baltensperger, Ernst, and Peter Kugler. </w:t>
      </w:r>
      <w:r w:rsidRPr="000040EC">
        <w:rPr>
          <w:rFonts w:ascii="Times New Roman" w:hAnsi="Times New Roman" w:cs="Times New Roman"/>
          <w:lang w:val="en-US"/>
        </w:rPr>
        <w:t xml:space="preserve">2016. “The Historical Origins of the Safe Haven Status of the Swiss Franc.” </w:t>
      </w:r>
      <w:r w:rsidRPr="000040EC">
        <w:rPr>
          <w:rFonts w:ascii="Times New Roman" w:hAnsi="Times New Roman" w:cs="Times New Roman"/>
          <w:i/>
          <w:iCs/>
        </w:rPr>
        <w:t>Aussenwirtschaft</w:t>
      </w:r>
      <w:r w:rsidRPr="000040EC">
        <w:rPr>
          <w:rFonts w:ascii="Times New Roman" w:hAnsi="Times New Roman" w:cs="Times New Roman"/>
        </w:rPr>
        <w:t xml:space="preserve"> 67 (2): 1–30.</w:t>
      </w:r>
    </w:p>
    <w:p w14:paraId="15B16FFF"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rPr>
        <w:t xml:space="preserve">Bassin, Aline, and Fanny Noghero. 2022. </w:t>
      </w:r>
      <w:r w:rsidRPr="000040EC">
        <w:rPr>
          <w:rFonts w:ascii="Times New Roman" w:hAnsi="Times New Roman" w:cs="Times New Roman"/>
          <w:i/>
          <w:iCs/>
        </w:rPr>
        <w:t>Les cinq chantiers économiques du nouveau Conseil fédéral</w:t>
      </w:r>
      <w:r w:rsidRPr="000040EC">
        <w:rPr>
          <w:rFonts w:ascii="Times New Roman" w:hAnsi="Times New Roman" w:cs="Times New Roman"/>
        </w:rPr>
        <w:t xml:space="preserve">. </w:t>
      </w:r>
      <w:r w:rsidRPr="000040EC">
        <w:rPr>
          <w:rFonts w:ascii="Times New Roman" w:hAnsi="Times New Roman" w:cs="Times New Roman"/>
          <w:lang w:val="en-US"/>
        </w:rPr>
        <w:t>December 8. https://www.letemps.ch/economie/cinq-chantiers-economiques-nouveau-conseil-federal.</w:t>
      </w:r>
    </w:p>
    <w:p w14:paraId="532255D7"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Charles, Léo, and Guillaume Vallet. 2024. “Fast and Curious: ‘The Swiss Development Puzzle’. The Institutional Roots of the Success of Industrialization.” </w:t>
      </w:r>
      <w:r w:rsidRPr="000040EC">
        <w:rPr>
          <w:rFonts w:ascii="Times New Roman" w:hAnsi="Times New Roman" w:cs="Times New Roman"/>
          <w:i/>
          <w:iCs/>
          <w:lang w:val="en-US"/>
        </w:rPr>
        <w:t>Review of Political Economy</w:t>
      </w:r>
      <w:r w:rsidRPr="000040EC">
        <w:rPr>
          <w:rFonts w:ascii="Times New Roman" w:hAnsi="Times New Roman" w:cs="Times New Roman"/>
          <w:lang w:val="en-US"/>
        </w:rPr>
        <w:t xml:space="preserve"> 0 (0): 1–27. https://doi.org/10.1080/09538259.2023.2298747.</w:t>
      </w:r>
    </w:p>
    <w:p w14:paraId="6743E887"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rPr>
        <w:t xml:space="preserve">Charles, Léo, and Guillaume Vallet. 2025. “Le bloc social aux origines du capitalisme de la Suisse et son succès de long terme:L’exemple des industries exportatrices suisses, 1848-1936.” </w:t>
      </w:r>
      <w:r w:rsidRPr="000040EC">
        <w:rPr>
          <w:rFonts w:ascii="Times New Roman" w:hAnsi="Times New Roman" w:cs="Times New Roman"/>
          <w:i/>
          <w:iCs/>
          <w:lang w:val="de-CH"/>
        </w:rPr>
        <w:t>Revue de l’OFCE</w:t>
      </w:r>
      <w:r w:rsidRPr="000040EC">
        <w:rPr>
          <w:rFonts w:ascii="Times New Roman" w:hAnsi="Times New Roman" w:cs="Times New Roman"/>
          <w:lang w:val="de-CH"/>
        </w:rPr>
        <w:t xml:space="preserve"> 190 (3): 85–112. https://doi.org/10.3917/reof.190.0085.</w:t>
      </w:r>
    </w:p>
    <w:p w14:paraId="333C7190"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Dullien, Sebastian, David Gallusser, and Silke Tober. 2024. </w:t>
      </w:r>
      <w:r w:rsidRPr="000040EC">
        <w:rPr>
          <w:rFonts w:ascii="Times New Roman" w:hAnsi="Times New Roman" w:cs="Times New Roman"/>
          <w:i/>
          <w:iCs/>
          <w:lang w:val="de-CH"/>
        </w:rPr>
        <w:t>Historische Preissteigerungen in Deutschland, niedrige Inflation in der Schweiz: Die Rolle von Regulierung</w:t>
      </w:r>
      <w:r w:rsidRPr="000040EC">
        <w:rPr>
          <w:rFonts w:ascii="Times New Roman" w:hAnsi="Times New Roman" w:cs="Times New Roman"/>
          <w:lang w:val="de-CH"/>
        </w:rPr>
        <w:t xml:space="preserve">. </w:t>
      </w:r>
      <w:r w:rsidRPr="000040EC">
        <w:rPr>
          <w:rFonts w:ascii="Times New Roman" w:hAnsi="Times New Roman" w:cs="Times New Roman"/>
          <w:lang w:val="en-US"/>
        </w:rPr>
        <w:t>Working Paper No. 224. IMK Working Paper. https://www.econstor.eu/handle/10419/302161.</w:t>
      </w:r>
    </w:p>
    <w:p w14:paraId="30DD7815"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Eichenberger, Pierre, and André Mach. 2011. </w:t>
      </w:r>
      <w:r w:rsidRPr="000040EC">
        <w:rPr>
          <w:rFonts w:ascii="Times New Roman" w:hAnsi="Times New Roman" w:cs="Times New Roman"/>
          <w:lang w:val="en-US"/>
        </w:rPr>
        <w:t xml:space="preserve">“Organized Capital and Coordinated Market Economy: Swiss Business Interest Associations between Socio-Economic Regulation and Political Influence.” In </w:t>
      </w:r>
      <w:r w:rsidRPr="000040EC">
        <w:rPr>
          <w:rFonts w:ascii="Times New Roman" w:hAnsi="Times New Roman" w:cs="Times New Roman"/>
          <w:i/>
          <w:iCs/>
          <w:lang w:val="en-US"/>
        </w:rPr>
        <w:t>Switzerland in Europe</w:t>
      </w:r>
      <w:r w:rsidRPr="000040EC">
        <w:rPr>
          <w:rFonts w:ascii="Times New Roman" w:hAnsi="Times New Roman" w:cs="Times New Roman"/>
          <w:lang w:val="en-US"/>
        </w:rPr>
        <w:t>. Routledge.</w:t>
      </w:r>
    </w:p>
    <w:p w14:paraId="3B547E25"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lang w:val="en-US"/>
        </w:rPr>
        <w:t xml:space="preserve">Eurostat. 2026. “Food Price Monitoring Tool.” </w:t>
      </w:r>
      <w:r w:rsidRPr="000040EC">
        <w:rPr>
          <w:rFonts w:ascii="Times New Roman" w:hAnsi="Times New Roman" w:cs="Times New Roman"/>
        </w:rPr>
        <w:t>Eurostat. https://doi.org/10.2908/PRC_FPMT_M.</w:t>
      </w:r>
    </w:p>
    <w:p w14:paraId="337813FB"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Fatum, Rasmus, and Yohei Yamamoto. 2016. “Intra-Safe Haven Currency Behavior during the Global Financial Crisis.” </w:t>
      </w:r>
      <w:r w:rsidRPr="000040EC">
        <w:rPr>
          <w:rFonts w:ascii="Times New Roman" w:hAnsi="Times New Roman" w:cs="Times New Roman"/>
          <w:i/>
          <w:iCs/>
          <w:lang w:val="en-US"/>
        </w:rPr>
        <w:t>Journal of International Money and Finance</w:t>
      </w:r>
      <w:r w:rsidRPr="000040EC">
        <w:rPr>
          <w:rFonts w:ascii="Times New Roman" w:hAnsi="Times New Roman" w:cs="Times New Roman"/>
          <w:lang w:val="en-US"/>
        </w:rPr>
        <w:t>, The New Normal in the Post-Crisis Era, vol. 66 (September): 49–64. https://doi.org/10.1016/j.jimonfin.2015.12.007.</w:t>
      </w:r>
    </w:p>
    <w:p w14:paraId="20A3430D"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Fernández-Amador, Octavio, Doris A. Oberdabernig, and Patrick Tomberger. 2025. “Measuring Regional Integration into Global Supply Chains: Evidence from a New Dataset of Swiss Cantons.”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161 (1): 3. https://doi.org/10.1186/s41937-025-00134-9.</w:t>
      </w:r>
    </w:p>
    <w:p w14:paraId="32500C69"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Fischer, Silvan, Michael Grass, Bruno Grossmiklaus, and Valentino Guggia. 2021. “Analyse Der Schweizer Detailhandelspreise Im Internationalen Vergleich.” </w:t>
      </w:r>
      <w:r w:rsidRPr="000040EC">
        <w:rPr>
          <w:rFonts w:ascii="Times New Roman" w:hAnsi="Times New Roman" w:cs="Times New Roman"/>
          <w:lang w:val="en-US"/>
        </w:rPr>
        <w:t>BAK Economics. https://www.bak-economics.com/studien-analysen/detail/analyse-der-schweizer-detailhandelspreise-im-internationalen-vergleich.</w:t>
      </w:r>
    </w:p>
    <w:p w14:paraId="43F8E4F2"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Goldztejn, Dimitri. 2024. </w:t>
      </w:r>
      <w:r w:rsidRPr="000040EC">
        <w:rPr>
          <w:rFonts w:ascii="Times New Roman" w:hAnsi="Times New Roman" w:cs="Times New Roman"/>
          <w:i/>
          <w:iCs/>
          <w:lang w:val="en-US"/>
        </w:rPr>
        <w:t>Cost-Push and Conflict Inflation: The Case of France between 2021 and 2023</w:t>
      </w:r>
      <w:r w:rsidRPr="000040EC">
        <w:rPr>
          <w:rFonts w:ascii="Times New Roman" w:hAnsi="Times New Roman" w:cs="Times New Roman"/>
          <w:lang w:val="en-US"/>
        </w:rPr>
        <w:t>. Working Paper No. 110. FMM Working Paper. https://www.econstor.eu/handle/10419/324475.</w:t>
      </w:r>
    </w:p>
    <w:p w14:paraId="3E73F8B9"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en-US"/>
        </w:rPr>
        <w:t xml:space="preserve">Gorgels, Stefan, Maria Polugodina, and Sevrin Waights. </w:t>
      </w:r>
      <w:r w:rsidRPr="000040EC">
        <w:rPr>
          <w:rFonts w:ascii="Times New Roman" w:hAnsi="Times New Roman" w:cs="Times New Roman"/>
          <w:lang w:val="de-CH"/>
        </w:rPr>
        <w:t>2024. “Was Erklärt Die Tiefe Energieintensität Der Schweizer Wirtschaft?” Staatssekretariat für Wirtschaft SECO. https://www.seco.admin.ch/seco/fr/home/Publikationen_Dienstleistungen/Publikationen_und_Formulare/Strukturwandel_Wachstum/Strukturwandel/wp_48.html.</w:t>
      </w:r>
    </w:p>
    <w:p w14:paraId="02199EC3"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lastRenderedPageBreak/>
        <w:t xml:space="preserve">Herger, Nils. 2012. “Exchange Rates and Import Prices in Switzerland.”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148 (3): 381–407. https://doi.org/10.1007/BF03399371.</w:t>
      </w:r>
    </w:p>
    <w:p w14:paraId="2BEC523E"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Hillen, Judith. 2019. “Market Integration and Market Efficiency under Seasonal Tariff Rate Quotas.” </w:t>
      </w:r>
      <w:r w:rsidRPr="000040EC">
        <w:rPr>
          <w:rFonts w:ascii="Times New Roman" w:hAnsi="Times New Roman" w:cs="Times New Roman"/>
          <w:i/>
          <w:iCs/>
          <w:lang w:val="en-US"/>
        </w:rPr>
        <w:t>Journal of Agricultural Economics</w:t>
      </w:r>
      <w:r w:rsidRPr="000040EC">
        <w:rPr>
          <w:rFonts w:ascii="Times New Roman" w:hAnsi="Times New Roman" w:cs="Times New Roman"/>
          <w:lang w:val="en-US"/>
        </w:rPr>
        <w:t xml:space="preserve"> 70 (3): 859–73. https://doi.org/10.1111/1477-9552.12355.</w:t>
      </w:r>
    </w:p>
    <w:p w14:paraId="241BDF3B"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Hockett, Robert C., and Saule T. Omarova. 2016. “Systemically Significant Prices.” </w:t>
      </w:r>
      <w:r w:rsidRPr="000040EC">
        <w:rPr>
          <w:rFonts w:ascii="Times New Roman" w:hAnsi="Times New Roman" w:cs="Times New Roman"/>
          <w:i/>
          <w:iCs/>
          <w:lang w:val="en-US"/>
        </w:rPr>
        <w:t>Journal of Financial Regulation</w:t>
      </w:r>
      <w:r w:rsidRPr="000040EC">
        <w:rPr>
          <w:rFonts w:ascii="Times New Roman" w:hAnsi="Times New Roman" w:cs="Times New Roman"/>
          <w:lang w:val="en-US"/>
        </w:rPr>
        <w:t xml:space="preserve"> 2 (1): 1–20. https://doi.org/10.1093/jfr/fjw007.</w:t>
      </w:r>
    </w:p>
    <w:p w14:paraId="5C4FA895"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Honohan, Patrick. 2024. “The Inflation Surge in Europe.” SSRN Scholarly Paper No. 4875072. Social Science Research Network, May 28. https://doi.org/10.2139/ssrn.4875072.</w:t>
      </w:r>
    </w:p>
    <w:p w14:paraId="77034746"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rPr>
        <w:t xml:space="preserve">Humair, Cédric, and Nicolas Chachereau. 2024. </w:t>
      </w:r>
      <w:r w:rsidRPr="000040EC">
        <w:rPr>
          <w:rFonts w:ascii="Times New Roman" w:hAnsi="Times New Roman" w:cs="Times New Roman"/>
          <w:i/>
          <w:iCs/>
        </w:rPr>
        <w:t>L’énergie en Suisse: de 1800 à nos jours</w:t>
      </w:r>
      <w:r w:rsidRPr="000040EC">
        <w:rPr>
          <w:rFonts w:ascii="Times New Roman" w:hAnsi="Times New Roman" w:cs="Times New Roman"/>
        </w:rPr>
        <w:t>. Première edition. Savoir suisse 179 Histoire. Presses polytechniques et universitaires romandes.</w:t>
      </w:r>
    </w:p>
    <w:p w14:paraId="53D23EE4"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Ipsen, Leonhard, Armin Aminian, and Jan Schulz. 2025. “Stress-Testing Inflation Exposure: Systemically Significant Prices and Asymmetric Shock Propagation in the EU.” </w:t>
      </w:r>
      <w:r w:rsidRPr="000040EC">
        <w:rPr>
          <w:rFonts w:ascii="Times New Roman" w:hAnsi="Times New Roman" w:cs="Times New Roman"/>
          <w:i/>
          <w:iCs/>
          <w:lang w:val="en-US"/>
        </w:rPr>
        <w:t>Structural Change and Economic Dynamics</w:t>
      </w:r>
      <w:r w:rsidRPr="000040EC">
        <w:rPr>
          <w:rFonts w:ascii="Times New Roman" w:hAnsi="Times New Roman" w:cs="Times New Roman"/>
          <w:lang w:val="en-US"/>
        </w:rPr>
        <w:t xml:space="preserve"> 74 (September): 713–24. https://doi.org/10.1016/j.strueco.2025.05.010.</w:t>
      </w:r>
    </w:p>
    <w:p w14:paraId="43C39169"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Katzenstein, Peter J. 1980. “Capitalism in One Country? Switzerland in the International Economy.” </w:t>
      </w:r>
      <w:r w:rsidRPr="000040EC">
        <w:rPr>
          <w:rFonts w:ascii="Times New Roman" w:hAnsi="Times New Roman" w:cs="Times New Roman"/>
          <w:i/>
          <w:iCs/>
          <w:lang w:val="en-US"/>
        </w:rPr>
        <w:t>International Organization</w:t>
      </w:r>
      <w:r w:rsidRPr="000040EC">
        <w:rPr>
          <w:rFonts w:ascii="Times New Roman" w:hAnsi="Times New Roman" w:cs="Times New Roman"/>
          <w:lang w:val="en-US"/>
        </w:rPr>
        <w:t xml:space="preserve"> 34 (4): 507–40. https://doi.org/10.1017/S002081830001883X.</w:t>
      </w:r>
    </w:p>
    <w:p w14:paraId="40AE4827"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Kluser, Frédéric. 2025. “Cross-Border Shopping: Evidence from Household Transaction Records.”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161 (1): 9. https://doi.org/10.1186/s41937-025-00141-w.</w:t>
      </w:r>
    </w:p>
    <w:p w14:paraId="7912E64B"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Lee, Kang-Soek. 2017. “Safe-Haven Currency: An Empirical Identification.” </w:t>
      </w:r>
      <w:r w:rsidRPr="000040EC">
        <w:rPr>
          <w:rFonts w:ascii="Times New Roman" w:hAnsi="Times New Roman" w:cs="Times New Roman"/>
          <w:i/>
          <w:iCs/>
          <w:lang w:val="en-US"/>
        </w:rPr>
        <w:t>Review of International Economics</w:t>
      </w:r>
      <w:r w:rsidRPr="000040EC">
        <w:rPr>
          <w:rFonts w:ascii="Times New Roman" w:hAnsi="Times New Roman" w:cs="Times New Roman"/>
          <w:lang w:val="en-US"/>
        </w:rPr>
        <w:t xml:space="preserve"> 25 (4): 924–47. https://doi.org/10.1111/roie.12289.</w:t>
      </w:r>
    </w:p>
    <w:p w14:paraId="6519BB30"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Leutert, Jessica, Rolf Scheufele, and Selina Schön. 2026. “Wage-Price Pass-through in Switzerland.”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162 (1): 2. https://doi.org/10.1186/s41937-026-00148-x.</w:t>
      </w:r>
    </w:p>
    <w:p w14:paraId="272F08AA"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rPr>
        <w:t xml:space="preserve">Mach, André. 2007. “La Redéfinition Du Block Bourgeois Au Cours Des Vingt Dernières Années.” In </w:t>
      </w:r>
      <w:r w:rsidRPr="000040EC">
        <w:rPr>
          <w:rFonts w:ascii="Times New Roman" w:hAnsi="Times New Roman" w:cs="Times New Roman"/>
          <w:i/>
          <w:iCs/>
        </w:rPr>
        <w:t>Zur Politischen Ökonomie Der Schweiz: Eine Annäherung ; Analysen Und Impulse Zur Politik ; Jahrbuch Denknetz 2007: Une Approche ; Analyses et Impulsions Politiques ; Cahier Réseau de Réflexion 2007 = La Politique Économique de La Suisse</w:t>
      </w:r>
      <w:r w:rsidRPr="000040EC">
        <w:rPr>
          <w:rFonts w:ascii="Times New Roman" w:hAnsi="Times New Roman" w:cs="Times New Roman"/>
        </w:rPr>
        <w:t xml:space="preserve">, 1. </w:t>
      </w:r>
      <w:r w:rsidRPr="000040EC">
        <w:rPr>
          <w:rFonts w:ascii="Times New Roman" w:hAnsi="Times New Roman" w:cs="Times New Roman"/>
          <w:lang w:val="en-US"/>
        </w:rPr>
        <w:t>Aufl. Jahrbuch / Denknetz, 3.2997. Zürich.</w:t>
      </w:r>
    </w:p>
    <w:p w14:paraId="526C2EA2"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Mach, André, and Christine Trampusch. 2011. “The Swiss Political Economy in Comparative Perspective.” In </w:t>
      </w:r>
      <w:r w:rsidRPr="000040EC">
        <w:rPr>
          <w:rFonts w:ascii="Times New Roman" w:hAnsi="Times New Roman" w:cs="Times New Roman"/>
          <w:i/>
          <w:iCs/>
          <w:lang w:val="en-US"/>
        </w:rPr>
        <w:t>Switzerland in Europe</w:t>
      </w:r>
      <w:r w:rsidRPr="000040EC">
        <w:rPr>
          <w:rFonts w:ascii="Times New Roman" w:hAnsi="Times New Roman" w:cs="Times New Roman"/>
          <w:lang w:val="en-US"/>
        </w:rPr>
        <w:t>. Routledge.</w:t>
      </w:r>
    </w:p>
    <w:p w14:paraId="1B45E4A1"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en-US"/>
        </w:rPr>
        <w:t xml:space="preserve">Markowski, Łukasz, and Kamil Kotliński. 2023. “Renewables, Energy Mix and Inflation in the European Union Countries.” </w:t>
      </w:r>
      <w:r w:rsidRPr="000040EC">
        <w:rPr>
          <w:rFonts w:ascii="Times New Roman" w:hAnsi="Times New Roman" w:cs="Times New Roman"/>
          <w:i/>
          <w:iCs/>
          <w:lang w:val="de-CH"/>
        </w:rPr>
        <w:t>Energies</w:t>
      </w:r>
      <w:r w:rsidRPr="000040EC">
        <w:rPr>
          <w:rFonts w:ascii="Times New Roman" w:hAnsi="Times New Roman" w:cs="Times New Roman"/>
          <w:lang w:val="de-CH"/>
        </w:rPr>
        <w:t xml:space="preserve"> 16 (23): 7808. https://doi.org/10.3390/en16237808.</w:t>
      </w:r>
    </w:p>
    <w:p w14:paraId="6360BDEB"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de-CH"/>
        </w:rPr>
        <w:lastRenderedPageBreak/>
        <w:t xml:space="preserve">Mergele, Lukas, Damian Wehrli, and Nils Winistörfer. 2026. “Administriete Preise.” </w:t>
      </w:r>
      <w:r w:rsidRPr="000040EC">
        <w:rPr>
          <w:rFonts w:ascii="Times New Roman" w:hAnsi="Times New Roman" w:cs="Times New Roman"/>
          <w:i/>
          <w:iCs/>
          <w:lang w:val="de-CH"/>
        </w:rPr>
        <w:t>Grundlagen Für Die Wirtschaftspolitik</w:t>
      </w:r>
      <w:r w:rsidRPr="000040EC">
        <w:rPr>
          <w:rFonts w:ascii="Times New Roman" w:hAnsi="Times New Roman" w:cs="Times New Roman"/>
          <w:lang w:val="de-CH"/>
        </w:rPr>
        <w:t xml:space="preserve"> (Bern), no. 62.</w:t>
      </w:r>
    </w:p>
    <w:p w14:paraId="1162BA83"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Morschett, Dirk, Thomas Rudolph, Johannes Bauer, Annett Donnath, and Niklas Meise. </w:t>
      </w:r>
      <w:r w:rsidRPr="000040EC">
        <w:rPr>
          <w:rFonts w:ascii="Times New Roman" w:hAnsi="Times New Roman" w:cs="Times New Roman"/>
          <w:lang w:val="en-US"/>
        </w:rPr>
        <w:t xml:space="preserve">2009. “Retailing in Switzerland - Player, Strategies and Developments.” </w:t>
      </w:r>
      <w:r w:rsidRPr="000040EC">
        <w:rPr>
          <w:rFonts w:ascii="Times New Roman" w:hAnsi="Times New Roman" w:cs="Times New Roman"/>
          <w:i/>
          <w:iCs/>
          <w:lang w:val="en-US"/>
        </w:rPr>
        <w:t>European Retail Research</w:t>
      </w:r>
      <w:r w:rsidRPr="000040EC">
        <w:rPr>
          <w:rFonts w:ascii="Times New Roman" w:hAnsi="Times New Roman" w:cs="Times New Roman"/>
          <w:lang w:val="en-US"/>
        </w:rPr>
        <w:t xml:space="preserve"> 23 (2): 163–90.</w:t>
      </w:r>
    </w:p>
    <w:p w14:paraId="1399FAC6"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lang w:val="en-US"/>
        </w:rPr>
        <w:t xml:space="preserve">Nod, Ursula, and Mario Irminger. </w:t>
      </w:r>
      <w:r w:rsidRPr="000040EC">
        <w:rPr>
          <w:rFonts w:ascii="Times New Roman" w:hAnsi="Times New Roman" w:cs="Times New Roman"/>
        </w:rPr>
        <w:t xml:space="preserve">2026. </w:t>
      </w:r>
      <w:r w:rsidRPr="000040EC">
        <w:rPr>
          <w:rFonts w:ascii="Times New Roman" w:hAnsi="Times New Roman" w:cs="Times New Roman"/>
          <w:i/>
          <w:iCs/>
        </w:rPr>
        <w:t>Rapport Annuel Migros 2025</w:t>
      </w:r>
      <w:r w:rsidRPr="000040EC">
        <w:rPr>
          <w:rFonts w:ascii="Times New Roman" w:hAnsi="Times New Roman" w:cs="Times New Roman"/>
        </w:rPr>
        <w:t>. Fédération des coopératives Migros. https://report.migros.ch/2025/app/uploads/Rapport-de-gestion.pdf.</w:t>
      </w:r>
    </w:p>
    <w:p w14:paraId="153646D6"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OECD. 2025. “Agricultural Policy Monitoring and Evaluation 2025: Making the Most of the Trade and Environment Nexus in Agriculture.” </w:t>
      </w:r>
      <w:r w:rsidRPr="000040EC">
        <w:rPr>
          <w:rFonts w:ascii="Times New Roman" w:hAnsi="Times New Roman" w:cs="Times New Roman"/>
          <w:i/>
          <w:iCs/>
          <w:lang w:val="en-US"/>
        </w:rPr>
        <w:t>Agricultural Policy Monitoring and Evaluation</w:t>
      </w:r>
      <w:r w:rsidRPr="000040EC">
        <w:rPr>
          <w:rFonts w:ascii="Times New Roman" w:hAnsi="Times New Roman" w:cs="Times New Roman"/>
          <w:lang w:val="en-US"/>
        </w:rPr>
        <w:t xml:space="preserve"> 2025 (October). https://doi.org/10.1787/a80ac398-en.</w:t>
      </w:r>
    </w:p>
    <w:p w14:paraId="5E484F77"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Oktay, Alex. 2022. “Heterogeneity in the Exchange Rate Pass-through to Consumer Prices: The Swiss Franc Appreciation of 2015.”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158 (1): 21. https://doi.org/10.1186/s41937-022-00102-7.</w:t>
      </w:r>
    </w:p>
    <w:p w14:paraId="171D6C43"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en-US"/>
        </w:rPr>
        <w:t xml:space="preserve">Reynard, Samuel. 2009. “What Drives the Swiss Franc?” </w:t>
      </w:r>
      <w:r w:rsidRPr="000040EC">
        <w:rPr>
          <w:rFonts w:ascii="Times New Roman" w:hAnsi="Times New Roman" w:cs="Times New Roman"/>
          <w:i/>
          <w:iCs/>
          <w:lang w:val="de-CH"/>
        </w:rPr>
        <w:t>Aussenwirtschaft</w:t>
      </w:r>
      <w:r w:rsidRPr="000040EC">
        <w:rPr>
          <w:rFonts w:ascii="Times New Roman" w:hAnsi="Times New Roman" w:cs="Times New Roman"/>
          <w:lang w:val="de-CH"/>
        </w:rPr>
        <w:t xml:space="preserve"> 64 (3): 335–63.</w:t>
      </w:r>
    </w:p>
    <w:p w14:paraId="5ECF0C9F"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de-CH"/>
        </w:rPr>
        <w:t xml:space="preserve">Ritchie, Hannah, and Pablo Rosado. </w:t>
      </w:r>
      <w:r w:rsidRPr="000040EC">
        <w:rPr>
          <w:rFonts w:ascii="Times New Roman" w:hAnsi="Times New Roman" w:cs="Times New Roman"/>
          <w:lang w:val="en-US"/>
        </w:rPr>
        <w:t xml:space="preserve">2025. “Switzerland Country Profile. Energy.” </w:t>
      </w:r>
      <w:r w:rsidRPr="000040EC">
        <w:rPr>
          <w:rFonts w:ascii="Times New Roman" w:hAnsi="Times New Roman" w:cs="Times New Roman"/>
          <w:i/>
          <w:iCs/>
          <w:lang w:val="en-US"/>
        </w:rPr>
        <w:t>Our World in Data</w:t>
      </w:r>
      <w:r w:rsidRPr="000040EC">
        <w:rPr>
          <w:rFonts w:ascii="Times New Roman" w:hAnsi="Times New Roman" w:cs="Times New Roman"/>
          <w:lang w:val="en-US"/>
        </w:rPr>
        <w:t>, December 19. https://ourworldindata.org/profile/energy/switzerland.</w:t>
      </w:r>
    </w:p>
    <w:p w14:paraId="48241823"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Sax, Christoph, and Rolf Weder. 2009. “How to Explain the High Prices in Switzerland?” </w:t>
      </w:r>
      <w:r w:rsidRPr="000040EC">
        <w:rPr>
          <w:rFonts w:ascii="Times New Roman" w:hAnsi="Times New Roman" w:cs="Times New Roman"/>
          <w:i/>
          <w:iCs/>
          <w:lang w:val="en-US"/>
        </w:rPr>
        <w:t>Swiss Journal of Economics and Statistics</w:t>
      </w:r>
      <w:r w:rsidRPr="000040EC">
        <w:rPr>
          <w:rFonts w:ascii="Times New Roman" w:hAnsi="Times New Roman" w:cs="Times New Roman"/>
          <w:lang w:val="en-US"/>
        </w:rPr>
        <w:t xml:space="preserve"> 145 (4): 463–83. https://doi.org/10.1007/BF03399292.</w:t>
      </w:r>
    </w:p>
    <w:p w14:paraId="2BBED188"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rPr>
        <w:t xml:space="preserve">Schaller, Francois. 2008. </w:t>
      </w:r>
      <w:r w:rsidRPr="000040EC">
        <w:rPr>
          <w:rFonts w:ascii="Times New Roman" w:hAnsi="Times New Roman" w:cs="Times New Roman"/>
          <w:i/>
          <w:iCs/>
        </w:rPr>
        <w:t>L’île de cherte: Chronique d’un délire économique collectif suivi de L’éternel retour des crises financières - Anthropologie de la destruction de valeur</w:t>
      </w:r>
      <w:r w:rsidRPr="000040EC">
        <w:rPr>
          <w:rFonts w:ascii="Times New Roman" w:hAnsi="Times New Roman" w:cs="Times New Roman"/>
        </w:rPr>
        <w:t xml:space="preserve">. </w:t>
      </w:r>
      <w:r w:rsidRPr="000040EC">
        <w:rPr>
          <w:rFonts w:ascii="Times New Roman" w:hAnsi="Times New Roman" w:cs="Times New Roman"/>
          <w:lang w:val="de-CH"/>
        </w:rPr>
        <w:t>SLATKINE.</w:t>
      </w:r>
    </w:p>
    <w:p w14:paraId="52790793"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de-CH"/>
        </w:rPr>
        <w:t xml:space="preserve">Sonnenberg, Nils. 2022. </w:t>
      </w:r>
      <w:r w:rsidRPr="000040EC">
        <w:rPr>
          <w:rFonts w:ascii="Times New Roman" w:hAnsi="Times New Roman" w:cs="Times New Roman"/>
          <w:i/>
          <w:iCs/>
          <w:lang w:val="de-CH"/>
        </w:rPr>
        <w:t>Zu den Inflationsunterschieden zwischen der Schweiz, Spanien und Deutschland</w:t>
      </w:r>
      <w:r w:rsidRPr="000040EC">
        <w:rPr>
          <w:rFonts w:ascii="Times New Roman" w:hAnsi="Times New Roman" w:cs="Times New Roman"/>
          <w:lang w:val="de-CH"/>
        </w:rPr>
        <w:t>. https://www.econstor.eu/handle/10419/265303.</w:t>
      </w:r>
    </w:p>
    <w:p w14:paraId="082482F3" w14:textId="77777777" w:rsidR="00C24868" w:rsidRPr="000040EC" w:rsidRDefault="00C24868" w:rsidP="00C24868">
      <w:pPr>
        <w:pStyle w:val="Bibliographie"/>
        <w:rPr>
          <w:rFonts w:ascii="Times New Roman" w:hAnsi="Times New Roman" w:cs="Times New Roman"/>
          <w:lang w:val="de-CH"/>
        </w:rPr>
      </w:pPr>
      <w:r w:rsidRPr="000040EC">
        <w:rPr>
          <w:rFonts w:ascii="Times New Roman" w:hAnsi="Times New Roman" w:cs="Times New Roman"/>
          <w:lang w:val="en-US"/>
        </w:rPr>
        <w:t xml:space="preserve">Stulz, Jonas. 2007. “Exchange Rate Pass-through in Switzerland: Evidence from Vector Autoregressions.” </w:t>
      </w:r>
      <w:r w:rsidRPr="000040EC">
        <w:rPr>
          <w:rFonts w:ascii="Times New Roman" w:hAnsi="Times New Roman" w:cs="Times New Roman"/>
          <w:i/>
          <w:iCs/>
          <w:lang w:val="de-CH"/>
        </w:rPr>
        <w:t>Swiss National Bank Economic Studies</w:t>
      </w:r>
      <w:r w:rsidRPr="000040EC">
        <w:rPr>
          <w:rFonts w:ascii="Times New Roman" w:hAnsi="Times New Roman" w:cs="Times New Roman"/>
          <w:lang w:val="de-CH"/>
        </w:rPr>
        <w:t xml:space="preserve"> (Zürich) 2007 (4).</w:t>
      </w:r>
    </w:p>
    <w:p w14:paraId="7BC05102"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lang w:val="de-CH"/>
        </w:rPr>
        <w:t xml:space="preserve">Sturm, Jan-Egbert, Alexander Rathke, Klaus Abberger, et al. 2023. “Konjunkturanalyse: Prognose 2024 / 2025 Schweizer Wirtschaft im Sog der internationalen Konjunkturschwäche.” </w:t>
      </w:r>
      <w:r w:rsidRPr="000040EC">
        <w:rPr>
          <w:rFonts w:ascii="Times New Roman" w:hAnsi="Times New Roman" w:cs="Times New Roman"/>
          <w:i/>
          <w:iCs/>
        </w:rPr>
        <w:t>KOF Analysen</w:t>
      </w:r>
      <w:r w:rsidRPr="000040EC">
        <w:rPr>
          <w:rFonts w:ascii="Times New Roman" w:hAnsi="Times New Roman" w:cs="Times New Roman"/>
        </w:rPr>
        <w:t xml:space="preserve"> (Zürich) 2023 (4): 1–30. https://doi.org/10.3929/ethz-b-000651951.</w:t>
      </w:r>
    </w:p>
    <w:p w14:paraId="1BF0A46D"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rPr>
        <w:t xml:space="preserve">Sutter, Joos, and Philipp Wyss. 2026. </w:t>
      </w:r>
      <w:r w:rsidRPr="000040EC">
        <w:rPr>
          <w:rFonts w:ascii="Times New Roman" w:hAnsi="Times New Roman" w:cs="Times New Roman"/>
          <w:i/>
          <w:iCs/>
        </w:rPr>
        <w:t>Rapport de Gestion 2025</w:t>
      </w:r>
      <w:r w:rsidRPr="000040EC">
        <w:rPr>
          <w:rFonts w:ascii="Times New Roman" w:hAnsi="Times New Roman" w:cs="Times New Roman"/>
        </w:rPr>
        <w:t>. Groupe Coop. https://report.coop.ch/pdfs/Coop_GB_25_FR_5ec1838f7e.pdf.</w:t>
      </w:r>
    </w:p>
    <w:p w14:paraId="79E0B63F" w14:textId="77777777" w:rsidR="00C24868" w:rsidRPr="000040EC" w:rsidRDefault="00C24868" w:rsidP="00C24868">
      <w:pPr>
        <w:pStyle w:val="Bibliographie"/>
        <w:rPr>
          <w:rFonts w:ascii="Times New Roman" w:hAnsi="Times New Roman" w:cs="Times New Roman"/>
        </w:rPr>
      </w:pPr>
      <w:r w:rsidRPr="000040EC">
        <w:rPr>
          <w:rFonts w:ascii="Times New Roman" w:hAnsi="Times New Roman" w:cs="Times New Roman"/>
        </w:rPr>
        <w:t xml:space="preserve">Tschirren, Martin. 2026. “La pénurie de logements se poursuit.” </w:t>
      </w:r>
      <w:r w:rsidRPr="000040EC">
        <w:rPr>
          <w:rFonts w:ascii="Times New Roman" w:hAnsi="Times New Roman" w:cs="Times New Roman"/>
          <w:i/>
          <w:iCs/>
        </w:rPr>
        <w:t>La Vie économiques</w:t>
      </w:r>
      <w:r w:rsidRPr="000040EC">
        <w:rPr>
          <w:rFonts w:ascii="Times New Roman" w:hAnsi="Times New Roman" w:cs="Times New Roman"/>
        </w:rPr>
        <w:t>. https://dievolkswirtschaft.ch/fr/2026/03/la-penurie-de-logements-se-poursuit/.</w:t>
      </w:r>
    </w:p>
    <w:p w14:paraId="3CBC881F"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Vallet, Guillaume. 2016. “The Role of the Swiss Franc in Switzerland’s European Stance.” </w:t>
      </w:r>
      <w:r w:rsidRPr="000040EC">
        <w:rPr>
          <w:rFonts w:ascii="Times New Roman" w:hAnsi="Times New Roman" w:cs="Times New Roman"/>
          <w:i/>
          <w:iCs/>
          <w:lang w:val="en-US"/>
        </w:rPr>
        <w:t>Research in International Business and Finance</w:t>
      </w:r>
      <w:r w:rsidRPr="000040EC">
        <w:rPr>
          <w:rFonts w:ascii="Times New Roman" w:hAnsi="Times New Roman" w:cs="Times New Roman"/>
          <w:lang w:val="en-US"/>
        </w:rPr>
        <w:t xml:space="preserve"> 38 (September): 35–44. https://doi.org/10.1016/j.ribaf.2016.03.017.</w:t>
      </w:r>
    </w:p>
    <w:p w14:paraId="27BEE335"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rPr>
        <w:lastRenderedPageBreak/>
        <w:t xml:space="preserve">Weber, Isabella M., Jesus Lara Jauregui, Lucas Teixeira, and Luiza Nassif Pires. </w:t>
      </w:r>
      <w:r w:rsidRPr="000040EC">
        <w:rPr>
          <w:rFonts w:ascii="Times New Roman" w:hAnsi="Times New Roman" w:cs="Times New Roman"/>
          <w:lang w:val="en-US"/>
        </w:rPr>
        <w:t xml:space="preserve">2024. “Inflation in Times of Overlapping Emergencies: Systemically Significant Prices from an Input–Output Perspective.” </w:t>
      </w:r>
      <w:r w:rsidRPr="000040EC">
        <w:rPr>
          <w:rFonts w:ascii="Times New Roman" w:hAnsi="Times New Roman" w:cs="Times New Roman"/>
          <w:i/>
          <w:iCs/>
          <w:lang w:val="en-US"/>
        </w:rPr>
        <w:t>Industrial and Corporate Change</w:t>
      </w:r>
      <w:r w:rsidRPr="000040EC">
        <w:rPr>
          <w:rFonts w:ascii="Times New Roman" w:hAnsi="Times New Roman" w:cs="Times New Roman"/>
          <w:lang w:val="en-US"/>
        </w:rPr>
        <w:t xml:space="preserve"> 33 (2): 297–341. https://doi.org/10.1093/icc/dtad080.</w:t>
      </w:r>
    </w:p>
    <w:p w14:paraId="611F28D7"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Weber, Isabella M., Jan-Erik Thie, Jesus Lara Jauregui, and Lucas Teixeira. 2026. “Carbon Prices and Inflation in a World of Shocks: Systemically Significant Prices and Industrial Policy Targeting in Germany.” </w:t>
      </w:r>
      <w:r w:rsidRPr="000040EC">
        <w:rPr>
          <w:rFonts w:ascii="Times New Roman" w:hAnsi="Times New Roman" w:cs="Times New Roman"/>
          <w:i/>
          <w:iCs/>
          <w:lang w:val="en-US"/>
        </w:rPr>
        <w:t>Energy Policy</w:t>
      </w:r>
      <w:r w:rsidRPr="000040EC">
        <w:rPr>
          <w:rFonts w:ascii="Times New Roman" w:hAnsi="Times New Roman" w:cs="Times New Roman"/>
          <w:lang w:val="en-US"/>
        </w:rPr>
        <w:t xml:space="preserve"> 217 (October): 115395. https://doi.org/10.1016/j.enpol.2026.115395.</w:t>
      </w:r>
    </w:p>
    <w:p w14:paraId="036EAFFA" w14:textId="77777777" w:rsidR="00C24868" w:rsidRPr="000040EC" w:rsidRDefault="00C24868" w:rsidP="00C24868">
      <w:pPr>
        <w:pStyle w:val="Bibliographie"/>
        <w:rPr>
          <w:rFonts w:ascii="Times New Roman" w:hAnsi="Times New Roman" w:cs="Times New Roman"/>
          <w:lang w:val="en-US"/>
        </w:rPr>
      </w:pPr>
      <w:r w:rsidRPr="000040EC">
        <w:rPr>
          <w:rFonts w:ascii="Times New Roman" w:hAnsi="Times New Roman" w:cs="Times New Roman"/>
          <w:lang w:val="en-US"/>
        </w:rPr>
        <w:t xml:space="preserve">WTO. 2024. </w:t>
      </w:r>
      <w:r w:rsidRPr="000040EC">
        <w:rPr>
          <w:rFonts w:ascii="Times New Roman" w:hAnsi="Times New Roman" w:cs="Times New Roman"/>
          <w:i/>
          <w:iCs/>
          <w:lang w:val="en-US"/>
        </w:rPr>
        <w:t>World Tariff Profiles 2024</w:t>
      </w:r>
      <w:r w:rsidRPr="000040EC">
        <w:rPr>
          <w:rFonts w:ascii="Times New Roman" w:hAnsi="Times New Roman" w:cs="Times New Roman"/>
          <w:lang w:val="en-US"/>
        </w:rPr>
        <w:t>. WTO iLibrary. https://doi.org/10.30875/9789287076519.</w:t>
      </w:r>
    </w:p>
    <w:p w14:paraId="49E63B08" w14:textId="53B568F0" w:rsidR="00C24868" w:rsidRPr="000040EC" w:rsidRDefault="00C24868" w:rsidP="00C24868">
      <w:pPr>
        <w:rPr>
          <w:rFonts w:ascii="Times New Roman" w:hAnsi="Times New Roman" w:cs="Times New Roman"/>
          <w:lang w:val="en-US"/>
        </w:rPr>
      </w:pPr>
      <w:r w:rsidRPr="000040EC">
        <w:rPr>
          <w:rFonts w:ascii="Times New Roman" w:hAnsi="Times New Roman" w:cs="Times New Roman"/>
          <w:lang w:val="en-US"/>
        </w:rPr>
        <w:fldChar w:fldCharType="end"/>
      </w:r>
    </w:p>
    <w:sectPr w:rsidR="00C24868" w:rsidRPr="000040EC">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5A5B" w14:textId="77777777" w:rsidR="00A02C46" w:rsidRDefault="00A02C46" w:rsidP="00D70947">
      <w:pPr>
        <w:spacing w:after="0" w:line="240" w:lineRule="auto"/>
      </w:pPr>
      <w:r>
        <w:separator/>
      </w:r>
    </w:p>
  </w:endnote>
  <w:endnote w:type="continuationSeparator" w:id="0">
    <w:p w14:paraId="328965C4" w14:textId="77777777" w:rsidR="00A02C46" w:rsidRDefault="00A02C46" w:rsidP="00D7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8F1F" w14:textId="77777777" w:rsidR="00CE6245" w:rsidRDefault="00CE624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fr-FR"/>
      </w:rPr>
      <w:t>2</w:t>
    </w:r>
    <w:r>
      <w:rPr>
        <w:caps/>
        <w:color w:val="156082" w:themeColor="accent1"/>
      </w:rPr>
      <w:fldChar w:fldCharType="end"/>
    </w:r>
  </w:p>
  <w:p w14:paraId="240CFF0D" w14:textId="77777777" w:rsidR="00CE6245" w:rsidRDefault="00CE624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827BD" w14:textId="77777777" w:rsidR="00A02C46" w:rsidRDefault="00A02C46" w:rsidP="00D70947">
      <w:pPr>
        <w:spacing w:after="0" w:line="240" w:lineRule="auto"/>
      </w:pPr>
      <w:r>
        <w:separator/>
      </w:r>
    </w:p>
  </w:footnote>
  <w:footnote w:type="continuationSeparator" w:id="0">
    <w:p w14:paraId="07867E18" w14:textId="77777777" w:rsidR="00A02C46" w:rsidRDefault="00A02C46" w:rsidP="00D70947">
      <w:pPr>
        <w:spacing w:after="0" w:line="240" w:lineRule="auto"/>
      </w:pPr>
      <w:r>
        <w:continuationSeparator/>
      </w:r>
    </w:p>
  </w:footnote>
  <w:footnote w:id="1">
    <w:p w14:paraId="6E3A120A" w14:textId="641EA1FE" w:rsidR="00D70947" w:rsidRPr="00CD5371" w:rsidRDefault="00D70947" w:rsidP="00D70947">
      <w:pPr>
        <w:pStyle w:val="Notedebasdepage"/>
        <w:rPr>
          <w:rFonts w:ascii="Times New Roman" w:hAnsi="Times New Roman" w:cs="Times New Roman"/>
          <w:lang w:val="en-US"/>
        </w:rPr>
      </w:pPr>
      <w:r w:rsidRPr="00CD5371">
        <w:rPr>
          <w:rStyle w:val="Appelnotedebasdep"/>
          <w:rFonts w:ascii="Times New Roman" w:hAnsi="Times New Roman" w:cs="Times New Roman"/>
        </w:rPr>
        <w:footnoteRef/>
      </w:r>
      <w:r w:rsidRPr="00CD5371">
        <w:rPr>
          <w:rFonts w:ascii="Times New Roman" w:hAnsi="Times New Roman" w:cs="Times New Roman"/>
          <w:lang w:val="en-US"/>
        </w:rPr>
        <w:t xml:space="preserve"> </w:t>
      </w:r>
      <w:r w:rsidR="0020129D" w:rsidRPr="00CD5371">
        <w:rPr>
          <w:rFonts w:ascii="Times New Roman" w:hAnsi="Times New Roman" w:cs="Times New Roman"/>
          <w:lang w:val="en-US"/>
        </w:rPr>
        <w:t>PhD candidate in political economy, department of history-economics-society, University of Geneva. celal.gueney@unige.ch.</w:t>
      </w:r>
    </w:p>
  </w:footnote>
  <w:footnote w:id="2">
    <w:p w14:paraId="38E34877" w14:textId="4E26ADC6" w:rsidR="00CD5371" w:rsidRPr="00CD5371" w:rsidRDefault="00CD5371">
      <w:pPr>
        <w:pStyle w:val="Notedebasdepage"/>
        <w:rPr>
          <w:rFonts w:ascii="Times New Roman" w:hAnsi="Times New Roman" w:cs="Times New Roman"/>
          <w:lang w:val="en-US"/>
        </w:rPr>
      </w:pPr>
      <w:r w:rsidRPr="00CD5371">
        <w:rPr>
          <w:rStyle w:val="Appelnotedebasdep"/>
          <w:rFonts w:ascii="Times New Roman" w:hAnsi="Times New Roman" w:cs="Times New Roman"/>
        </w:rPr>
        <w:footnoteRef/>
      </w:r>
      <w:r w:rsidRPr="00CD5371">
        <w:rPr>
          <w:rFonts w:ascii="Times New Roman" w:hAnsi="Times New Roman" w:cs="Times New Roman"/>
          <w:lang w:val="en-US"/>
        </w:rPr>
        <w:t xml:space="preserve"> PhD candidate in political economy, department of history-economics-society, University of Geneva.</w:t>
      </w:r>
    </w:p>
  </w:footnote>
  <w:footnote w:id="3">
    <w:p w14:paraId="476E71DC" w14:textId="3CF1B804" w:rsidR="00CD5371" w:rsidRPr="00CD5371" w:rsidRDefault="00CD5371">
      <w:pPr>
        <w:pStyle w:val="Notedebasdepage"/>
        <w:rPr>
          <w:lang w:val="en-US"/>
        </w:rPr>
      </w:pPr>
      <w:r w:rsidRPr="00CD5371">
        <w:rPr>
          <w:rStyle w:val="Appelnotedebasdep"/>
          <w:rFonts w:ascii="Times New Roman" w:hAnsi="Times New Roman" w:cs="Times New Roman"/>
        </w:rPr>
        <w:footnoteRef/>
      </w:r>
      <w:r w:rsidRPr="00CD5371">
        <w:rPr>
          <w:rFonts w:ascii="Times New Roman" w:hAnsi="Times New Roman" w:cs="Times New Roman"/>
          <w:lang w:val="en-US"/>
        </w:rPr>
        <w:t xml:space="preserve"> Professor, department of history-economics-society, University of Geneva.</w:t>
      </w:r>
    </w:p>
  </w:footnote>
  <w:footnote w:id="4">
    <w:p w14:paraId="26B41C6D" w14:textId="49772D00" w:rsidR="00505858" w:rsidRPr="003044C6" w:rsidRDefault="00505858">
      <w:pPr>
        <w:pStyle w:val="Notedebasdepage"/>
        <w:rPr>
          <w:rFonts w:ascii="Times New Roman" w:hAnsi="Times New Roman" w:cs="Times New Roman"/>
          <w:lang w:val="en-US"/>
        </w:rPr>
      </w:pPr>
      <w:r w:rsidRPr="003044C6">
        <w:rPr>
          <w:rStyle w:val="Appelnotedebasdep"/>
          <w:rFonts w:ascii="Times New Roman" w:hAnsi="Times New Roman" w:cs="Times New Roman"/>
        </w:rPr>
        <w:footnoteRef/>
      </w:r>
      <w:r w:rsidRPr="003044C6">
        <w:rPr>
          <w:rFonts w:ascii="Times New Roman" w:hAnsi="Times New Roman" w:cs="Times New Roman"/>
          <w:lang w:val="en-US"/>
        </w:rPr>
        <w:t xml:space="preserve"> </w:t>
      </w:r>
      <w:r w:rsidR="00E12D4F" w:rsidRPr="003044C6">
        <w:rPr>
          <w:rFonts w:ascii="Times New Roman" w:hAnsi="Times New Roman" w:cs="Times New Roman"/>
          <w:lang w:val="en-US"/>
        </w:rPr>
        <w:t xml:space="preserve">For a summary of the empirical estimates of the ERPT effects in Switzerland, see </w:t>
      </w:r>
      <w:r w:rsidR="00E12D4F" w:rsidRPr="003044C6">
        <w:rPr>
          <w:rFonts w:ascii="Times New Roman" w:hAnsi="Times New Roman" w:cs="Times New Roman"/>
          <w:lang w:val="en-US"/>
        </w:rPr>
        <w:fldChar w:fldCharType="begin"/>
      </w:r>
      <w:r w:rsidR="00800352" w:rsidRPr="003044C6">
        <w:rPr>
          <w:rFonts w:ascii="Times New Roman" w:hAnsi="Times New Roman" w:cs="Times New Roman"/>
          <w:lang w:val="en-US"/>
        </w:rPr>
        <w:instrText xml:space="preserve"> ADDIN ZOTERO_ITEM CSL_CITATION {"citationID":"VuGJfKgk","properties":{"formattedCitation":"(Bachmann 2012)","plainCitation":"(Bachmann 2012)","dontUpdate":true,"noteIndex":4},"citationItems":[{"id":6651,"uris":["http://zotero.org/groups/6311349/items/XSJMSN92"],"itemData":{"id":6651,"type":"report","abstract":"The extent to which exchange rate fluctuations are passed through to domestic prices is of high relevance for open economies and for monetary authorities targeting price stability. Existing empirical studies estimating the exchange rate pass-through for Switzerland are based on either single equation estimation or on VAR models. However, these approaches feature some major drawbacks. The former cannot account for dynamic interactions between the time series and both methods disregard longrun equilibrium relations between the variable levels. This paper contributes to the evidence on the exchange rate pass-through in Switzerland by using a vector error correction model, which has the advantage of incorporating both short-run dynamics and long-run equilibrium relations among variables. The results reveal a significant impact of exchange rate shocks on various price (sub-)indices. Passthrough to import prices is substantial both in the short-run and in the long-run and occurs relatively quickly. It is slower, but still considerable in the long-run forthe consumer price index and some of its sub-indices. Producer prices react significantlyto exchange rate shocks as well. In contrast, consumer price inflation for services and for goods of domestic origin show hardly any significant response. The findings of this paper indicate a decline in the pass-through over time.","genre":"Working Paper","language":"eng","license":"http://www.econstor.eu/dspace/Nutzungsbedingungen","number":"12-05","publisher":"Discussion Papers","source":"www.econstor.eu","title":"Exchange rate pass-through to various price indices: Empirical estimation using vector error correction models","title-short":"Exchange rate pass-through to various price indices","URL":"https://www.econstor.eu/handle/10419/76750","author":[{"family":"Bachmann","given":"Andreas"}],"accessed":{"date-parts":[["2026",7,7]]},"issued":{"date-parts":[["2012"]]}}}],"schema":"https://github.com/citation-style-language/schema/raw/master/csl-citation.json"} </w:instrText>
      </w:r>
      <w:r w:rsidR="00E12D4F" w:rsidRPr="003044C6">
        <w:rPr>
          <w:rFonts w:ascii="Times New Roman" w:hAnsi="Times New Roman" w:cs="Times New Roman"/>
          <w:lang w:val="en-US"/>
        </w:rPr>
        <w:fldChar w:fldCharType="separate"/>
      </w:r>
      <w:r w:rsidR="00E12D4F" w:rsidRPr="003044C6">
        <w:rPr>
          <w:rFonts w:ascii="Times New Roman" w:hAnsi="Times New Roman" w:cs="Times New Roman"/>
          <w:lang w:val="en-US"/>
        </w:rPr>
        <w:t>Bachmann (2012)</w:t>
      </w:r>
      <w:r w:rsidR="00E12D4F" w:rsidRPr="003044C6">
        <w:rPr>
          <w:rFonts w:ascii="Times New Roman" w:hAnsi="Times New Roman" w:cs="Times New Roman"/>
          <w:lang w:val="en-US"/>
        </w:rPr>
        <w:fldChar w:fldCharType="end"/>
      </w:r>
      <w:r w:rsidR="00E12D4F" w:rsidRPr="003044C6">
        <w:rPr>
          <w:rFonts w:ascii="Times New Roman" w:hAnsi="Times New Roman" w:cs="Times New Roman"/>
          <w:lang w:val="en-US"/>
        </w:rPr>
        <w:t>.</w:t>
      </w:r>
    </w:p>
  </w:footnote>
  <w:footnote w:id="5">
    <w:p w14:paraId="372B07FF" w14:textId="0C37FB54" w:rsidR="00FE4CA3" w:rsidRPr="00FE4CA3" w:rsidRDefault="00FE4CA3">
      <w:pPr>
        <w:pStyle w:val="Notedebasdepage"/>
        <w:rPr>
          <w:rFonts w:ascii="Times New Roman" w:hAnsi="Times New Roman" w:cs="Times New Roman"/>
          <w:lang w:val="en-US"/>
        </w:rPr>
      </w:pPr>
      <w:r w:rsidRPr="00FE4CA3">
        <w:rPr>
          <w:rStyle w:val="Appelnotedebasdep"/>
          <w:rFonts w:ascii="Times New Roman" w:hAnsi="Times New Roman" w:cs="Times New Roman"/>
        </w:rPr>
        <w:footnoteRef/>
      </w:r>
      <w:r w:rsidRPr="00FE4CA3">
        <w:rPr>
          <w:rFonts w:ascii="Times New Roman" w:hAnsi="Times New Roman" w:cs="Times New Roman"/>
          <w:lang w:val="en-US"/>
        </w:rPr>
        <w:t xml:space="preserve"> For instance: </w:t>
      </w:r>
      <w:proofErr w:type="spellStart"/>
      <w:r w:rsidRPr="00FE4CA3">
        <w:rPr>
          <w:rFonts w:ascii="Times New Roman" w:hAnsi="Times New Roman" w:cs="Times New Roman"/>
          <w:lang w:val="en-US"/>
        </w:rPr>
        <w:t>SportX</w:t>
      </w:r>
      <w:proofErr w:type="spellEnd"/>
      <w:r w:rsidRPr="00FE4CA3">
        <w:rPr>
          <w:rFonts w:ascii="Times New Roman" w:hAnsi="Times New Roman" w:cs="Times New Roman"/>
          <w:lang w:val="en-US"/>
        </w:rPr>
        <w:t xml:space="preserve">, </w:t>
      </w:r>
      <w:proofErr w:type="spellStart"/>
      <w:r w:rsidRPr="00FE4CA3">
        <w:rPr>
          <w:rFonts w:ascii="Times New Roman" w:hAnsi="Times New Roman" w:cs="Times New Roman"/>
          <w:lang w:val="en-US"/>
        </w:rPr>
        <w:t>Micasa</w:t>
      </w:r>
      <w:proofErr w:type="spellEnd"/>
      <w:r w:rsidRPr="00FE4CA3">
        <w:rPr>
          <w:rFonts w:ascii="Times New Roman" w:hAnsi="Times New Roman" w:cs="Times New Roman"/>
          <w:lang w:val="en-US"/>
        </w:rPr>
        <w:t xml:space="preserve"> and </w:t>
      </w:r>
      <w:proofErr w:type="spellStart"/>
      <w:r w:rsidRPr="00FE4CA3">
        <w:rPr>
          <w:rFonts w:ascii="Times New Roman" w:hAnsi="Times New Roman" w:cs="Times New Roman"/>
          <w:lang w:val="en-US"/>
        </w:rPr>
        <w:t>Melectronics</w:t>
      </w:r>
      <w:proofErr w:type="spellEnd"/>
      <w:r w:rsidRPr="00FE4CA3">
        <w:rPr>
          <w:rFonts w:ascii="Times New Roman" w:hAnsi="Times New Roman" w:cs="Times New Roman"/>
          <w:lang w:val="en-US"/>
        </w:rPr>
        <w:t xml:space="preserve"> (a sports retailer, a furniture retailer, and an electronics retailer)</w:t>
      </w:r>
    </w:p>
  </w:footnote>
  <w:footnote w:id="6">
    <w:p w14:paraId="27005233" w14:textId="20321569" w:rsidR="00E56851" w:rsidRPr="00E56851" w:rsidRDefault="00E56851">
      <w:pPr>
        <w:pStyle w:val="Notedebasdepage"/>
        <w:rPr>
          <w:lang w:val="en-US"/>
        </w:rPr>
      </w:pPr>
      <w:r>
        <w:rPr>
          <w:rStyle w:val="Appelnotedebasdep"/>
        </w:rPr>
        <w:footnoteRef/>
      </w:r>
      <w:r w:rsidRPr="00E56851">
        <w:rPr>
          <w:lang w:val="en-US"/>
        </w:rPr>
        <w:t xml:space="preserve"> </w:t>
      </w:r>
      <w:hyperlink r:id="rId1" w:history="1">
        <w:r w:rsidRPr="001625E4">
          <w:rPr>
            <w:rStyle w:val="Lienhypertexte"/>
            <w:lang w:val="en-US"/>
          </w:rPr>
          <w:t>https://www.rts.ch/info/economie/14379498-les-marges-spectaculaires-des-grands-distributeurs-coop-et-migros.html</w:t>
        </w:r>
      </w:hyperlink>
      <w:r>
        <w:rPr>
          <w:lang w:val="en-US"/>
        </w:rPr>
        <w:t xml:space="preserve"> </w:t>
      </w:r>
    </w:p>
  </w:footnote>
  <w:footnote w:id="7">
    <w:p w14:paraId="3B46F51A" w14:textId="232088A4" w:rsidR="00DC1EF6" w:rsidRPr="00DC1EF6" w:rsidRDefault="00DC1EF6">
      <w:pPr>
        <w:pStyle w:val="Notedebasdepage"/>
        <w:rPr>
          <w:lang w:val="en-US"/>
        </w:rPr>
      </w:pPr>
      <w:r>
        <w:rPr>
          <w:rStyle w:val="Appelnotedebasdep"/>
        </w:rPr>
        <w:footnoteRef/>
      </w:r>
      <w:r w:rsidRPr="00DC1EF6">
        <w:rPr>
          <w:lang w:val="en-US"/>
        </w:rPr>
        <w:t xml:space="preserve"> According to </w:t>
      </w:r>
      <w:r>
        <w:rPr>
          <w:rFonts w:ascii="Times New Roman" w:hAnsi="Times New Roman" w:cs="Times New Roman"/>
          <w:lang w:val="en-US"/>
        </w:rPr>
        <w:fldChar w:fldCharType="begin"/>
      </w:r>
      <w:r w:rsidR="006F43AC">
        <w:rPr>
          <w:rFonts w:ascii="Times New Roman" w:hAnsi="Times New Roman" w:cs="Times New Roman"/>
          <w:lang w:val="en-US"/>
        </w:rPr>
        <w:instrText xml:space="preserve"> ADDIN ZOTERO_ITEM CSL_CITATION {"citationID":"o8YStpN7","properties":{"formattedCitation":"(Fischer et al. 2021)","plainCitation":"(Fischer et al. 2021)","dontUpdate":true,"noteIndex":7},"citationItems":[{"id":6774,"uris":["http://zotero.org/groups/6311349/items/9EMSZ2RT"],"itemData":{"id":6774,"type":"document","publisher":"BAK Economics","publisher-place":"Basel","title":"Analyse der Schweizer Detailhandelspreise im internationalen Vergleich","URL":"https://www.bak-economics.com/studien-analysen/detail/analyse-der-schweizer-detailhandelspreise-im-internationalen-vergleich","author":[{"family":"Fischer","given":"Silvan"},{"family":"Grass","given":"Michael"},{"family":"Grossmiklaus","given":"Bruno"},{"family":"Guggia","given":"Valentino"}],"issued":{"date-parts":[["2021"]]}}}],"schema":"https://github.com/citation-style-language/schema/raw/master/csl-citation.json"} </w:instrText>
      </w:r>
      <w:r>
        <w:rPr>
          <w:rFonts w:ascii="Times New Roman" w:hAnsi="Times New Roman" w:cs="Times New Roman"/>
          <w:lang w:val="en-US"/>
        </w:rPr>
        <w:fldChar w:fldCharType="separate"/>
      </w:r>
      <w:r w:rsidRPr="009C4A82">
        <w:rPr>
          <w:rFonts w:ascii="Aptos" w:hAnsi="Aptos"/>
          <w:lang w:val="en-US"/>
        </w:rPr>
        <w:t xml:space="preserve">Fischer et al. </w:t>
      </w:r>
      <w:r>
        <w:rPr>
          <w:rFonts w:ascii="Aptos" w:hAnsi="Aptos"/>
          <w:lang w:val="en-US"/>
        </w:rPr>
        <w:t>(</w:t>
      </w:r>
      <w:r w:rsidRPr="009C4A82">
        <w:rPr>
          <w:rFonts w:ascii="Aptos" w:hAnsi="Aptos"/>
          <w:lang w:val="en-US"/>
        </w:rPr>
        <w:t>2021)</w:t>
      </w:r>
      <w:r>
        <w:rPr>
          <w:rFonts w:ascii="Times New Roman" w:hAnsi="Times New Roman" w:cs="Times New Roman"/>
          <w:lang w:val="en-US"/>
        </w:rPr>
        <w:fldChar w:fldCharType="end"/>
      </w:r>
      <w:r>
        <w:rPr>
          <w:rFonts w:ascii="Times New Roman" w:hAnsi="Times New Roman" w:cs="Times New Roman"/>
          <w:lang w:val="en-US"/>
        </w:rPr>
        <w:t xml:space="preserve">’s estimations, this increase in the food-only retail price index is strongly driven by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645C5"/>
    <w:multiLevelType w:val="hybridMultilevel"/>
    <w:tmpl w:val="93F0D084"/>
    <w:lvl w:ilvl="0" w:tplc="449A5F2C">
      <w:numFmt w:val="bullet"/>
      <w:lvlText w:val=""/>
      <w:lvlJc w:val="left"/>
      <w:pPr>
        <w:ind w:left="720" w:hanging="360"/>
      </w:pPr>
      <w:rPr>
        <w:rFonts w:ascii="Wingdings" w:eastAsiaTheme="minorHAns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0060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A4"/>
    <w:rsid w:val="00001764"/>
    <w:rsid w:val="0000307C"/>
    <w:rsid w:val="000040EC"/>
    <w:rsid w:val="000077F6"/>
    <w:rsid w:val="00012DD0"/>
    <w:rsid w:val="00014443"/>
    <w:rsid w:val="000166AF"/>
    <w:rsid w:val="00017001"/>
    <w:rsid w:val="000233AD"/>
    <w:rsid w:val="000259BE"/>
    <w:rsid w:val="000340CA"/>
    <w:rsid w:val="00062F62"/>
    <w:rsid w:val="0007161F"/>
    <w:rsid w:val="00075FFF"/>
    <w:rsid w:val="00077FCA"/>
    <w:rsid w:val="00082874"/>
    <w:rsid w:val="00092DB5"/>
    <w:rsid w:val="000957F4"/>
    <w:rsid w:val="00097824"/>
    <w:rsid w:val="000A1964"/>
    <w:rsid w:val="000A3EB5"/>
    <w:rsid w:val="000B4794"/>
    <w:rsid w:val="000C20B8"/>
    <w:rsid w:val="000F1D1E"/>
    <w:rsid w:val="000F2EB5"/>
    <w:rsid w:val="000F4C69"/>
    <w:rsid w:val="0010551D"/>
    <w:rsid w:val="00115561"/>
    <w:rsid w:val="001174F2"/>
    <w:rsid w:val="0012669B"/>
    <w:rsid w:val="00126E19"/>
    <w:rsid w:val="0012738A"/>
    <w:rsid w:val="001372AC"/>
    <w:rsid w:val="00137CCC"/>
    <w:rsid w:val="00143EF6"/>
    <w:rsid w:val="00155A77"/>
    <w:rsid w:val="00171C56"/>
    <w:rsid w:val="00190688"/>
    <w:rsid w:val="00196BC1"/>
    <w:rsid w:val="001A1F9C"/>
    <w:rsid w:val="001A3967"/>
    <w:rsid w:val="001A5211"/>
    <w:rsid w:val="001A5326"/>
    <w:rsid w:val="001A6327"/>
    <w:rsid w:val="001A7212"/>
    <w:rsid w:val="001B22E1"/>
    <w:rsid w:val="001B2C57"/>
    <w:rsid w:val="001B44EC"/>
    <w:rsid w:val="001C1B1D"/>
    <w:rsid w:val="001C24FA"/>
    <w:rsid w:val="001C55C0"/>
    <w:rsid w:val="001D4998"/>
    <w:rsid w:val="001E087F"/>
    <w:rsid w:val="001E42B1"/>
    <w:rsid w:val="001E6524"/>
    <w:rsid w:val="001F1A84"/>
    <w:rsid w:val="00201149"/>
    <w:rsid w:val="0020129D"/>
    <w:rsid w:val="00220163"/>
    <w:rsid w:val="00223CBF"/>
    <w:rsid w:val="00230A8D"/>
    <w:rsid w:val="00234C9B"/>
    <w:rsid w:val="00235C91"/>
    <w:rsid w:val="0024588A"/>
    <w:rsid w:val="002516BD"/>
    <w:rsid w:val="002575E2"/>
    <w:rsid w:val="002644FF"/>
    <w:rsid w:val="00265EFF"/>
    <w:rsid w:val="00267E3A"/>
    <w:rsid w:val="002753F1"/>
    <w:rsid w:val="0027597F"/>
    <w:rsid w:val="00281FCA"/>
    <w:rsid w:val="00295847"/>
    <w:rsid w:val="002B302B"/>
    <w:rsid w:val="002B6FB4"/>
    <w:rsid w:val="002C26F3"/>
    <w:rsid w:val="002D6403"/>
    <w:rsid w:val="002E37E1"/>
    <w:rsid w:val="002E6801"/>
    <w:rsid w:val="002F07CE"/>
    <w:rsid w:val="0030213F"/>
    <w:rsid w:val="003044C6"/>
    <w:rsid w:val="003051C7"/>
    <w:rsid w:val="003145C5"/>
    <w:rsid w:val="0032214C"/>
    <w:rsid w:val="00330145"/>
    <w:rsid w:val="00341512"/>
    <w:rsid w:val="00345D2C"/>
    <w:rsid w:val="00351431"/>
    <w:rsid w:val="00352A87"/>
    <w:rsid w:val="003577A6"/>
    <w:rsid w:val="00362EE1"/>
    <w:rsid w:val="00365D58"/>
    <w:rsid w:val="00367A16"/>
    <w:rsid w:val="0037114C"/>
    <w:rsid w:val="00374402"/>
    <w:rsid w:val="00374DB7"/>
    <w:rsid w:val="00374EE4"/>
    <w:rsid w:val="00376855"/>
    <w:rsid w:val="00384875"/>
    <w:rsid w:val="00394E9D"/>
    <w:rsid w:val="00395A91"/>
    <w:rsid w:val="003A015B"/>
    <w:rsid w:val="003A0B35"/>
    <w:rsid w:val="003B2778"/>
    <w:rsid w:val="003B6575"/>
    <w:rsid w:val="003C7045"/>
    <w:rsid w:val="003C705A"/>
    <w:rsid w:val="003D17CD"/>
    <w:rsid w:val="003E1AB4"/>
    <w:rsid w:val="003E4351"/>
    <w:rsid w:val="003E64AA"/>
    <w:rsid w:val="003F425D"/>
    <w:rsid w:val="003F65D8"/>
    <w:rsid w:val="00423C6B"/>
    <w:rsid w:val="0042672D"/>
    <w:rsid w:val="004304AD"/>
    <w:rsid w:val="004317D5"/>
    <w:rsid w:val="004417A5"/>
    <w:rsid w:val="00444C00"/>
    <w:rsid w:val="00451E92"/>
    <w:rsid w:val="0047020D"/>
    <w:rsid w:val="00470CA7"/>
    <w:rsid w:val="00470FD0"/>
    <w:rsid w:val="00471BE9"/>
    <w:rsid w:val="004772A4"/>
    <w:rsid w:val="004B2A90"/>
    <w:rsid w:val="004B46A3"/>
    <w:rsid w:val="004B7B56"/>
    <w:rsid w:val="004C06E2"/>
    <w:rsid w:val="004C6BD4"/>
    <w:rsid w:val="004D6623"/>
    <w:rsid w:val="004D6AD9"/>
    <w:rsid w:val="004E308E"/>
    <w:rsid w:val="004E617C"/>
    <w:rsid w:val="004F14DE"/>
    <w:rsid w:val="004F24B3"/>
    <w:rsid w:val="004F583C"/>
    <w:rsid w:val="00505858"/>
    <w:rsid w:val="00510BC8"/>
    <w:rsid w:val="005153D1"/>
    <w:rsid w:val="0052034E"/>
    <w:rsid w:val="00530576"/>
    <w:rsid w:val="00531A14"/>
    <w:rsid w:val="00533033"/>
    <w:rsid w:val="005411B9"/>
    <w:rsid w:val="00554F3C"/>
    <w:rsid w:val="005576F4"/>
    <w:rsid w:val="00560976"/>
    <w:rsid w:val="005626C0"/>
    <w:rsid w:val="005702AA"/>
    <w:rsid w:val="00573499"/>
    <w:rsid w:val="0057548B"/>
    <w:rsid w:val="0058130A"/>
    <w:rsid w:val="00581426"/>
    <w:rsid w:val="00582A5A"/>
    <w:rsid w:val="005877A1"/>
    <w:rsid w:val="00594A4E"/>
    <w:rsid w:val="00595F0E"/>
    <w:rsid w:val="00596689"/>
    <w:rsid w:val="005A2F79"/>
    <w:rsid w:val="005A3BF5"/>
    <w:rsid w:val="005A5C0C"/>
    <w:rsid w:val="005A6BD4"/>
    <w:rsid w:val="005B6498"/>
    <w:rsid w:val="005C4623"/>
    <w:rsid w:val="005C600E"/>
    <w:rsid w:val="005E4808"/>
    <w:rsid w:val="005F3729"/>
    <w:rsid w:val="005F5B75"/>
    <w:rsid w:val="00601042"/>
    <w:rsid w:val="00611046"/>
    <w:rsid w:val="00617CDD"/>
    <w:rsid w:val="00617F2A"/>
    <w:rsid w:val="00622DC1"/>
    <w:rsid w:val="00625A05"/>
    <w:rsid w:val="00626693"/>
    <w:rsid w:val="00630490"/>
    <w:rsid w:val="006313A5"/>
    <w:rsid w:val="006457CF"/>
    <w:rsid w:val="006536DC"/>
    <w:rsid w:val="0065416F"/>
    <w:rsid w:val="00660AF4"/>
    <w:rsid w:val="00661855"/>
    <w:rsid w:val="00662BD6"/>
    <w:rsid w:val="006751FA"/>
    <w:rsid w:val="006820EC"/>
    <w:rsid w:val="006B0B95"/>
    <w:rsid w:val="006B167C"/>
    <w:rsid w:val="006C0BEA"/>
    <w:rsid w:val="006D4FDF"/>
    <w:rsid w:val="006E07E4"/>
    <w:rsid w:val="006E580C"/>
    <w:rsid w:val="006F43AC"/>
    <w:rsid w:val="006F4A9E"/>
    <w:rsid w:val="0071064F"/>
    <w:rsid w:val="00710E8A"/>
    <w:rsid w:val="007211AF"/>
    <w:rsid w:val="00723F4E"/>
    <w:rsid w:val="00727296"/>
    <w:rsid w:val="00734E09"/>
    <w:rsid w:val="00737CCF"/>
    <w:rsid w:val="00744192"/>
    <w:rsid w:val="007465F7"/>
    <w:rsid w:val="00747538"/>
    <w:rsid w:val="00750DE9"/>
    <w:rsid w:val="007526CB"/>
    <w:rsid w:val="00760A60"/>
    <w:rsid w:val="00761EB7"/>
    <w:rsid w:val="007623AE"/>
    <w:rsid w:val="00766BC6"/>
    <w:rsid w:val="00780960"/>
    <w:rsid w:val="00785484"/>
    <w:rsid w:val="00795A39"/>
    <w:rsid w:val="00797B62"/>
    <w:rsid w:val="007A323E"/>
    <w:rsid w:val="007A5B50"/>
    <w:rsid w:val="007A65E0"/>
    <w:rsid w:val="007B0599"/>
    <w:rsid w:val="007B1570"/>
    <w:rsid w:val="007B1F6B"/>
    <w:rsid w:val="007B542C"/>
    <w:rsid w:val="007C1001"/>
    <w:rsid w:val="007C2881"/>
    <w:rsid w:val="007C4BFE"/>
    <w:rsid w:val="007C5DE0"/>
    <w:rsid w:val="007D40EB"/>
    <w:rsid w:val="007E1B6E"/>
    <w:rsid w:val="007F2DA8"/>
    <w:rsid w:val="007F4E14"/>
    <w:rsid w:val="0080034A"/>
    <w:rsid w:val="00800352"/>
    <w:rsid w:val="00805731"/>
    <w:rsid w:val="008141DF"/>
    <w:rsid w:val="0082344D"/>
    <w:rsid w:val="00835098"/>
    <w:rsid w:val="00835200"/>
    <w:rsid w:val="0084116B"/>
    <w:rsid w:val="008415D0"/>
    <w:rsid w:val="0084424E"/>
    <w:rsid w:val="00851C11"/>
    <w:rsid w:val="00852296"/>
    <w:rsid w:val="008614C6"/>
    <w:rsid w:val="0086370E"/>
    <w:rsid w:val="0088271F"/>
    <w:rsid w:val="008873D3"/>
    <w:rsid w:val="008A2D69"/>
    <w:rsid w:val="008A6600"/>
    <w:rsid w:val="008C4E6A"/>
    <w:rsid w:val="008D1618"/>
    <w:rsid w:val="008D3145"/>
    <w:rsid w:val="008D4D65"/>
    <w:rsid w:val="008D5F10"/>
    <w:rsid w:val="008E109A"/>
    <w:rsid w:val="00901F0D"/>
    <w:rsid w:val="0092265D"/>
    <w:rsid w:val="00933033"/>
    <w:rsid w:val="0093727A"/>
    <w:rsid w:val="00941504"/>
    <w:rsid w:val="009507D0"/>
    <w:rsid w:val="00951BCA"/>
    <w:rsid w:val="009529A2"/>
    <w:rsid w:val="00953817"/>
    <w:rsid w:val="009538D7"/>
    <w:rsid w:val="00957440"/>
    <w:rsid w:val="00957F4A"/>
    <w:rsid w:val="009658C5"/>
    <w:rsid w:val="009720C9"/>
    <w:rsid w:val="009725E1"/>
    <w:rsid w:val="00973A99"/>
    <w:rsid w:val="00976096"/>
    <w:rsid w:val="00976B54"/>
    <w:rsid w:val="00977F79"/>
    <w:rsid w:val="009807FE"/>
    <w:rsid w:val="00984592"/>
    <w:rsid w:val="00987B34"/>
    <w:rsid w:val="009975BA"/>
    <w:rsid w:val="009A0225"/>
    <w:rsid w:val="009A1F75"/>
    <w:rsid w:val="009B2543"/>
    <w:rsid w:val="009B6415"/>
    <w:rsid w:val="009C4A82"/>
    <w:rsid w:val="009C5FE7"/>
    <w:rsid w:val="009D2E46"/>
    <w:rsid w:val="009D2E57"/>
    <w:rsid w:val="009D38B0"/>
    <w:rsid w:val="009E1D58"/>
    <w:rsid w:val="009E2899"/>
    <w:rsid w:val="009F06D4"/>
    <w:rsid w:val="009F1C97"/>
    <w:rsid w:val="009F39BC"/>
    <w:rsid w:val="009F47F8"/>
    <w:rsid w:val="00A029AF"/>
    <w:rsid w:val="00A02C46"/>
    <w:rsid w:val="00A11A22"/>
    <w:rsid w:val="00A143B5"/>
    <w:rsid w:val="00A1502D"/>
    <w:rsid w:val="00A16BCD"/>
    <w:rsid w:val="00A20324"/>
    <w:rsid w:val="00A2126F"/>
    <w:rsid w:val="00A37CC7"/>
    <w:rsid w:val="00A41042"/>
    <w:rsid w:val="00A44345"/>
    <w:rsid w:val="00A47BD9"/>
    <w:rsid w:val="00A54AA6"/>
    <w:rsid w:val="00A70759"/>
    <w:rsid w:val="00A72477"/>
    <w:rsid w:val="00A81DA5"/>
    <w:rsid w:val="00A94032"/>
    <w:rsid w:val="00A95995"/>
    <w:rsid w:val="00A95F3E"/>
    <w:rsid w:val="00A977E0"/>
    <w:rsid w:val="00AA3CEC"/>
    <w:rsid w:val="00AB1A05"/>
    <w:rsid w:val="00AB6362"/>
    <w:rsid w:val="00AC2D5F"/>
    <w:rsid w:val="00AC3DE0"/>
    <w:rsid w:val="00AD1A15"/>
    <w:rsid w:val="00AD7EDD"/>
    <w:rsid w:val="00AF3EEB"/>
    <w:rsid w:val="00AF4C7B"/>
    <w:rsid w:val="00AF66F5"/>
    <w:rsid w:val="00B0016E"/>
    <w:rsid w:val="00B011C3"/>
    <w:rsid w:val="00B02988"/>
    <w:rsid w:val="00B061ED"/>
    <w:rsid w:val="00B145AD"/>
    <w:rsid w:val="00B161B2"/>
    <w:rsid w:val="00B200CC"/>
    <w:rsid w:val="00B23F5B"/>
    <w:rsid w:val="00B2443E"/>
    <w:rsid w:val="00B25AD4"/>
    <w:rsid w:val="00B3283F"/>
    <w:rsid w:val="00B45116"/>
    <w:rsid w:val="00B464A8"/>
    <w:rsid w:val="00B512D9"/>
    <w:rsid w:val="00B5790D"/>
    <w:rsid w:val="00B6789C"/>
    <w:rsid w:val="00B700A9"/>
    <w:rsid w:val="00B70C7D"/>
    <w:rsid w:val="00B726CF"/>
    <w:rsid w:val="00B75A8D"/>
    <w:rsid w:val="00B84956"/>
    <w:rsid w:val="00BA338D"/>
    <w:rsid w:val="00BB252D"/>
    <w:rsid w:val="00BC1676"/>
    <w:rsid w:val="00BC64DD"/>
    <w:rsid w:val="00BD6014"/>
    <w:rsid w:val="00BE0CA2"/>
    <w:rsid w:val="00BE7C70"/>
    <w:rsid w:val="00BF317D"/>
    <w:rsid w:val="00BF5280"/>
    <w:rsid w:val="00C044BD"/>
    <w:rsid w:val="00C17663"/>
    <w:rsid w:val="00C20063"/>
    <w:rsid w:val="00C208E6"/>
    <w:rsid w:val="00C24868"/>
    <w:rsid w:val="00C27A7E"/>
    <w:rsid w:val="00C35F3B"/>
    <w:rsid w:val="00C570BE"/>
    <w:rsid w:val="00C75F0D"/>
    <w:rsid w:val="00C841C2"/>
    <w:rsid w:val="00C86307"/>
    <w:rsid w:val="00C87B96"/>
    <w:rsid w:val="00C90930"/>
    <w:rsid w:val="00CA670A"/>
    <w:rsid w:val="00CB706E"/>
    <w:rsid w:val="00CD13EE"/>
    <w:rsid w:val="00CD5371"/>
    <w:rsid w:val="00CE15A4"/>
    <w:rsid w:val="00CE6245"/>
    <w:rsid w:val="00CE7524"/>
    <w:rsid w:val="00CF16D5"/>
    <w:rsid w:val="00CF2965"/>
    <w:rsid w:val="00D06690"/>
    <w:rsid w:val="00D10F6C"/>
    <w:rsid w:val="00D22FC2"/>
    <w:rsid w:val="00D24519"/>
    <w:rsid w:val="00D266D1"/>
    <w:rsid w:val="00D2720F"/>
    <w:rsid w:val="00D31916"/>
    <w:rsid w:val="00D33F0E"/>
    <w:rsid w:val="00D54014"/>
    <w:rsid w:val="00D56334"/>
    <w:rsid w:val="00D65FC2"/>
    <w:rsid w:val="00D708F9"/>
    <w:rsid w:val="00D70947"/>
    <w:rsid w:val="00D75457"/>
    <w:rsid w:val="00D90320"/>
    <w:rsid w:val="00D9479F"/>
    <w:rsid w:val="00D97B8E"/>
    <w:rsid w:val="00DA1E3A"/>
    <w:rsid w:val="00DA2059"/>
    <w:rsid w:val="00DC1EF6"/>
    <w:rsid w:val="00DC67B1"/>
    <w:rsid w:val="00DD0F7F"/>
    <w:rsid w:val="00DD2D62"/>
    <w:rsid w:val="00DD5D93"/>
    <w:rsid w:val="00DE219B"/>
    <w:rsid w:val="00DE3002"/>
    <w:rsid w:val="00DE701E"/>
    <w:rsid w:val="00E02A9F"/>
    <w:rsid w:val="00E0438E"/>
    <w:rsid w:val="00E12D4F"/>
    <w:rsid w:val="00E14A52"/>
    <w:rsid w:val="00E15E9F"/>
    <w:rsid w:val="00E22F4B"/>
    <w:rsid w:val="00E23A7B"/>
    <w:rsid w:val="00E33023"/>
    <w:rsid w:val="00E427EE"/>
    <w:rsid w:val="00E43F5C"/>
    <w:rsid w:val="00E46E24"/>
    <w:rsid w:val="00E50993"/>
    <w:rsid w:val="00E54C50"/>
    <w:rsid w:val="00E54D69"/>
    <w:rsid w:val="00E56851"/>
    <w:rsid w:val="00E67A87"/>
    <w:rsid w:val="00E71045"/>
    <w:rsid w:val="00E716A4"/>
    <w:rsid w:val="00E7798D"/>
    <w:rsid w:val="00E85829"/>
    <w:rsid w:val="00E96BB6"/>
    <w:rsid w:val="00EA5DA7"/>
    <w:rsid w:val="00EA6EF6"/>
    <w:rsid w:val="00EB01A0"/>
    <w:rsid w:val="00EB04EB"/>
    <w:rsid w:val="00EB0B32"/>
    <w:rsid w:val="00EB26C4"/>
    <w:rsid w:val="00EB3243"/>
    <w:rsid w:val="00EF3A1C"/>
    <w:rsid w:val="00EF501D"/>
    <w:rsid w:val="00EF5C5B"/>
    <w:rsid w:val="00F0333A"/>
    <w:rsid w:val="00F111C9"/>
    <w:rsid w:val="00F121EC"/>
    <w:rsid w:val="00F30EDB"/>
    <w:rsid w:val="00F31C75"/>
    <w:rsid w:val="00F44AF7"/>
    <w:rsid w:val="00F44BEA"/>
    <w:rsid w:val="00F45205"/>
    <w:rsid w:val="00F516CC"/>
    <w:rsid w:val="00F55701"/>
    <w:rsid w:val="00F575D3"/>
    <w:rsid w:val="00F65685"/>
    <w:rsid w:val="00F66D2F"/>
    <w:rsid w:val="00F8163C"/>
    <w:rsid w:val="00F85BD8"/>
    <w:rsid w:val="00F86060"/>
    <w:rsid w:val="00FA2096"/>
    <w:rsid w:val="00FB525B"/>
    <w:rsid w:val="00FC6519"/>
    <w:rsid w:val="00FC6D1E"/>
    <w:rsid w:val="00FD583F"/>
    <w:rsid w:val="00FE209F"/>
    <w:rsid w:val="00FE4CA3"/>
    <w:rsid w:val="00FE7869"/>
    <w:rsid w:val="00FF203D"/>
    <w:rsid w:val="00FF3E0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C264"/>
  <w15:chartTrackingRefBased/>
  <w15:docId w15:val="{ACDBF7D1-4107-4A6D-B2C5-0E2397F8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7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77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72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72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72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72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2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2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2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2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772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72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72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72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72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2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2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2A4"/>
    <w:rPr>
      <w:rFonts w:eastAsiaTheme="majorEastAsia" w:cstheme="majorBidi"/>
      <w:color w:val="272727" w:themeColor="text1" w:themeTint="D8"/>
    </w:rPr>
  </w:style>
  <w:style w:type="paragraph" w:styleId="Titre">
    <w:name w:val="Title"/>
    <w:basedOn w:val="Normal"/>
    <w:next w:val="Normal"/>
    <w:link w:val="TitreCar"/>
    <w:uiPriority w:val="10"/>
    <w:qFormat/>
    <w:rsid w:val="00477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2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2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2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2A4"/>
    <w:pPr>
      <w:spacing w:before="160"/>
      <w:jc w:val="center"/>
    </w:pPr>
    <w:rPr>
      <w:i/>
      <w:iCs/>
      <w:color w:val="404040" w:themeColor="text1" w:themeTint="BF"/>
    </w:rPr>
  </w:style>
  <w:style w:type="character" w:customStyle="1" w:styleId="CitationCar">
    <w:name w:val="Citation Car"/>
    <w:basedOn w:val="Policepardfaut"/>
    <w:link w:val="Citation"/>
    <w:uiPriority w:val="29"/>
    <w:rsid w:val="004772A4"/>
    <w:rPr>
      <w:i/>
      <w:iCs/>
      <w:color w:val="404040" w:themeColor="text1" w:themeTint="BF"/>
    </w:rPr>
  </w:style>
  <w:style w:type="paragraph" w:styleId="Paragraphedeliste">
    <w:name w:val="List Paragraph"/>
    <w:basedOn w:val="Normal"/>
    <w:uiPriority w:val="34"/>
    <w:qFormat/>
    <w:rsid w:val="004772A4"/>
    <w:pPr>
      <w:ind w:left="720"/>
      <w:contextualSpacing/>
    </w:pPr>
  </w:style>
  <w:style w:type="character" w:styleId="Accentuationintense">
    <w:name w:val="Intense Emphasis"/>
    <w:basedOn w:val="Policepardfaut"/>
    <w:uiPriority w:val="21"/>
    <w:qFormat/>
    <w:rsid w:val="004772A4"/>
    <w:rPr>
      <w:i/>
      <w:iCs/>
      <w:color w:val="0F4761" w:themeColor="accent1" w:themeShade="BF"/>
    </w:rPr>
  </w:style>
  <w:style w:type="paragraph" w:styleId="Citationintense">
    <w:name w:val="Intense Quote"/>
    <w:basedOn w:val="Normal"/>
    <w:next w:val="Normal"/>
    <w:link w:val="CitationintenseCar"/>
    <w:uiPriority w:val="30"/>
    <w:qFormat/>
    <w:rsid w:val="00477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72A4"/>
    <w:rPr>
      <w:i/>
      <w:iCs/>
      <w:color w:val="0F4761" w:themeColor="accent1" w:themeShade="BF"/>
    </w:rPr>
  </w:style>
  <w:style w:type="character" w:styleId="Rfrenceintense">
    <w:name w:val="Intense Reference"/>
    <w:basedOn w:val="Policepardfaut"/>
    <w:uiPriority w:val="32"/>
    <w:qFormat/>
    <w:rsid w:val="004772A4"/>
    <w:rPr>
      <w:b/>
      <w:bCs/>
      <w:smallCaps/>
      <w:color w:val="0F4761" w:themeColor="accent1" w:themeShade="BF"/>
      <w:spacing w:val="5"/>
    </w:rPr>
  </w:style>
  <w:style w:type="paragraph" w:customStyle="1" w:styleId="paragraph">
    <w:name w:val="paragraph"/>
    <w:basedOn w:val="Normal"/>
    <w:rsid w:val="004772A4"/>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character" w:customStyle="1" w:styleId="normaltextrun">
    <w:name w:val="normaltextrun"/>
    <w:basedOn w:val="Policepardfaut"/>
    <w:rsid w:val="004772A4"/>
  </w:style>
  <w:style w:type="character" w:customStyle="1" w:styleId="eop">
    <w:name w:val="eop"/>
    <w:basedOn w:val="Policepardfaut"/>
    <w:rsid w:val="004772A4"/>
  </w:style>
  <w:style w:type="paragraph" w:styleId="Notedebasdepage">
    <w:name w:val="footnote text"/>
    <w:basedOn w:val="Normal"/>
    <w:link w:val="NotedebasdepageCar"/>
    <w:uiPriority w:val="99"/>
    <w:semiHidden/>
    <w:unhideWhenUsed/>
    <w:rsid w:val="00D7094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70947"/>
    <w:rPr>
      <w:sz w:val="20"/>
      <w:szCs w:val="20"/>
    </w:rPr>
  </w:style>
  <w:style w:type="character" w:styleId="Appelnotedebasdep">
    <w:name w:val="footnote reference"/>
    <w:basedOn w:val="Policepardfaut"/>
    <w:uiPriority w:val="99"/>
    <w:semiHidden/>
    <w:unhideWhenUsed/>
    <w:rsid w:val="00D70947"/>
    <w:rPr>
      <w:vertAlign w:val="superscript"/>
    </w:rPr>
  </w:style>
  <w:style w:type="paragraph" w:styleId="En-tte">
    <w:name w:val="header"/>
    <w:basedOn w:val="Normal"/>
    <w:link w:val="En-tteCar"/>
    <w:uiPriority w:val="99"/>
    <w:unhideWhenUsed/>
    <w:rsid w:val="00CE6245"/>
    <w:pPr>
      <w:tabs>
        <w:tab w:val="center" w:pos="4536"/>
        <w:tab w:val="right" w:pos="9072"/>
      </w:tabs>
      <w:spacing w:after="0" w:line="240" w:lineRule="auto"/>
    </w:pPr>
  </w:style>
  <w:style w:type="character" w:customStyle="1" w:styleId="En-tteCar">
    <w:name w:val="En-tête Car"/>
    <w:basedOn w:val="Policepardfaut"/>
    <w:link w:val="En-tte"/>
    <w:uiPriority w:val="99"/>
    <w:rsid w:val="00CE6245"/>
  </w:style>
  <w:style w:type="paragraph" w:styleId="Pieddepage">
    <w:name w:val="footer"/>
    <w:basedOn w:val="Normal"/>
    <w:link w:val="PieddepageCar"/>
    <w:uiPriority w:val="99"/>
    <w:unhideWhenUsed/>
    <w:rsid w:val="00CE62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6245"/>
  </w:style>
  <w:style w:type="paragraph" w:styleId="Lgende">
    <w:name w:val="caption"/>
    <w:basedOn w:val="Normal"/>
    <w:next w:val="Normal"/>
    <w:uiPriority w:val="35"/>
    <w:unhideWhenUsed/>
    <w:qFormat/>
    <w:rsid w:val="009E2899"/>
    <w:pPr>
      <w:spacing w:after="200" w:line="240" w:lineRule="auto"/>
    </w:pPr>
    <w:rPr>
      <w:i/>
      <w:iCs/>
      <w:color w:val="0E2841" w:themeColor="text2"/>
      <w:sz w:val="18"/>
      <w:szCs w:val="18"/>
    </w:rPr>
  </w:style>
  <w:style w:type="paragraph" w:styleId="Bibliographie">
    <w:name w:val="Bibliography"/>
    <w:basedOn w:val="Normal"/>
    <w:next w:val="Normal"/>
    <w:uiPriority w:val="37"/>
    <w:unhideWhenUsed/>
    <w:rsid w:val="00075FFF"/>
    <w:pPr>
      <w:spacing w:after="240" w:line="240" w:lineRule="auto"/>
      <w:ind w:left="720" w:hanging="720"/>
    </w:pPr>
  </w:style>
  <w:style w:type="paragraph" w:styleId="NormalWeb">
    <w:name w:val="Normal (Web)"/>
    <w:basedOn w:val="Normal"/>
    <w:uiPriority w:val="99"/>
    <w:semiHidden/>
    <w:unhideWhenUsed/>
    <w:rsid w:val="00984592"/>
    <w:rPr>
      <w:rFonts w:ascii="Times New Roman" w:hAnsi="Times New Roman" w:cs="Times New Roman"/>
    </w:rPr>
  </w:style>
  <w:style w:type="character" w:styleId="Lienhypertexte">
    <w:name w:val="Hyperlink"/>
    <w:basedOn w:val="Policepardfaut"/>
    <w:uiPriority w:val="99"/>
    <w:unhideWhenUsed/>
    <w:rsid w:val="002E37E1"/>
    <w:rPr>
      <w:color w:val="467886" w:themeColor="hyperlink"/>
      <w:u w:val="single"/>
    </w:rPr>
  </w:style>
  <w:style w:type="character" w:styleId="Mentionnonrsolue">
    <w:name w:val="Unresolved Mention"/>
    <w:basedOn w:val="Policepardfaut"/>
    <w:uiPriority w:val="99"/>
    <w:semiHidden/>
    <w:unhideWhenUsed/>
    <w:rsid w:val="002E3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rts.ch/info/economie/14379498-les-marges-spectaculaires-des-grands-distributeurs-coop-et-migro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3474C-96DF-4B4C-9D4E-FA75F15B2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4415</TotalTime>
  <Pages>22</Pages>
  <Words>22288</Words>
  <Characters>122584</Characters>
  <Application>Microsoft Office Word</Application>
  <DocSecurity>0</DocSecurity>
  <Lines>1021</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Celal Güney</dc:creator>
  <cp:keywords/>
  <dc:description/>
  <cp:lastModifiedBy>Celal Güney</cp:lastModifiedBy>
  <cp:revision>129</cp:revision>
  <cp:lastPrinted>2026-08-13T08:29:00Z</cp:lastPrinted>
  <dcterms:created xsi:type="dcterms:W3CDTF">2026-07-13T08:57:00Z</dcterms:created>
  <dcterms:modified xsi:type="dcterms:W3CDTF">2026-08-13T08:47:00Z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id="ko1GkIEF"/&gt;&lt;style id="http://www.zotero.org/styles/chicago-author-date" locale="en-US" hasBibliography="1" bibliographyStyleHasBeenSet="1"/&gt;&lt;prefs&gt;&lt;pref name="fieldType" value="Field"/&gt;&lt;/prefs&gt;&lt;/d</vt:lpwstr>
  </property>
  <property fmtid="{D5CDD505-2E9C-101B-9397-08002B2CF9AE}" pid="3" name="ZOTERO_PREF_2">
    <vt:lpwstr>ata&gt;</vt:lpwstr>
  </property>
</Properties>
</file>