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57548B">
      <w:pPr>
        <w:pStyle w:val="Titre1"/>
        <w:jc w:val="center"/>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CF16D5" w:rsidRDefault="00D70947" w:rsidP="00D70947">
      <w:pPr>
        <w:pStyle w:val="paragraph"/>
        <w:spacing w:before="360" w:beforeAutospacing="0" w:after="80" w:afterAutospacing="0"/>
        <w:jc w:val="center"/>
        <w:textAlignment w:val="baseline"/>
        <w:rPr>
          <w:rStyle w:val="normaltextrun"/>
          <w:rFonts w:eastAsiaTheme="majorEastAsia"/>
        </w:rPr>
      </w:pPr>
      <w:r w:rsidRPr="00CF16D5">
        <w:rPr>
          <w:rStyle w:val="normaltextrun"/>
          <w:rFonts w:eastAsiaTheme="majorEastAsia"/>
        </w:rPr>
        <w:t>Celâl Güney</w:t>
      </w:r>
      <w:r w:rsidRPr="00CF16D5">
        <w:rPr>
          <w:rStyle w:val="Appelnotedebasdep"/>
          <w:rFonts w:eastAsiaTheme="majorEastAsia"/>
        </w:rPr>
        <w:footnoteReference w:id="1"/>
      </w:r>
      <w:r w:rsidRPr="00CF16D5">
        <w:rPr>
          <w:rStyle w:val="normaltextrun"/>
          <w:rFonts w:eastAsiaTheme="majorEastAsia"/>
        </w:rPr>
        <w:tab/>
        <w:t xml:space="preserve"> Guillaume Dreyer</w:t>
      </w:r>
      <w:r w:rsidRPr="00CF16D5">
        <w:rPr>
          <w:rStyle w:val="Appelnotedebasdep"/>
          <w:rFonts w:eastAsiaTheme="majorEastAsia"/>
        </w:rPr>
        <w:footnoteReference w:id="2"/>
      </w:r>
      <w:r w:rsidRPr="00CF16D5">
        <w:rPr>
          <w:rStyle w:val="normaltextrun"/>
          <w:rFonts w:eastAsiaTheme="majorEastAsia"/>
        </w:rPr>
        <w:tab/>
        <w:t>Michalis Nikiforos</w:t>
      </w:r>
      <w:r w:rsidRPr="00CF16D5">
        <w:rPr>
          <w:rStyle w:val="Appelnotedebasdep"/>
          <w:rFonts w:eastAsiaTheme="majorEastAsia"/>
        </w:rPr>
        <w:footnoteReference w:id="3"/>
      </w:r>
    </w:p>
    <w:p w14:paraId="7EACE994" w14:textId="27F648F4" w:rsidR="004772A4" w:rsidRPr="004D6AD9" w:rsidRDefault="004772A4" w:rsidP="004D6AD9">
      <w:pPr>
        <w:pStyle w:val="Titre1"/>
        <w:rPr>
          <w:rStyle w:val="eop"/>
          <w:rFonts w:ascii="Times New Roman" w:hAnsi="Times New Roman" w:cs="Times New Roman"/>
          <w:lang w:val="en-US"/>
        </w:rPr>
      </w:pPr>
      <w:r w:rsidRPr="00012DD0">
        <w:rPr>
          <w:rStyle w:val="normaltextrun"/>
          <w:rFonts w:ascii="Times New Roman" w:hAnsi="Times New Roman" w:cs="Times New Roman"/>
          <w:color w:val="0F4761"/>
          <w:lang w:val="en-US"/>
        </w:rPr>
        <w:t>Abstract</w:t>
      </w:r>
      <w:r w:rsidRPr="00012DD0">
        <w:rPr>
          <w:rStyle w:val="eop"/>
          <w:rFonts w:ascii="Times New Roman" w:hAnsi="Times New Roman" w:cs="Times New Roman"/>
          <w:color w:val="0F4761"/>
          <w:lang w:val="en-US"/>
        </w:rPr>
        <w:t> </w:t>
      </w:r>
    </w:p>
    <w:p w14:paraId="12F1A7D0" w14:textId="697A8BE3" w:rsidR="00DC67B1" w:rsidRDefault="00DC67B1" w:rsidP="004772A4">
      <w:pPr>
        <w:pStyle w:val="paragraph"/>
        <w:spacing w:before="0" w:beforeAutospacing="0" w:after="160" w:afterAutospacing="0"/>
        <w:jc w:val="both"/>
        <w:textAlignment w:val="baseline"/>
        <w:rPr>
          <w:rStyle w:val="eop"/>
          <w:rFonts w:eastAsiaTheme="majorEastAsia"/>
          <w:lang w:val="en-US"/>
        </w:rPr>
      </w:pPr>
      <w:r>
        <w:rPr>
          <w:rStyle w:val="eop"/>
          <w:rFonts w:eastAsiaTheme="majorEastAsia"/>
          <w:lang w:val="en-US"/>
        </w:rPr>
        <w:t>In the context of more frequent supply shocks, we assess the factors behind the relative resistance to cost-push inflation in Switzerland. We review</w:t>
      </w:r>
      <w:r w:rsidR="004D6AD9">
        <w:rPr>
          <w:rStyle w:val="eop"/>
          <w:rFonts w:eastAsiaTheme="majorEastAsia"/>
          <w:lang w:val="en-US"/>
        </w:rPr>
        <w:t xml:space="preserve"> and assess</w:t>
      </w:r>
      <w:r>
        <w:rPr>
          <w:rStyle w:val="eop"/>
          <w:rFonts w:eastAsiaTheme="majorEastAsia"/>
          <w:lang w:val="en-US"/>
        </w:rPr>
        <w:t xml:space="preserve"> common explanations behind price stability in </w:t>
      </w:r>
      <w:r w:rsidR="00DA2059">
        <w:rPr>
          <w:rStyle w:val="eop"/>
          <w:rFonts w:eastAsiaTheme="majorEastAsia"/>
          <w:lang w:val="en-US"/>
        </w:rPr>
        <w:t>the Swiss economy</w:t>
      </w:r>
      <w:r>
        <w:rPr>
          <w:rStyle w:val="eop"/>
          <w:rFonts w:eastAsiaTheme="majorEastAsia"/>
          <w:lang w:val="en-US"/>
        </w:rPr>
        <w:t xml:space="preserve">, namely the strength of the Swiss franc, the construction of the </w:t>
      </w:r>
      <w:r w:rsidR="00DA2059">
        <w:rPr>
          <w:rStyle w:val="eop"/>
          <w:rFonts w:eastAsiaTheme="majorEastAsia"/>
          <w:lang w:val="en-US"/>
        </w:rPr>
        <w:t>country’s</w:t>
      </w:r>
      <w:r>
        <w:rPr>
          <w:rStyle w:val="eop"/>
          <w:rFonts w:eastAsiaTheme="majorEastAsia"/>
          <w:lang w:val="en-US"/>
        </w:rPr>
        <w:t xml:space="preserve"> consumer price index, the importance of the high share of administered prices, and </w:t>
      </w:r>
      <w:r w:rsidR="004D6AD9">
        <w:rPr>
          <w:rStyle w:val="eop"/>
          <w:rFonts w:eastAsiaTheme="majorEastAsia"/>
          <w:lang w:val="en-US"/>
        </w:rPr>
        <w:t xml:space="preserve">Switzerland’s energy mix and low energy intensity. We find that low inflation in Switzerland is the result of a combination between the regulation of the energy sector, the protection of the domestic agricultural sector and structural change which has improved the energy mix and intensity of the economy. Finally, we show how this combination rests on a socio-political compromise </w:t>
      </w:r>
      <w:r w:rsidR="00345D2C">
        <w:rPr>
          <w:rStyle w:val="eop"/>
          <w:rFonts w:eastAsiaTheme="majorEastAsia"/>
          <w:lang w:val="en-US"/>
        </w:rPr>
        <w:t>within the Swiss dominant social bloc and underline the lines of rupture which could put into question this political equilibrium at the foundation of the so-called “island of high prices” which characterize the Swiss economy since the end of the Bretton Woods system.</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6CF04079" w14:textId="6AD50155" w:rsidR="00B75A8D" w:rsidRPr="006F4A9E" w:rsidRDefault="00014443" w:rsidP="00014443">
      <w:pPr>
        <w:jc w:val="both"/>
        <w:rPr>
          <w:rFonts w:ascii="Times New Roman" w:hAnsi="Times New Roman" w:cs="Times New Roman"/>
          <w:lang w:val="en-US"/>
        </w:rPr>
      </w:pPr>
      <w:r w:rsidRPr="006F4A9E">
        <w:rPr>
          <w:rFonts w:ascii="Times New Roman" w:hAnsi="Times New Roman" w:cs="Times New Roman"/>
          <w:lang w:val="en-US"/>
        </w:rPr>
        <w:t>With the recurrence of large-scale global supply shocks since the Covid-19 crisis such as the war in Ukraine and more recently the closure of the strait of Hormuz, inflation has made a strong return in developed economies</w:t>
      </w:r>
      <w:r w:rsidR="00C87B96">
        <w:rPr>
          <w:rFonts w:ascii="Times New Roman" w:hAnsi="Times New Roman" w:cs="Times New Roman"/>
          <w:lang w:val="en-US"/>
        </w:rPr>
        <w:t xml:space="preserve"> </w:t>
      </w:r>
      <w:r w:rsidR="00C87B96">
        <w:rPr>
          <w:rFonts w:ascii="Times New Roman" w:hAnsi="Times New Roman" w:cs="Times New Roman"/>
          <w:lang w:val="en-US"/>
        </w:rPr>
        <w:fldChar w:fldCharType="begin"/>
      </w:r>
      <w:r w:rsidR="00C87B96">
        <w:rPr>
          <w:rFonts w:ascii="Times New Roman" w:hAnsi="Times New Roman" w:cs="Times New Roman"/>
          <w:lang w:val="en-US"/>
        </w:rPr>
        <w:instrText xml:space="preserve"> ADDIN ZOTERO_ITEM CSL_CITATION {"citationID":"G37maudG","properties":{"formattedCitation":"(Baltensperger 2023; Honohan 2024)","plainCitation":"(Baltensperger 2023; Honohan 2024)","noteIndex":0},"citationItems":[{"id":6396,"uris":["http://zotero.org/groups/6311349/items/TWUJVGCP"],"itemData":{"id":6396,"type":"article-journal","abstract":"For a quarter of a century, the western world has enjoyed a macroeconomic environment characterized by low and stable inflation. Over the last two years, this benign state has dramatically changed. In America and Europe, inflation has resurged with unexpected vigor. Treated at first by central banks and most of their observers as a mere temporary aberration, which would soon fade again without much need for action, it has since assumed a virulence which has forced central banks to tighten their policies much more forcefully than was initially expected. How did all this come about? How are central banks and their monetary policies to be judged?","container-title":"Swiss Journal of Economics and Statistics","DOI":"10.1186/s41937-023-00114-x","ISSN":"2235-6282","issue":"1","journalAbbreviation":"Swiss J Economics Statistics","language":"en","page":"10","source":"Springer Link","title":"The return of inflation","volume":"159","author":[{"family":"Baltensperger","given":"Ernst"}],"issued":{"date-parts":[["2023",6,6]]}}},{"id":6659,"uris":["http://zotero.org/groups/6311349/items/PG4PUGGN"],"itemData":{"id":6659,"type":"article","abstract":"For most of the decade before the COVID-19 pandemic, undershooting rather than overshooting had been the main inflation problem of the European Central Bank (ECB). During 2020, consumer prices in the euro area were falling; by the end of that year, average inflation since the introduction of the euro two decades earlier stood at only 1.6 percent per year. Things began to snowball in 2021. The 12-month inflation rate steadily accelerated. It reached double digits in the final quarter of 2022—more than twice the level it had ever reached since the euro’s introduction in 1999. Four striking features emerge from a review of the unexpected surge in European inflation since 2021: (1) The ECB’s monetary policy response lagged behind that of the US Federal Reserve, reflecting the more gradual evolution of inflation in the euro area and its distinct pattern of causes; (2) the range of inflation rates across different euro area countries has been unprecedented. This largely reflects the differential impact of war-related energy shocks (especially for natural gas piped from Russia) as well as the differential fiscal response by national governments partially insulating consumers from these shocks; (3) not all households were net losers from the inflation, with some benefiting from the fact that inflation reduced the real value of their indebtedness; and (4) the speed with which inflation was returning toward target during 2023 prompted concerns that the ECB’s monetary tightening might have been pushed too far, prolonging the output slowdown.","DOI":"10.2139/ssrn.4875072","genre":"SSRN Scholarly Paper","language":"en","number":"4875072","publisher":"Social Science Research Network","publisher-place":"Rochester, NY","source":"papers.ssrn.com","title":"The Inflation Surge in Europe","URL":"https://papers.ssrn.com/abstract=4875072","author":[{"family":"Honohan","given":"Patrick"}],"accessed":{"date-parts":[["2026",7,7]]},"issued":{"date-parts":[["2024",5,28]]}}}],"schema":"https://github.com/citation-style-language/schema/raw/master/csl-citation.json"} </w:instrText>
      </w:r>
      <w:r w:rsidR="00C87B96">
        <w:rPr>
          <w:rFonts w:ascii="Times New Roman" w:hAnsi="Times New Roman" w:cs="Times New Roman"/>
          <w:lang w:val="en-US"/>
        </w:rPr>
        <w:fldChar w:fldCharType="separate"/>
      </w:r>
      <w:r w:rsidR="00C87B96" w:rsidRPr="00C87B96">
        <w:rPr>
          <w:rFonts w:ascii="Aptos" w:hAnsi="Aptos"/>
          <w:lang w:val="en-US"/>
        </w:rPr>
        <w:t>(Baltensperger 2023; Honohan 2024)</w:t>
      </w:r>
      <w:r w:rsidR="00C87B96">
        <w:rPr>
          <w:rFonts w:ascii="Times New Roman" w:hAnsi="Times New Roman" w:cs="Times New Roman"/>
          <w:lang w:val="en-US"/>
        </w:rPr>
        <w:fldChar w:fldCharType="end"/>
      </w:r>
      <w:r w:rsidRPr="006F4A9E">
        <w:rPr>
          <w:rFonts w:ascii="Times New Roman" w:hAnsi="Times New Roman" w:cs="Times New Roman"/>
          <w:lang w:val="en-US"/>
        </w:rPr>
        <w:t xml:space="preserve">. In the last few years, </w:t>
      </w:r>
      <w:r w:rsidR="003E4351">
        <w:rPr>
          <w:rFonts w:ascii="Times New Roman" w:hAnsi="Times New Roman" w:cs="Times New Roman"/>
          <w:lang w:val="en-US"/>
        </w:rPr>
        <w:t>countries</w:t>
      </w:r>
      <w:r w:rsidRPr="006F4A9E">
        <w:rPr>
          <w:rFonts w:ascii="Times New Roman" w:hAnsi="Times New Roman" w:cs="Times New Roman"/>
          <w:lang w:val="en-US"/>
        </w:rPr>
        <w:t xml:space="preserve">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Swiss prices are indeed among the most stable in the world since the last two decades, with an average annual inflation rate of its national consumer price index of only 0,6% between 2000 and 2025. Among developed economies, only Japan has experienced lower inflation (0,5%), whereas inflation rates usually </w:t>
      </w:r>
      <w:r w:rsidR="00785484" w:rsidRPr="006F4A9E">
        <w:rPr>
          <w:rFonts w:ascii="Times New Roman" w:hAnsi="Times New Roman" w:cs="Times New Roman"/>
          <w:lang w:val="en-US"/>
        </w:rPr>
        <w:lastRenderedPageBreak/>
        <w:t xml:space="preserve">ranged from 1,5% to 2,5% in other </w:t>
      </w:r>
      <w:r w:rsidR="00FA2096" w:rsidRPr="006F4A9E">
        <w:rPr>
          <w:rFonts w:ascii="Times New Roman" w:hAnsi="Times New Roman" w:cs="Times New Roman"/>
          <w:lang w:val="en-US"/>
        </w:rPr>
        <w:t>high-income</w:t>
      </w:r>
      <w:r w:rsidR="00785484" w:rsidRPr="006F4A9E">
        <w:rPr>
          <w:rFonts w:ascii="Times New Roman" w:hAnsi="Times New Roman" w:cs="Times New Roman"/>
          <w:lang w:val="en-US"/>
        </w:rPr>
        <w:t xml:space="preserve"> countries. At the same time, Switzerland has one of the highest price level</w:t>
      </w:r>
      <w:r w:rsidR="00CE6245" w:rsidRPr="006F4A9E">
        <w:rPr>
          <w:rFonts w:ascii="Times New Roman" w:hAnsi="Times New Roman" w:cs="Times New Roman"/>
          <w:lang w:val="en-US"/>
        </w:rPr>
        <w:t>s</w:t>
      </w:r>
      <w:r w:rsidR="00785484" w:rsidRPr="006F4A9E">
        <w:rPr>
          <w:rFonts w:ascii="Times New Roman" w:hAnsi="Times New Roman" w:cs="Times New Roman"/>
          <w:lang w:val="en-US"/>
        </w:rPr>
        <w:t xml:space="preserve"> in the world. Its GDP price index is approximately 60% higher than the EU average and final household expenditure prices are higher by 82% </w:t>
      </w:r>
      <w:r w:rsidR="00785484"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00785484" w:rsidRPr="006F4A9E">
        <w:rPr>
          <w:rFonts w:ascii="Times New Roman" w:hAnsi="Times New Roman" w:cs="Times New Roman"/>
          <w:lang w:val="en-US"/>
        </w:rPr>
        <w:fldChar w:fldCharType="separate"/>
      </w:r>
      <w:r w:rsidR="00C35F3B" w:rsidRPr="00C35F3B">
        <w:rPr>
          <w:rFonts w:ascii="Aptos" w:hAnsi="Aptos"/>
          <w:lang w:val="en-US"/>
        </w:rPr>
        <w:t>(Albouy and Bordes 2026)</w:t>
      </w:r>
      <w:r w:rsidR="00785484" w:rsidRPr="006F4A9E">
        <w:rPr>
          <w:rFonts w:ascii="Times New Roman" w:hAnsi="Times New Roman" w:cs="Times New Roman"/>
          <w:lang w:val="en-US"/>
        </w:rPr>
        <w:fldChar w:fldCharType="end"/>
      </w:r>
      <w:r w:rsidR="003E4351">
        <w:rPr>
          <w:rFonts w:ascii="Times New Roman" w:hAnsi="Times New Roman" w:cs="Times New Roman"/>
          <w:lang w:val="en-US"/>
        </w:rPr>
        <w:t xml:space="preserve">, </w:t>
      </w:r>
      <w:r w:rsidR="000233AD">
        <w:rPr>
          <w:rFonts w:ascii="Times New Roman" w:hAnsi="Times New Roman" w:cs="Times New Roman"/>
          <w:lang w:val="en-US"/>
        </w:rPr>
        <w:t>which contribute to Switzerland being characterized as an “island of high prices” due to its relatively very high price level.</w:t>
      </w:r>
    </w:p>
    <w:p w14:paraId="11FCAECD" w14:textId="58FAE3FD" w:rsidR="00DD2D62"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inflationary pressures.</w:t>
      </w:r>
      <w:r w:rsidR="009F47F8" w:rsidRPr="006F4A9E">
        <w:rPr>
          <w:rFonts w:ascii="Times New Roman" w:hAnsi="Times New Roman" w:cs="Times New Roman"/>
          <w:lang w:val="en-US"/>
        </w:rPr>
        <w:t xml:space="preserve"> </w:t>
      </w:r>
      <w:r w:rsidR="006313A5">
        <w:rPr>
          <w:rFonts w:ascii="Times New Roman" w:hAnsi="Times New Roman" w:cs="Times New Roman"/>
          <w:lang w:val="en-US"/>
        </w:rPr>
        <w:t>Regarding the debates, t</w:t>
      </w:r>
      <w:r w:rsidR="009F47F8" w:rsidRPr="006F4A9E">
        <w:rPr>
          <w:rFonts w:ascii="Times New Roman" w:hAnsi="Times New Roman" w:cs="Times New Roman"/>
          <w:lang w:val="en-US"/>
        </w:rPr>
        <w:t xml:space="preserve">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w:t>
      </w:r>
      <w:r w:rsidR="006313A5">
        <w:rPr>
          <w:rFonts w:ascii="Times New Roman" w:hAnsi="Times New Roman" w:cs="Times New Roman"/>
          <w:lang w:val="en-US"/>
        </w:rPr>
        <w:t>restrictive</w:t>
      </w:r>
      <w:r w:rsidR="00C35F3B">
        <w:rPr>
          <w:rFonts w:ascii="Times New Roman" w:hAnsi="Times New Roman" w:cs="Times New Roman"/>
          <w:lang w:val="en-US"/>
        </w:rPr>
        <w:t xml:space="preserve"> monetary policy to reduce aggregate demand to fight inflation, heterodox economists propose more encompassing set of policies and reforms. </w:t>
      </w:r>
      <w:r w:rsidR="00554F3C">
        <w:rPr>
          <w:rFonts w:ascii="Times New Roman" w:hAnsi="Times New Roman" w:cs="Times New Roman"/>
          <w:lang w:val="en-US"/>
        </w:rPr>
        <w:t xml:space="preserve">Among those policies, price control is arguably the most salient instrument in that regard, as it is considered a relevant measure to </w:t>
      </w:r>
      <w:r w:rsidR="006313A5">
        <w:rPr>
          <w:rFonts w:ascii="Times New Roman" w:hAnsi="Times New Roman" w:cs="Times New Roman"/>
          <w:lang w:val="en-US"/>
        </w:rPr>
        <w:t>contexts in which inflation</w:t>
      </w:r>
      <w:r w:rsidR="00554F3C">
        <w:rPr>
          <w:rFonts w:ascii="Times New Roman" w:hAnsi="Times New Roman" w:cs="Times New Roman"/>
          <w:lang w:val="en-US"/>
        </w:rPr>
        <w:t xml:space="preserve"> </w:t>
      </w:r>
      <w:r w:rsidR="006313A5">
        <w:rPr>
          <w:rFonts w:ascii="Times New Roman" w:hAnsi="Times New Roman" w:cs="Times New Roman"/>
          <w:lang w:val="en-US"/>
        </w:rPr>
        <w:t xml:space="preserve">is </w:t>
      </w:r>
      <w:r w:rsidR="00554F3C">
        <w:rPr>
          <w:rFonts w:ascii="Times New Roman" w:hAnsi="Times New Roman" w:cs="Times New Roman"/>
          <w:lang w:val="en-US"/>
        </w:rPr>
        <w:t>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r w:rsidR="00DD2D62">
        <w:rPr>
          <w:rFonts w:ascii="Times New Roman" w:hAnsi="Times New Roman" w:cs="Times New Roman"/>
          <w:lang w:val="en-US"/>
        </w:rPr>
        <w:t xml:space="preserve"> </w:t>
      </w:r>
      <w:r w:rsidR="00DD2D62" w:rsidRPr="00DD2D62">
        <w:rPr>
          <w:rFonts w:ascii="Times New Roman" w:hAnsi="Times New Roman" w:cs="Times New Roman"/>
          <w:lang w:val="en-US"/>
        </w:rPr>
        <w:t xml:space="preserve">Given the unique characteristics of its institutions and economic policies, Switzerland </w:t>
      </w:r>
      <w:r w:rsidR="00CF16D5">
        <w:rPr>
          <w:rFonts w:ascii="Times New Roman" w:hAnsi="Times New Roman" w:cs="Times New Roman"/>
          <w:lang w:val="en-US"/>
        </w:rPr>
        <w:t xml:space="preserve">thus </w:t>
      </w:r>
      <w:r w:rsidR="00DD2D62" w:rsidRPr="00DD2D62">
        <w:rPr>
          <w:rFonts w:ascii="Times New Roman" w:hAnsi="Times New Roman" w:cs="Times New Roman"/>
          <w:lang w:val="en-US"/>
        </w:rPr>
        <w:t>constitutes a particularly compelling case for assessing inflation stabilization policies</w:t>
      </w:r>
      <w:r w:rsidR="00E43F5C">
        <w:rPr>
          <w:rFonts w:ascii="Times New Roman" w:hAnsi="Times New Roman" w:cs="Times New Roman"/>
          <w:lang w:val="en-US"/>
        </w:rPr>
        <w:t xml:space="preserve">. </w:t>
      </w:r>
    </w:p>
    <w:p w14:paraId="6DEBA3C1" w14:textId="7D89E210"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w:t>
      </w:r>
      <w:r w:rsidR="00281FCA">
        <w:rPr>
          <w:rFonts w:ascii="Times New Roman" w:hAnsi="Times New Roman" w:cs="Times New Roman"/>
          <w:lang w:val="en-US"/>
        </w:rPr>
        <w:t xml:space="preserve">Using the concept of systemically significant prices as well as the results from a Leontief price model, the second section analyzes how price regulation operates in </w:t>
      </w:r>
      <w:r w:rsidR="00A81DA5">
        <w:rPr>
          <w:rFonts w:ascii="Times New Roman" w:hAnsi="Times New Roman" w:cs="Times New Roman"/>
          <w:lang w:val="en-US"/>
        </w:rPr>
        <w:t xml:space="preserve">key </w:t>
      </w:r>
      <w:r w:rsidR="00281FCA">
        <w:rPr>
          <w:rFonts w:ascii="Times New Roman" w:hAnsi="Times New Roman" w:cs="Times New Roman"/>
          <w:lang w:val="en-US"/>
        </w:rPr>
        <w:t xml:space="preserve">systemically significant sectors of the Swiss economy, namely wholesale trade and retail; </w:t>
      </w:r>
      <w:r w:rsidR="00A81DA5">
        <w:rPr>
          <w:rFonts w:ascii="Times New Roman" w:hAnsi="Times New Roman" w:cs="Times New Roman"/>
          <w:lang w:val="en-US"/>
        </w:rPr>
        <w:t>real estate; health and energy. Finally, we discuss what are the socio-political underpinnings of price regulation by exploring how the configuration of the different Swiss social blocs have shaped price administration.</w:t>
      </w:r>
    </w:p>
    <w:p w14:paraId="5E5B3F24" w14:textId="107C1DD1" w:rsidR="007C1001" w:rsidRPr="007C1001" w:rsidRDefault="007C1001" w:rsidP="007C1001">
      <w:pPr>
        <w:pStyle w:val="Titre1"/>
        <w:rPr>
          <w:lang w:val="en-US"/>
        </w:rPr>
      </w:pPr>
      <w:r>
        <w:rPr>
          <w:lang w:val="en-US"/>
        </w:rPr>
        <w:t>Literature Review</w:t>
      </w:r>
    </w:p>
    <w:p w14:paraId="253F78DC" w14:textId="128DB206" w:rsidR="00EB01A0" w:rsidRDefault="007C1001" w:rsidP="00766BC6">
      <w:pPr>
        <w:jc w:val="both"/>
        <w:rPr>
          <w:rFonts w:ascii="Times New Roman" w:hAnsi="Times New Roman" w:cs="Times New Roman"/>
          <w:lang w:val="en-US"/>
        </w:rPr>
      </w:pPr>
      <w:r>
        <w:rPr>
          <w:rFonts w:ascii="Times New Roman" w:hAnsi="Times New Roman" w:cs="Times New Roman"/>
          <w:lang w:val="en-US"/>
        </w:rPr>
        <w:t xml:space="preserve"> Due to the diminished importance of inflation in Switzerland, the scientific literature on the determinants of the country’s inflation dynamics is rather scarce. One can nonetheless identify several types of explanations</w:t>
      </w:r>
      <w:r w:rsidR="00EB01A0">
        <w:rPr>
          <w:rFonts w:ascii="Times New Roman" w:hAnsi="Times New Roman" w:cs="Times New Roman"/>
          <w:lang w:val="en-US"/>
        </w:rPr>
        <w:t>: the importance of the strength of the Swiss franc, the construction of the Swiss CPI, and the high share of administered prices</w:t>
      </w:r>
      <w:r w:rsidR="006313A5">
        <w:rPr>
          <w:rFonts w:ascii="Times New Roman" w:hAnsi="Times New Roman" w:cs="Times New Roman"/>
          <w:lang w:val="en-US"/>
        </w:rPr>
        <w:t xml:space="preserve">. </w:t>
      </w:r>
    </w:p>
    <w:p w14:paraId="6E140B5B" w14:textId="75DC7348" w:rsidR="00766BC6" w:rsidRDefault="006313A5" w:rsidP="00766BC6">
      <w:pPr>
        <w:jc w:val="both"/>
        <w:rPr>
          <w:rFonts w:ascii="Times New Roman" w:hAnsi="Times New Roman" w:cs="Times New Roman"/>
          <w:lang w:val="en-US"/>
        </w:rPr>
      </w:pPr>
      <w:r>
        <w:rPr>
          <w:rFonts w:ascii="Times New Roman" w:hAnsi="Times New Roman" w:cs="Times New Roman"/>
          <w:lang w:val="en-US"/>
        </w:rPr>
        <w:t xml:space="preserve">The first type of explanation, and surely the most widespread one, associates low inflation rates to the strength of the Swiss franc which dampens the price of imported goods. </w:t>
      </w:r>
      <w:r w:rsidR="00E33023">
        <w:rPr>
          <w:rFonts w:ascii="Times New Roman" w:hAnsi="Times New Roman" w:cs="Times New Roman"/>
          <w:lang w:val="en-US"/>
        </w:rPr>
        <w:t xml:space="preserve">One of the most </w:t>
      </w:r>
      <w:r w:rsidR="00E33023">
        <w:rPr>
          <w:rFonts w:ascii="Times New Roman" w:hAnsi="Times New Roman" w:cs="Times New Roman"/>
          <w:lang w:val="en-US"/>
        </w:rPr>
        <w:lastRenderedPageBreak/>
        <w:t>salient stylized facts of the Swiss economy is</w:t>
      </w:r>
      <w:r>
        <w:rPr>
          <w:rFonts w:ascii="Times New Roman" w:hAnsi="Times New Roman" w:cs="Times New Roman"/>
          <w:lang w:val="en-US"/>
        </w:rPr>
        <w:t xml:space="preserve"> in effect</w:t>
      </w:r>
      <w:r w:rsidR="00E33023">
        <w:rPr>
          <w:rFonts w:ascii="Times New Roman" w:hAnsi="Times New Roman" w:cs="Times New Roman"/>
          <w:lang w:val="en-US"/>
        </w:rPr>
        <w:t xml:space="preserve"> the structural tendency of the Swiss franc to appreciate since the end of the Bretton Woods system</w:t>
      </w:r>
      <w:r>
        <w:rPr>
          <w:rFonts w:ascii="Times New Roman" w:hAnsi="Times New Roman" w:cs="Times New Roman"/>
          <w:lang w:val="en-US"/>
        </w:rPr>
        <w:t>, a</w:t>
      </w:r>
      <w:r w:rsidR="00E33023">
        <w:rPr>
          <w:rFonts w:ascii="Times New Roman" w:hAnsi="Times New Roman" w:cs="Times New Roman"/>
          <w:lang w:val="en-US"/>
        </w:rPr>
        <w:t xml:space="preserve"> tendency </w:t>
      </w:r>
      <w:r>
        <w:rPr>
          <w:rFonts w:ascii="Times New Roman" w:hAnsi="Times New Roman" w:cs="Times New Roman"/>
          <w:lang w:val="en-US"/>
        </w:rPr>
        <w:t xml:space="preserve">which </w:t>
      </w:r>
      <w:r w:rsidR="00E33023">
        <w:rPr>
          <w:rFonts w:ascii="Times New Roman" w:hAnsi="Times New Roman" w:cs="Times New Roman"/>
          <w:lang w:val="en-US"/>
        </w:rPr>
        <w:t xml:space="preserve">reflects the country’s </w:t>
      </w:r>
      <w:r w:rsidR="004304AD">
        <w:rPr>
          <w:rFonts w:ascii="Times New Roman" w:hAnsi="Times New Roman" w:cs="Times New Roman"/>
          <w:lang w:val="en-US"/>
        </w:rPr>
        <w:t>high</w:t>
      </w:r>
      <w:r w:rsidR="00E33023">
        <w:rPr>
          <w:rFonts w:ascii="Times New Roman" w:hAnsi="Times New Roman" w:cs="Times New Roman"/>
          <w:lang w:val="en-US"/>
        </w:rPr>
        <w:t xml:space="preserve"> competitiveness of its export-oriented industries which creates a </w:t>
      </w:r>
      <w:r w:rsidR="004304AD">
        <w:rPr>
          <w:rFonts w:ascii="Times New Roman" w:hAnsi="Times New Roman" w:cs="Times New Roman"/>
          <w:lang w:val="en-US"/>
        </w:rPr>
        <w:t>sustained</w:t>
      </w:r>
      <w:r w:rsidR="00E33023">
        <w:rPr>
          <w:rFonts w:ascii="Times New Roman" w:hAnsi="Times New Roman" w:cs="Times New Roman"/>
          <w:lang w:val="en-US"/>
        </w:rPr>
        <w:t xml:space="preserve"> international demand for Swiss franc</w:t>
      </w:r>
      <w:r w:rsidR="004304AD">
        <w:rPr>
          <w:rFonts w:ascii="Times New Roman" w:hAnsi="Times New Roman" w:cs="Times New Roman"/>
          <w:lang w:val="en-US"/>
        </w:rPr>
        <w:t>s</w:t>
      </w:r>
      <w:r w:rsidR="00E33023">
        <w:rPr>
          <w:rFonts w:ascii="Times New Roman" w:hAnsi="Times New Roman" w:cs="Times New Roman"/>
          <w:lang w:val="en-US"/>
        </w:rPr>
        <w:t xml:space="preserve"> </w:t>
      </w:r>
      <w:r w:rsidR="00E33023">
        <w:rPr>
          <w:rFonts w:ascii="Times New Roman" w:hAnsi="Times New Roman" w:cs="Times New Roman"/>
          <w:lang w:val="en-US"/>
        </w:rPr>
        <w:fldChar w:fldCharType="begin"/>
      </w:r>
      <w:r w:rsidR="00E33023">
        <w:rPr>
          <w:rFonts w:ascii="Times New Roman" w:hAnsi="Times New Roman" w:cs="Times New Roman"/>
          <w:lang w:val="en-US"/>
        </w:rPr>
        <w:instrText xml:space="preserve"> ADDIN ZOTERO_ITEM CSL_CITATION {"citationID":"7eD0wysV","properties":{"formattedCitation":"(Reynard 2009; Vallet 2016)","plainCitation":"(Reynard 2009; Vallet 2016)","noteIndex":0},"citationItems":[{"id":6623,"uris":["http://zotero.org/groups/6311349/items/P5HC7CL8"],"itemData":{"id":6623,"type":"article-journal","container-title":"Aussenwirtschaft","issue":"3","page":"335–363","publisher":"St. Gallen: Universität St. Gallen, Schweizerisches Institut für …","source":"Google Scholar","title":"What drives the Swiss franc?","volume":"64","author":[{"family":"Reynard","given":"Samuel"}],"issued":{"date-parts":[["2009"]]}}},{"id":6615,"uris":["http://zotero.org/groups/6311349/items/RXN2TV3A"],"itemData":{"id":6615,"type":"article-journal","abstract":"The case of Switzerland appears to be unique with regards to the European economic and monetary integration process, which began in 1957: although the country has had close and growing links with the European Union (EU) over time, it does not want to access full membership. Even though this situation of high integration without full membership entails certain constraints, it is also interesting for Switzerland in many respects. In particular, it allows the country to preserve the sovereignty of its money, which is the backbone of Switzerland’s modern existence. That is why I consider that the Swiss Franc is at the core of Switzerland’s European stance.","container-title":"Research in International Business and Finance","DOI":"10.1016/j.ribaf.2016.03.017","ISSN":"0275-5319","journalAbbreviation":"Research in International Business and Finance","page":"35-44","source":"ScienceDirect","title":"The role of the swiss franc in Switzerland’s European stance","volume":"38","author":[{"family":"Vallet","given":"Guillaume"}],"issued":{"date-parts":[["2016",9,1]]}}}],"schema":"https://github.com/citation-style-language/schema/raw/master/csl-citation.json"} </w:instrText>
      </w:r>
      <w:r w:rsidR="00E33023">
        <w:rPr>
          <w:rFonts w:ascii="Times New Roman" w:hAnsi="Times New Roman" w:cs="Times New Roman"/>
          <w:lang w:val="en-US"/>
        </w:rPr>
        <w:fldChar w:fldCharType="separate"/>
      </w:r>
      <w:r w:rsidR="00E33023" w:rsidRPr="00E33023">
        <w:rPr>
          <w:rFonts w:ascii="Aptos" w:hAnsi="Aptos"/>
          <w:lang w:val="en-US"/>
        </w:rPr>
        <w:t>(Reynard 2009; Vallet 2016)</w:t>
      </w:r>
      <w:r w:rsidR="00E33023">
        <w:rPr>
          <w:rFonts w:ascii="Times New Roman" w:hAnsi="Times New Roman" w:cs="Times New Roman"/>
          <w:lang w:val="en-US"/>
        </w:rPr>
        <w:fldChar w:fldCharType="end"/>
      </w:r>
      <w:r w:rsidR="00E33023">
        <w:rPr>
          <w:rFonts w:ascii="Times New Roman" w:hAnsi="Times New Roman" w:cs="Times New Roman"/>
          <w:lang w:val="en-US"/>
        </w:rPr>
        <w:t xml:space="preserve">. Another </w:t>
      </w:r>
      <w:r>
        <w:rPr>
          <w:rFonts w:ascii="Times New Roman" w:hAnsi="Times New Roman" w:cs="Times New Roman"/>
          <w:lang w:val="en-US"/>
        </w:rPr>
        <w:t>variant of this explanation</w:t>
      </w:r>
      <w:r w:rsidR="007C1001">
        <w:rPr>
          <w:rFonts w:ascii="Times New Roman" w:hAnsi="Times New Roman" w:cs="Times New Roman"/>
          <w:lang w:val="en-US"/>
        </w:rPr>
        <w:t xml:space="preserve"> resides in the status of the Swiss franc as a </w:t>
      </w:r>
      <w:r w:rsidR="00012DD0">
        <w:rPr>
          <w:rFonts w:ascii="Times New Roman" w:hAnsi="Times New Roman" w:cs="Times New Roman"/>
          <w:lang w:val="en-US"/>
        </w:rPr>
        <w:t xml:space="preserve">strong </w:t>
      </w:r>
      <w:r w:rsidR="007C1001">
        <w:rPr>
          <w:rFonts w:ascii="Times New Roman" w:hAnsi="Times New Roman" w:cs="Times New Roman"/>
          <w:lang w:val="en-US"/>
        </w:rPr>
        <w:t>safe-haven currency.</w:t>
      </w:r>
      <w:r w:rsidR="00012DD0">
        <w:rPr>
          <w:rFonts w:ascii="Times New Roman" w:hAnsi="Times New Roman" w:cs="Times New Roman"/>
          <w:lang w:val="en-US"/>
        </w:rPr>
        <w:t xml:space="preserve"> The Swiss franc is indeed considered as one of the most sought-after assets in times of financial and economic crisis </w:t>
      </w:r>
      <w:r w:rsidR="00012DD0">
        <w:rPr>
          <w:rFonts w:ascii="Times New Roman" w:hAnsi="Times New Roman" w:cs="Times New Roman"/>
          <w:lang w:val="en-US"/>
        </w:rPr>
        <w:fldChar w:fldCharType="begin"/>
      </w:r>
      <w:r w:rsidR="00012DD0">
        <w:rPr>
          <w:rFonts w:ascii="Times New Roman" w:hAnsi="Times New Roman" w:cs="Times New Roman"/>
          <w:lang w:val="en-US"/>
        </w:rPr>
        <w:instrText xml:space="preserve"> ADDIN ZOTERO_ITEM CSL_CITATION {"citationID":"j1Z4ZU9l","properties":{"formattedCitation":"(Fatum and Yamamoto 2016; Lee 2017)","plainCitation":"(Fatum and Yamamoto 2016; Lee 2017)","noteIndex":0},"citationItems":[{"id":6630,"uris":["http://zotero.org/groups/6311349/items/TL76UYFZ"],"itemData":{"id":6630,"type":"article-journal","abstract":"We investigate intra-safe haven currency behavior during the recent global financial crisis. We first assess which safe haven currency is the “safest”. We then use non-temporal threshold analysis to investigate whether intra-safe haven currency behavior changes as market uncertainty increases. We find that the JPY is the “safest” of safe haven currencies and that only the JPY appreciates as market uncertainty increases regardless of the prevailing level of uncertainty. Our results may have important implications for central banks optimizing their relative composition of international currency reserve holdings with respect to returns in USD terms and for foreign currency market investors in general.","collection-title":"The New Normal in the Post-Crisis Era","container-title":"Journal of International Money and Finance","DOI":"10.1016/j.jimonfin.2015.12.007","ISSN":"0261-5606","journalAbbreviation":"Journal of International Money and Finance","page":"49-64","source":"ScienceDirect","title":"Intra-safe haven currency behavior during the global financial crisis","volume":"66","author":[{"family":"Fatum","given":"Rasmus"},{"family":"Yamamoto","given":"Yohei"}],"issued":{"date-parts":[["2016",9,1]]}}},{"id":6627,"uris":["http://zotero.org/groups/6311349/items/6ZV6WD2B"],"itemData":{"id":6627,"type":"article-journal","abstract":"This paper attempts to empirically identify strong safe havens among six currencies: the Swiss franc, Japanese yen, British pound, euro, Canadian dollar and Norwegian krone. Using Markov regime-switching vector autoregressive models, we test whether the currencies are negatively related to risky assets and whether the negative relation is stronger in times of crisis than in times of growth. We find that (1) the Swiss franc and Japanese yen qualify as strong safe havens, and (2) the other currencies qualify as “equity-like” or risky currencies.","container-title":"Review of International Economics","DOI":"10.1111/roie.12289","ISSN":"1467-9396","issue":"4","language":"en","license":"© 2017 John Wiley &amp; Sons Ltd","note":"_eprint: https://onlinelibrary.wiley.com/doi/pdf/10.1111/roie.12289","page":"924-947","source":"Wiley Online Library","title":"Safe-haven currency: An empirical identification","title-short":"Safe-haven currency","volume":"25","author":[{"family":"Lee","given":"Kang-Soek"}],"issued":{"date-parts":[["2017"]]}}}],"schema":"https://github.com/citation-style-language/schema/raw/master/csl-citation.json"} </w:instrText>
      </w:r>
      <w:r w:rsidR="00012DD0">
        <w:rPr>
          <w:rFonts w:ascii="Times New Roman" w:hAnsi="Times New Roman" w:cs="Times New Roman"/>
          <w:lang w:val="en-US"/>
        </w:rPr>
        <w:fldChar w:fldCharType="separate"/>
      </w:r>
      <w:r w:rsidR="00012DD0" w:rsidRPr="00012DD0">
        <w:rPr>
          <w:rFonts w:ascii="Aptos" w:hAnsi="Aptos"/>
          <w:lang w:val="en-US"/>
        </w:rPr>
        <w:t>(Fatum and Yamamoto 2016; Lee 2017)</w:t>
      </w:r>
      <w:r w:rsidR="00012DD0">
        <w:rPr>
          <w:rFonts w:ascii="Times New Roman" w:hAnsi="Times New Roman" w:cs="Times New Roman"/>
          <w:lang w:val="en-US"/>
        </w:rPr>
        <w:fldChar w:fldCharType="end"/>
      </w:r>
      <w:r w:rsidR="00012DD0">
        <w:rPr>
          <w:rFonts w:ascii="Times New Roman" w:hAnsi="Times New Roman" w:cs="Times New Roman"/>
          <w:lang w:val="en-US"/>
        </w:rPr>
        <w:t>.</w:t>
      </w:r>
      <w:r w:rsidR="00E54D69">
        <w:rPr>
          <w:rFonts w:ascii="Times New Roman" w:hAnsi="Times New Roman" w:cs="Times New Roman"/>
          <w:lang w:val="en-US"/>
        </w:rPr>
        <w:t xml:space="preserve"> </w:t>
      </w:r>
      <w:r w:rsidR="00E54D69">
        <w:rPr>
          <w:rFonts w:ascii="Times New Roman" w:hAnsi="Times New Roman" w:cs="Times New Roman"/>
          <w:lang w:val="en-US"/>
        </w:rPr>
        <w:fldChar w:fldCharType="begin"/>
      </w:r>
      <w:r w:rsidR="00FD583F">
        <w:rPr>
          <w:rFonts w:ascii="Times New Roman" w:hAnsi="Times New Roman" w:cs="Times New Roman"/>
          <w:lang w:val="en-US"/>
        </w:rPr>
        <w:instrText xml:space="preserve"> ADDIN ZOTERO_ITEM CSL_CITATION {"citationID":"4IBWDFAi","properties":{"formattedCitation":"(Baltensperger and Kugler 2016)","plainCitation":"(Baltensperger and Kugler 2016)","dontUpdate":true,"noteIndex":0},"citationItems":[{"id":6474,"uris":["http://zotero.org/groups/6311349/items/EQMH2ABU"],"itemData":{"id":6474,"type":"article-journal","abstract":"An empirical analysis of international interest rates and of the behavior of the exchange rate of the Swiss franc since 1850 leads to the conclusion that World War I marks the origin of the strong currency and safe haven status of the Swiss franc. Before World War I, interest rates point to a weakness of the Swiss currency against the pound, the guilder and French franc (from 1881 to 1913) that is shared with the German mark. Thereafter, we see the pattern of the Swiss interest rate island develop and become especially pronounced during the Bretton Woods years. Deviations from metallic parities confirm these findings. For the period after World War I, we establish a strong and stable real and nominal trend appreciation against the pound and the dollar that reflects, to a sizeable extent, inflation differentials.","container-title":"Aussenwirtschaft","ISSN":"0004-8216","issue":"2","language":"eng","license":"http://www.econstor.eu/dspace/Nutzungsbedingungen","page":"1-30","publisher":"St.Gallen: Universität St.Gallen, Schweizerisches Institut für Aussenwirtschaft und Angewandte Wirtschaftsforschung (SIAW-HSG)","source":"www.econstor.eu","title":"The historical origins of the safe haven status of the Swiss franc","volume":"67","author":[{"family":"Baltensperger","given":"Ernst"},{"family":"Kugler","given":"Peter"}],"issued":{"date-parts":[["2016"]]}}}],"schema":"https://github.com/citation-style-language/schema/raw/master/csl-citation.json"} </w:instrText>
      </w:r>
      <w:r w:rsidR="00E54D69">
        <w:rPr>
          <w:rFonts w:ascii="Times New Roman" w:hAnsi="Times New Roman" w:cs="Times New Roman"/>
          <w:lang w:val="en-US"/>
        </w:rPr>
        <w:fldChar w:fldCharType="separate"/>
      </w:r>
      <w:r w:rsidR="00E54D69" w:rsidRPr="00E54D69">
        <w:rPr>
          <w:rFonts w:ascii="Aptos" w:hAnsi="Aptos"/>
          <w:lang w:val="en-US"/>
        </w:rPr>
        <w:t xml:space="preserve">Baltensperger and Kugler </w:t>
      </w:r>
      <w:r w:rsidR="00E54D69">
        <w:rPr>
          <w:rFonts w:ascii="Aptos" w:hAnsi="Aptos"/>
          <w:lang w:val="en-US"/>
        </w:rPr>
        <w:t>(</w:t>
      </w:r>
      <w:r w:rsidR="00E54D69" w:rsidRPr="00E54D69">
        <w:rPr>
          <w:rFonts w:ascii="Aptos" w:hAnsi="Aptos"/>
          <w:lang w:val="en-US"/>
        </w:rPr>
        <w:t>2016)</w:t>
      </w:r>
      <w:r w:rsidR="00E54D69">
        <w:rPr>
          <w:rFonts w:ascii="Times New Roman" w:hAnsi="Times New Roman" w:cs="Times New Roman"/>
          <w:lang w:val="en-US"/>
        </w:rPr>
        <w:fldChar w:fldCharType="end"/>
      </w:r>
      <w:r w:rsidR="00E54D69">
        <w:rPr>
          <w:rFonts w:ascii="Times New Roman" w:hAnsi="Times New Roman" w:cs="Times New Roman"/>
          <w:lang w:val="en-US"/>
        </w:rPr>
        <w:t xml:space="preserve"> dates the status of the Swiss franc as a safe-haven currency back to the first World War, when this status mirrored Switzerland’s strong political, economic and monetary stability.</w:t>
      </w:r>
      <w:r w:rsidR="007C4BFE">
        <w:rPr>
          <w:rFonts w:ascii="Times New Roman" w:hAnsi="Times New Roman" w:cs="Times New Roman"/>
          <w:lang w:val="en-US"/>
        </w:rPr>
        <w:t xml:space="preserve"> </w:t>
      </w:r>
      <w:r w:rsidR="00C17663">
        <w:rPr>
          <w:rFonts w:ascii="Times New Roman" w:hAnsi="Times New Roman" w:cs="Times New Roman"/>
          <w:lang w:val="en-US"/>
        </w:rPr>
        <w:t xml:space="preserve">For Swiss economic organizations and policy makers, the appreciation of the Swiss franc is considered as </w:t>
      </w:r>
      <w:r w:rsidR="00BC1676">
        <w:rPr>
          <w:rFonts w:ascii="Times New Roman" w:hAnsi="Times New Roman" w:cs="Times New Roman"/>
          <w:lang w:val="en-US"/>
        </w:rPr>
        <w:t xml:space="preserve">a double-edged sword. On the one hand, it represents a threat on the export-oriented industries which fear that an overvalued franc might a negative effect on Swiss exports abroad. This </w:t>
      </w:r>
      <w:r w:rsidR="009538D7">
        <w:rPr>
          <w:rFonts w:ascii="Times New Roman" w:hAnsi="Times New Roman" w:cs="Times New Roman"/>
          <w:lang w:val="en-US"/>
        </w:rPr>
        <w:t xml:space="preserve">fear is also shared by industries </w:t>
      </w:r>
      <w:r w:rsidR="00766BC6">
        <w:rPr>
          <w:rFonts w:ascii="Times New Roman" w:hAnsi="Times New Roman" w:cs="Times New Roman"/>
          <w:lang w:val="en-US"/>
        </w:rPr>
        <w:t>mostly</w:t>
      </w:r>
      <w:r w:rsidR="009538D7">
        <w:rPr>
          <w:rFonts w:ascii="Times New Roman" w:hAnsi="Times New Roman" w:cs="Times New Roman"/>
          <w:lang w:val="en-US"/>
        </w:rPr>
        <w:t xml:space="preserve"> oriented towards the domestic sector such as retail which are afraid that higher relative prices will result in an increase in cross-border shopping, a phenomenon that can be important in Switzerland given its geographical proximity to important European countries with a much lower cost of living </w:t>
      </w:r>
      <w:r w:rsidR="009538D7">
        <w:rPr>
          <w:rFonts w:ascii="Times New Roman" w:hAnsi="Times New Roman" w:cs="Times New Roman"/>
          <w:lang w:val="en-US"/>
        </w:rPr>
        <w:fldChar w:fldCharType="begin"/>
      </w:r>
      <w:r w:rsidR="009538D7">
        <w:rPr>
          <w:rFonts w:ascii="Times New Roman" w:hAnsi="Times New Roman" w:cs="Times New Roman"/>
          <w:lang w:val="en-US"/>
        </w:rPr>
        <w:instrText xml:space="preserve"> ADDIN ZOTERO_ITEM CSL_CITATION {"citationID":"yyYfnqAE","properties":{"formattedCitation":"(Kluser 2025)","plainCitation":"(Kluser 2025)","noteIndex":0},"citationItems":[{"id":6639,"uris":["http://zotero.org/groups/6311349/items/X2AZ3UIB"],"itemData":{"id":6639,"type":"article-journal","abstract":"Cross-border shopping expands product variety and lowers prices for consumers in high-price countries, but it diminishes domestic tax revenues, reduces sales, and shifts demand away from local retailers. Exploiting Switzerland’s COVID-19-induced border closure as a natural experiment, I investigate the socioeconomic implications of cross-border shopping. Linking detailed grocery transaction records for 710,000 households to administrative data, I find that the border closure raises domestic grocery expenditures in border areas by an additional 10.4%. The benefits of cross-border shopping, however, are heterogeneous, and larger and lower-income households exhibit a particularly strong propensity to shop abroad. Based on these patterns, I estimate an annual loss of 1.5 billion Swiss francs in domestic grocery sales, equivalent to 3.8% of the total market.","container-title":"Swiss Journal of Economics and Statistics","DOI":"10.1186/s41937-025-00141-w","ISSN":"2235-6282","issue":"1","journalAbbreviation":"Swiss J Economics Statistics","language":"en","page":"9","source":"Springer Link","title":"Cross-border shopping: evidence from household transaction records","title-short":"Cross-border shopping","volume":"161","author":[{"family":"Kluser","given":"Frédéric"}],"issued":{"date-parts":[["2025",9,2]]}}}],"schema":"https://github.com/citation-style-language/schema/raw/master/csl-citation.json"} </w:instrText>
      </w:r>
      <w:r w:rsidR="009538D7">
        <w:rPr>
          <w:rFonts w:ascii="Times New Roman" w:hAnsi="Times New Roman" w:cs="Times New Roman"/>
          <w:lang w:val="en-US"/>
        </w:rPr>
        <w:fldChar w:fldCharType="separate"/>
      </w:r>
      <w:r w:rsidR="009538D7" w:rsidRPr="009538D7">
        <w:rPr>
          <w:rFonts w:ascii="Aptos" w:hAnsi="Aptos"/>
          <w:lang w:val="en-US"/>
        </w:rPr>
        <w:t>(Kluser 2025)</w:t>
      </w:r>
      <w:r w:rsidR="009538D7">
        <w:rPr>
          <w:rFonts w:ascii="Times New Roman" w:hAnsi="Times New Roman" w:cs="Times New Roman"/>
          <w:lang w:val="en-US"/>
        </w:rPr>
        <w:fldChar w:fldCharType="end"/>
      </w:r>
      <w:r w:rsidR="009538D7">
        <w:rPr>
          <w:rFonts w:ascii="Times New Roman" w:hAnsi="Times New Roman" w:cs="Times New Roman"/>
          <w:lang w:val="en-US"/>
        </w:rPr>
        <w:t xml:space="preserve">. On the other hand, a stronger currency implies cheaper imports and can thus help to mitigate inflation, </w:t>
      </w:r>
      <w:r w:rsidR="009538D7" w:rsidRPr="009538D7">
        <w:rPr>
          <w:rFonts w:ascii="Times New Roman" w:hAnsi="Times New Roman" w:cs="Times New Roman"/>
          <w:lang w:val="en-US"/>
        </w:rPr>
        <w:t>especially since Switzerland is a small open economy with few natural resources and</w:t>
      </w:r>
      <w:r w:rsidR="009538D7">
        <w:rPr>
          <w:rFonts w:ascii="Times New Roman" w:hAnsi="Times New Roman" w:cs="Times New Roman"/>
          <w:lang w:val="en-US"/>
        </w:rPr>
        <w:t xml:space="preserve"> </w:t>
      </w:r>
      <w:r w:rsidR="009538D7" w:rsidRPr="009538D7">
        <w:rPr>
          <w:rFonts w:ascii="Times New Roman" w:hAnsi="Times New Roman" w:cs="Times New Roman"/>
          <w:lang w:val="en-US"/>
        </w:rPr>
        <w:t>therefore highly dependent on imports</w:t>
      </w:r>
      <w:r w:rsidR="009538D7">
        <w:rPr>
          <w:rFonts w:ascii="Times New Roman" w:hAnsi="Times New Roman" w:cs="Times New Roman"/>
          <w:lang w:val="en-US"/>
        </w:rPr>
        <w:t xml:space="preserve">. </w:t>
      </w:r>
      <w:r w:rsidR="00766BC6">
        <w:rPr>
          <w:rFonts w:ascii="Times New Roman" w:hAnsi="Times New Roman" w:cs="Times New Roman"/>
          <w:lang w:val="en-US"/>
        </w:rPr>
        <w:t xml:space="preserve">The SNB even considers that appreciations of the Swiss franc come with the risk of provoking a deflationary spiral in times of economic crisis. </w:t>
      </w:r>
      <w:r w:rsidR="00766BC6" w:rsidRPr="00766BC6">
        <w:rPr>
          <w:rFonts w:ascii="Times New Roman" w:hAnsi="Times New Roman" w:cs="Times New Roman"/>
          <w:lang w:val="en-US"/>
        </w:rPr>
        <w:t xml:space="preserve">During the eurozone crisis, </w:t>
      </w:r>
      <w:r w:rsidR="00766BC6">
        <w:rPr>
          <w:rFonts w:ascii="Times New Roman" w:hAnsi="Times New Roman" w:cs="Times New Roman"/>
          <w:lang w:val="en-US"/>
        </w:rPr>
        <w:t xml:space="preserve">the SNB </w:t>
      </w:r>
      <w:r w:rsidR="00766BC6" w:rsidRPr="00766BC6">
        <w:rPr>
          <w:rFonts w:ascii="Times New Roman" w:hAnsi="Times New Roman" w:cs="Times New Roman"/>
          <w:lang w:val="en-US"/>
        </w:rPr>
        <w:t xml:space="preserve">introduced a </w:t>
      </w:r>
      <w:r w:rsidR="00E46E24">
        <w:rPr>
          <w:rFonts w:ascii="Times New Roman" w:hAnsi="Times New Roman" w:cs="Times New Roman"/>
          <w:lang w:val="en-US"/>
        </w:rPr>
        <w:t>minimum exchange rate</w:t>
      </w:r>
      <w:r w:rsidR="00766BC6">
        <w:rPr>
          <w:rFonts w:ascii="Times New Roman" w:hAnsi="Times New Roman" w:cs="Times New Roman"/>
          <w:lang w:val="en-US"/>
        </w:rPr>
        <w:t xml:space="preserve"> (the so-called “taux plancher”)</w:t>
      </w:r>
      <w:r w:rsidR="00766BC6" w:rsidRPr="00766BC6">
        <w:rPr>
          <w:rFonts w:ascii="Times New Roman" w:hAnsi="Times New Roman" w:cs="Times New Roman"/>
          <w:lang w:val="en-US"/>
        </w:rPr>
        <w:t xml:space="preserve">, </w:t>
      </w:r>
      <w:r w:rsidR="00E46E24">
        <w:rPr>
          <w:rFonts w:ascii="Times New Roman" w:hAnsi="Times New Roman" w:cs="Times New Roman"/>
          <w:lang w:val="en-US"/>
        </w:rPr>
        <w:t xml:space="preserve">of one franc against 1,2 euros to </w:t>
      </w:r>
      <w:r w:rsidR="00766BC6" w:rsidRPr="00766BC6">
        <w:rPr>
          <w:rFonts w:ascii="Times New Roman" w:hAnsi="Times New Roman" w:cs="Times New Roman"/>
          <w:lang w:val="en-US"/>
        </w:rPr>
        <w:t>combat deflation</w:t>
      </w:r>
      <w:r w:rsidR="00766BC6">
        <w:rPr>
          <w:rFonts w:ascii="Times New Roman" w:hAnsi="Times New Roman" w:cs="Times New Roman"/>
          <w:lang w:val="en-US"/>
        </w:rPr>
        <w:t xml:space="preserve">. </w:t>
      </w:r>
      <w:r w:rsidR="00E46E24">
        <w:rPr>
          <w:rFonts w:ascii="Times New Roman" w:hAnsi="Times New Roman" w:cs="Times New Roman"/>
          <w:lang w:val="en-US"/>
        </w:rPr>
        <w:t xml:space="preserve">The fact that the zero lower bound for the policy rate had already </w:t>
      </w:r>
      <w:r w:rsidR="00BA338D">
        <w:rPr>
          <w:rFonts w:ascii="Times New Roman" w:hAnsi="Times New Roman" w:cs="Times New Roman"/>
          <w:lang w:val="en-US"/>
        </w:rPr>
        <w:t>been</w:t>
      </w:r>
      <w:r w:rsidR="00E46E24">
        <w:rPr>
          <w:rFonts w:ascii="Times New Roman" w:hAnsi="Times New Roman" w:cs="Times New Roman"/>
          <w:lang w:val="en-US"/>
        </w:rPr>
        <w:t xml:space="preserve"> reached entailed substantial purchase of foreign currency </w:t>
      </w:r>
      <w:r w:rsidR="00BA338D">
        <w:rPr>
          <w:rFonts w:ascii="Times New Roman" w:hAnsi="Times New Roman" w:cs="Times New Roman"/>
          <w:lang w:val="en-US"/>
        </w:rPr>
        <w:t>by the SNB which substantially increased its balance sheet until it decided to abandon the minimum exchange rate in January 2015.</w:t>
      </w:r>
    </w:p>
    <w:p w14:paraId="0D5EC346" w14:textId="47B4E6AC" w:rsidR="006313A5" w:rsidRDefault="004304AD" w:rsidP="006313A5">
      <w:pPr>
        <w:jc w:val="both"/>
        <w:rPr>
          <w:rFonts w:ascii="Times New Roman" w:hAnsi="Times New Roman" w:cs="Times New Roman"/>
          <w:lang w:val="en-US"/>
        </w:rPr>
      </w:pPr>
      <w:r>
        <w:rPr>
          <w:rFonts w:ascii="Times New Roman" w:hAnsi="Times New Roman" w:cs="Times New Roman"/>
          <w:lang w:val="en-US"/>
        </w:rPr>
        <w:t>S</w:t>
      </w:r>
      <w:r w:rsidR="00BA338D">
        <w:rPr>
          <w:rFonts w:ascii="Times New Roman" w:hAnsi="Times New Roman" w:cs="Times New Roman"/>
          <w:lang w:val="en-US"/>
        </w:rPr>
        <w:t>tudies on the so-called exchange rate pass-through</w:t>
      </w:r>
      <w:r w:rsidR="00B25AD4">
        <w:rPr>
          <w:rFonts w:ascii="Times New Roman" w:hAnsi="Times New Roman" w:cs="Times New Roman"/>
          <w:lang w:val="en-US"/>
        </w:rPr>
        <w:t xml:space="preserve"> (ERPT)</w:t>
      </w:r>
      <w:r w:rsidR="00BA338D">
        <w:rPr>
          <w:rFonts w:ascii="Times New Roman" w:hAnsi="Times New Roman" w:cs="Times New Roman"/>
          <w:lang w:val="en-US"/>
        </w:rPr>
        <w:t xml:space="preserve"> on </w:t>
      </w:r>
      <w:r w:rsidR="00B25AD4">
        <w:rPr>
          <w:rFonts w:ascii="Times New Roman" w:hAnsi="Times New Roman" w:cs="Times New Roman"/>
          <w:lang w:val="en-US"/>
        </w:rPr>
        <w:t>inflation</w:t>
      </w:r>
      <w:r w:rsidR="00BA338D">
        <w:rPr>
          <w:rFonts w:ascii="Times New Roman" w:hAnsi="Times New Roman" w:cs="Times New Roman"/>
          <w:lang w:val="en-US"/>
        </w:rPr>
        <w:t xml:space="preserve"> </w:t>
      </w:r>
      <w:r>
        <w:rPr>
          <w:rFonts w:ascii="Times New Roman" w:hAnsi="Times New Roman" w:cs="Times New Roman"/>
          <w:lang w:val="en-US"/>
        </w:rPr>
        <w:t>have nevertheless</w:t>
      </w:r>
      <w:r w:rsidR="000B4794">
        <w:rPr>
          <w:rFonts w:ascii="Times New Roman" w:hAnsi="Times New Roman" w:cs="Times New Roman"/>
          <w:lang w:val="en-US"/>
        </w:rPr>
        <w:t xml:space="preserve"> consistently found </w:t>
      </w:r>
      <w:r w:rsidR="00BA338D">
        <w:rPr>
          <w:rFonts w:ascii="Times New Roman" w:hAnsi="Times New Roman" w:cs="Times New Roman"/>
          <w:lang w:val="en-US"/>
        </w:rPr>
        <w:t>only a limited effect in Switzerland.</w:t>
      </w:r>
      <w:r w:rsidR="00B25AD4">
        <w:rPr>
          <w:rFonts w:ascii="Times New Roman" w:hAnsi="Times New Roman" w:cs="Times New Roman"/>
          <w:lang w:val="en-US"/>
        </w:rPr>
        <w:t xml:space="preserve"> </w:t>
      </w:r>
      <w:r w:rsidR="00B25AD4">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{"citationID":"6JxjOXZk","properties":{"formattedCitation":"(Stulz 2007)","plainCitation":"(Stulz 2007)","dontUpdate":true,"noteIndex":0},"citationItems":[{"id":6613,"uris":["http://zotero.org/groups/6311349/items/P6ESWYXE"],"itemData":{"id":6613,"type":"article-journal","container-title":"Swiss National Bank Economic Studies","issue":"4","publisher-place":"Zürich","title":"Exchange rate pass-through in Switzerland: Evidence from vector autoregressions.","volume":"2007","author":[{"family":"Stulz","given":"Jonas"}],"issued":{"date-parts":[["2007"]]}}}],"schema":"https://github.com/citation-style-language/schema/raw/master/csl-citation.json"} </w:instrText>
      </w:r>
      <w:r w:rsidR="00B25AD4">
        <w:rPr>
          <w:rFonts w:ascii="Times New Roman" w:hAnsi="Times New Roman" w:cs="Times New Roman"/>
          <w:lang w:val="en-US"/>
        </w:rPr>
        <w:fldChar w:fldCharType="separate"/>
      </w:r>
      <w:r w:rsidR="00B25AD4" w:rsidRPr="00B25AD4">
        <w:rPr>
          <w:rFonts w:ascii="Aptos" w:hAnsi="Aptos"/>
          <w:lang w:val="en-US"/>
        </w:rPr>
        <w:t xml:space="preserve">Stulz </w:t>
      </w:r>
      <w:r w:rsidR="00B25AD4">
        <w:rPr>
          <w:rFonts w:ascii="Aptos" w:hAnsi="Aptos"/>
          <w:lang w:val="en-US"/>
        </w:rPr>
        <w:t>(</w:t>
      </w:r>
      <w:r w:rsidR="00B25AD4" w:rsidRPr="00B25AD4">
        <w:rPr>
          <w:rFonts w:ascii="Aptos" w:hAnsi="Aptos"/>
          <w:lang w:val="en-US"/>
        </w:rPr>
        <w:t>2007)</w:t>
      </w:r>
      <w:r w:rsidR="00B25AD4">
        <w:rPr>
          <w:rFonts w:ascii="Times New Roman" w:hAnsi="Times New Roman" w:cs="Times New Roman"/>
          <w:lang w:val="en-US"/>
        </w:rPr>
        <w:fldChar w:fldCharType="end"/>
      </w:r>
      <w:r w:rsidR="00B25AD4">
        <w:rPr>
          <w:rFonts w:ascii="Times New Roman" w:hAnsi="Times New Roman" w:cs="Times New Roman"/>
          <w:lang w:val="en-US"/>
        </w:rPr>
        <w:t xml:space="preserve"> </w:t>
      </w:r>
      <w:r w:rsidR="000B4794">
        <w:rPr>
          <w:rFonts w:ascii="Times New Roman" w:hAnsi="Times New Roman" w:cs="Times New Roman"/>
          <w:lang w:val="en-US"/>
        </w:rPr>
        <w:t>estimated</w:t>
      </w:r>
      <w:r w:rsidR="00B25AD4">
        <w:rPr>
          <w:rFonts w:ascii="Times New Roman" w:hAnsi="Times New Roman" w:cs="Times New Roman"/>
          <w:lang w:val="en-US"/>
        </w:rPr>
        <w:t xml:space="preserve"> a substantial but incomplete pass-through on import prices, with ERPT elasticities of 0,52 after twelve months and 0,37 in the long run, whereas ERPT to consumer prices amounts to 0,09 in the short run and merely 0,18 in the </w:t>
      </w:r>
      <w:r w:rsidR="00505858">
        <w:rPr>
          <w:rFonts w:ascii="Times New Roman" w:hAnsi="Times New Roman" w:cs="Times New Roman"/>
          <w:lang w:val="en-US"/>
        </w:rPr>
        <w:t>long run</w:t>
      </w:r>
      <w:r w:rsidR="00B25AD4">
        <w:rPr>
          <w:rFonts w:ascii="Times New Roman" w:hAnsi="Times New Roman" w:cs="Times New Roman"/>
          <w:lang w:val="en-US"/>
        </w:rPr>
        <w:t>.</w:t>
      </w:r>
      <w:r w:rsidR="00505858">
        <w:rPr>
          <w:rFonts w:ascii="Times New Roman" w:hAnsi="Times New Roman" w:cs="Times New Roman"/>
          <w:lang w:val="en-US"/>
        </w:rPr>
        <w:t xml:space="preserve"> </w:t>
      </w:r>
      <w:r w:rsidR="00A95995">
        <w:rPr>
          <w:rFonts w:ascii="Times New Roman" w:hAnsi="Times New Roman" w:cs="Times New Roman"/>
          <w:lang w:val="en-US"/>
        </w:rPr>
        <w:t xml:space="preserve">Using monthly data between 1999 and 2010, </w:t>
      </w:r>
      <w:r w:rsidR="00A95995">
        <w:rPr>
          <w:rFonts w:ascii="Times New Roman" w:hAnsi="Times New Roman" w:cs="Times New Roman"/>
          <w:lang w:val="en-US"/>
        </w:rPr>
        <w:fldChar w:fldCharType="begin"/>
      </w:r>
      <w:r w:rsidR="009E1D58">
        <w:rPr>
          <w:rFonts w:ascii="Times New Roman" w:hAnsi="Times New Roman" w:cs="Times New Roman"/>
          <w:lang w:val="en-US"/>
        </w:rPr>
        <w:instrText xml:space="preserve"> ADDIN ZOTERO_ITEM CSL_CITATION {"citationID":"d6Nw37Cg","properties":{"formattedCitation":"(Herger 2012)","plainCitation":"(Herger 2012)","dontUpdate":true,"noteIndex":0},"citationItems":[{"id":6671,"uris":["http://zotero.org/groups/6311349/items/ZA8BPLN6"],"itemData":{"id":6671,"type":"article-journal","abstract":"For the case of Switzerland, this paper endeavours to estimate the empirical extent to which exchange rates are “passed-through” onto import prices. For data covering the 1999 to 2010 period, the results suggest that (i) on aggregate, the exchange rate pass-through is highly incomplete with an elasticity of around 0.3 and (ii) major differences arise between industries. In particular, larger pass-through effects can be observed for certain commodities and other standardised products such as paper, timber, or minerals whilst for automobiles and textiles, the impact of the exchange rate upon import prices is almost always negligible and statistically far from significant.","container-title":"Swiss Journal of Economics and Statistics","DOI":"10.1007/BF03399371","ISSN":"2235-6282","issue":"3","journalAbbreviation":"Swiss J Economics Statistics","language":"en","page":"381-407","source":"Springer Link","title":"Exchange rates and import prices in Switzerland","volume":"148","author":[{"family":"Herger","given":"Nils"}],"issued":{"date-parts":[["2012",7,1]]}}}],"schema":"https://github.com/citation-style-language/schema/raw/master/csl-citation.json"} </w:instrText>
      </w:r>
      <w:r w:rsidR="00A95995">
        <w:rPr>
          <w:rFonts w:ascii="Times New Roman" w:hAnsi="Times New Roman" w:cs="Times New Roman"/>
          <w:lang w:val="en-US"/>
        </w:rPr>
        <w:fldChar w:fldCharType="separate"/>
      </w:r>
      <w:r w:rsidR="00A95995" w:rsidRPr="00A95995">
        <w:rPr>
          <w:rFonts w:ascii="Aptos" w:hAnsi="Aptos"/>
          <w:lang w:val="en-US"/>
        </w:rPr>
        <w:t xml:space="preserve">Herger </w:t>
      </w:r>
      <w:r w:rsidR="00A95995">
        <w:rPr>
          <w:rFonts w:ascii="Aptos" w:hAnsi="Aptos"/>
          <w:lang w:val="en-US"/>
        </w:rPr>
        <w:t>(</w:t>
      </w:r>
      <w:r w:rsidR="00A95995" w:rsidRPr="00A95995">
        <w:rPr>
          <w:rFonts w:ascii="Aptos" w:hAnsi="Aptos"/>
          <w:lang w:val="en-US"/>
        </w:rPr>
        <w:t>2012)</w:t>
      </w:r>
      <w:r w:rsidR="00A95995">
        <w:rPr>
          <w:rFonts w:ascii="Times New Roman" w:hAnsi="Times New Roman" w:cs="Times New Roman"/>
          <w:lang w:val="en-US"/>
        </w:rPr>
        <w:fldChar w:fldCharType="end"/>
      </w:r>
      <w:r w:rsidR="00A95995">
        <w:rPr>
          <w:rFonts w:ascii="Times New Roman" w:hAnsi="Times New Roman" w:cs="Times New Roman"/>
          <w:lang w:val="en-US"/>
        </w:rPr>
        <w:t xml:space="preserve"> found that the ERPT elasticity onto aggregate import prices is only 0,3. </w:t>
      </w:r>
      <w:r w:rsidR="00505858">
        <w:rPr>
          <w:rFonts w:ascii="Times New Roman" w:hAnsi="Times New Roman" w:cs="Times New Roman"/>
          <w:lang w:val="en-US"/>
        </w:rPr>
        <w:t>Other studies have found either small or insignificant ERPT effects</w:t>
      </w:r>
      <w:r w:rsidR="00505858">
        <w:rPr>
          <w:rStyle w:val="Appelnotedebasdep"/>
          <w:rFonts w:ascii="Times New Roman" w:hAnsi="Times New Roman" w:cs="Times New Roman"/>
          <w:lang w:val="en-US"/>
        </w:rPr>
        <w:footnoteReference w:id="4"/>
      </w:r>
      <w:r w:rsidR="00505858">
        <w:rPr>
          <w:rFonts w:ascii="Times New Roman" w:hAnsi="Times New Roman" w:cs="Times New Roman"/>
          <w:lang w:val="en-US"/>
        </w:rPr>
        <w:t>.</w:t>
      </w:r>
      <w:r w:rsidR="00E12D4F">
        <w:rPr>
          <w:rFonts w:ascii="Times New Roman" w:hAnsi="Times New Roman" w:cs="Times New Roman"/>
          <w:lang w:val="en-US"/>
        </w:rPr>
        <w:t xml:space="preserve"> </w:t>
      </w:r>
      <w:r w:rsidR="00E12D4F" w:rsidRPr="00E12D4F">
        <w:rPr>
          <w:rFonts w:ascii="Times New Roman" w:hAnsi="Times New Roman" w:cs="Times New Roman"/>
          <w:lang w:val="en-US"/>
        </w:rPr>
        <w:t xml:space="preserve">Even studies that have examined the causal effect of the sharp and sudden appreciation of the Swiss franc following the </w:t>
      </w:r>
      <w:r w:rsidR="006313A5">
        <w:rPr>
          <w:rFonts w:ascii="Times New Roman" w:hAnsi="Times New Roman" w:cs="Times New Roman"/>
          <w:lang w:val="en-US"/>
        </w:rPr>
        <w:t>removal</w:t>
      </w:r>
      <w:r w:rsidR="00E12D4F" w:rsidRPr="00E12D4F">
        <w:rPr>
          <w:rFonts w:ascii="Times New Roman" w:hAnsi="Times New Roman" w:cs="Times New Roman"/>
          <w:lang w:val="en-US"/>
        </w:rPr>
        <w:t xml:space="preserve"> of the </w:t>
      </w:r>
      <w:r w:rsidR="00FF3E0A">
        <w:rPr>
          <w:rFonts w:ascii="Times New Roman" w:hAnsi="Times New Roman" w:cs="Times New Roman"/>
          <w:lang w:val="en-US"/>
        </w:rPr>
        <w:t>minimum exchange rate</w:t>
      </w:r>
      <w:r w:rsidR="00E12D4F" w:rsidRPr="00E12D4F">
        <w:rPr>
          <w:rFonts w:ascii="Times New Roman" w:hAnsi="Times New Roman" w:cs="Times New Roman"/>
          <w:lang w:val="en-US"/>
        </w:rPr>
        <w:t xml:space="preserve"> in 2015 have found only a limited impact</w:t>
      </w:r>
      <w:r w:rsidR="001C24FA">
        <w:rPr>
          <w:rFonts w:ascii="Times New Roman" w:hAnsi="Times New Roman" w:cs="Times New Roman"/>
          <w:lang w:val="en-US"/>
        </w:rPr>
        <w:t xml:space="preserve">.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{"citationID":"TPPbd221","properties":{"formattedCitation":"(Auer et al. 2021)","plainCitation":"(Auer et al. 2021)","dontUpdate":true,"noteIndex":0},"citationItems":[{"id":6515,"uris":["http://zotero.org/groups/6311349/items/PUW8HFY7"],"itemData":{"id":6515,"type":"article-journal","abstract":"We dissect the impact of a large and sudden exchange rate appreciation on Swiss border import prices, retail prices, and consumer expenditures on domestic and imported nondurable goods, following the removal of the EUR/CHF floor in January 2015. Cross-sectional variation in border price changes by currency of invoicing carries over to consumer prices and allocations, impacting retail prices of imports and competing domestic goods, as well as import expenditures. We provide measures of the sensitivity of retail import prices to border prices and the sensitivity of import shares to relative prices, which is higher when using retail prices than border prices.","container-title":"American Economic Review","DOI":"10.1257/aer.20181415","ISSN":"0002-8282","issue":"2","language":"en","page":"652-686","source":"www.aeaweb.org","title":"Exchange Rates and Prices: Evidence from the 2015 Swiss Franc Appreciation","title-short":"Exchange Rates and Prices","volume":"111","author":[{"family":"Auer","given":"Raphael"},{"family":"Burstein","given":"Ariel"},{"family":"Lein","given":"Sarah M."}],"issued":{"date-parts":[["2021",2]]}}}],"schema":"https://github.com/citation-style-language/schema/raw/master/csl-citation.json"}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Auer et al. </w:t>
      </w:r>
      <w:r w:rsidR="001C24FA">
        <w:rPr>
          <w:rFonts w:ascii="Aptos" w:hAnsi="Aptos"/>
          <w:lang w:val="en-US"/>
        </w:rPr>
        <w:t>(</w:t>
      </w:r>
      <w:r w:rsidR="001C24FA" w:rsidRPr="001C24FA">
        <w:rPr>
          <w:rFonts w:ascii="Aptos" w:hAnsi="Aptos"/>
          <w:lang w:val="en-US"/>
        </w:rPr>
        <w:t>2021)</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w:t>
      </w:r>
      <w:r w:rsidR="00A95995">
        <w:rPr>
          <w:rFonts w:ascii="Times New Roman" w:hAnsi="Times New Roman" w:cs="Times New Roman"/>
          <w:lang w:val="en-US"/>
        </w:rPr>
        <w:t>found</w:t>
      </w:r>
      <w:r w:rsidR="001C24FA">
        <w:rPr>
          <w:rFonts w:ascii="Times New Roman" w:hAnsi="Times New Roman" w:cs="Times New Roman"/>
          <w:lang w:val="en-US"/>
        </w:rPr>
        <w:t xml:space="preserve"> a one-year pass-through effect of 0,075 for retail domestic prices and 0,366 for retail imported products. The results of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{"citationID":"y4N6wySo","properties":{"formattedCitation":"(Oktay 2022)","plainCitation":"(Oktay 2022)","dontUpdate":true,"noteIndex":0},"citationItems":[{"id":6398,"uris":["http://zotero.org/groups/6311349/items/YLJG9I4R"],"itemData":{"id":6398,"type":"article-journal","abstract":"This paper analyzes the exchange rate pass-through to consumer prices for 85 categories of goods and services in Switzerland. The pass-through estimates are computed using a synthetic difference-in-differences approach that exploits the large Swiss franc appreciation that followed the unexpected removal of the Swiss franc-Euro floor in January 2015. The overall 1-year all-items pass-through is 0.12, which shows that the pass-through is highly incomplete. There is an important heterogeneity across product categories, where pass-through can be as high as 0.80. These variations are linked to the international trade characteristics of the products, as the prices of goods with a high degree of international tradability, with a high import share, or that depend on tourism are shown to be more sensitive to the exchange rate.","container-title":"Swiss Journal of Economics and Statistics","DOI":"10.1186/s41937-022-00102-7","ISSN":"2235-6282","issue":"1","journalAbbreviation":"Swiss J Economics Statistics","language":"en","page":"21","source":"Springer Link","title":"Heterogeneity in the exchange rate pass-through to consumer prices: the Swiss franc appreciation of 2015","title-short":"Heterogeneity in the exchange rate pass-through to consumer prices","volume":"158","author":[{"family":"Oktay","given":"Alex"}],"issued":{"date-parts":[["2022",12,5]]}}}],"schema":"https://github.com/citation-style-language/schema/raw/master/csl-citation.json"}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Oktay </w:t>
      </w:r>
      <w:r w:rsidR="001C24FA">
        <w:rPr>
          <w:rFonts w:ascii="Aptos" w:hAnsi="Aptos"/>
          <w:lang w:val="en-US"/>
        </w:rPr>
        <w:t>(</w:t>
      </w:r>
      <w:r w:rsidR="001C24FA" w:rsidRPr="001C24FA">
        <w:rPr>
          <w:rFonts w:ascii="Aptos" w:hAnsi="Aptos"/>
          <w:lang w:val="en-US"/>
        </w:rPr>
        <w:t>2022)</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underline</w:t>
      </w:r>
      <w:r w:rsidR="00A95995">
        <w:rPr>
          <w:rFonts w:ascii="Times New Roman" w:hAnsi="Times New Roman" w:cs="Times New Roman"/>
          <w:lang w:val="en-US"/>
        </w:rPr>
        <w:t>d</w:t>
      </w:r>
      <w:r w:rsidR="001C24FA">
        <w:rPr>
          <w:rFonts w:ascii="Times New Roman" w:hAnsi="Times New Roman" w:cs="Times New Roman"/>
          <w:lang w:val="en-US"/>
        </w:rPr>
        <w:t xml:space="preserve"> important heterogeneities in the pass-through across categories of goods and services, with non-tradable goods and services having lower pass-through than tradable ones. However, the aggregate result of the pass-through is found to be very small as only 12% of the euro/franc shock of 2015 was passed on the overall Swiss consumer price index.</w:t>
      </w:r>
      <w:r w:rsidR="00B700A9">
        <w:rPr>
          <w:rFonts w:ascii="Times New Roman" w:hAnsi="Times New Roman" w:cs="Times New Roman"/>
          <w:lang w:val="en-US"/>
        </w:rPr>
        <w:t xml:space="preserve"> Low inflation rates in Switzerland cannot therefore be attributed solely based on the strength of the Swiss franc as the ERPT effect is in fact very limited.</w:t>
      </w:r>
    </w:p>
    <w:p w14:paraId="0A7BEFE6" w14:textId="56120A9A" w:rsidR="004304AD" w:rsidRDefault="004304AD" w:rsidP="006313A5">
      <w:pPr>
        <w:jc w:val="both"/>
        <w:rPr>
          <w:rFonts w:ascii="Times New Roman" w:hAnsi="Times New Roman" w:cs="Times New Roman"/>
          <w:lang w:val="en-US"/>
        </w:rPr>
      </w:pPr>
      <w:r>
        <w:rPr>
          <w:rFonts w:ascii="Times New Roman" w:hAnsi="Times New Roman" w:cs="Times New Roman"/>
          <w:lang w:val="en-US"/>
        </w:rPr>
        <w:lastRenderedPageBreak/>
        <w:t xml:space="preserve">However, a low ERPT does not necessarily imply that movements in the exchange rate and the price of imports are of no importance regarding inflation dynamics in Switzerland. The results from a historical decomposition of a structural vector error correction model </w:t>
      </w:r>
      <w:r w:rsidR="008D1618">
        <w:rPr>
          <w:rFonts w:ascii="Times New Roman" w:hAnsi="Times New Roman" w:cs="Times New Roman"/>
          <w:lang w:val="en-US"/>
        </w:rPr>
        <w:t xml:space="preserve">by </w:t>
      </w:r>
      <w:r w:rsidR="009E1D58">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{"citationID":"Lf7s4Sa6","properties":{"formattedCitation":"(Leutert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9E1D58">
        <w:rPr>
          <w:rFonts w:ascii="Times New Roman" w:hAnsi="Times New Roman" w:cs="Times New Roman"/>
          <w:lang w:val="en-US"/>
        </w:rPr>
        <w:fldChar w:fldCharType="separate"/>
      </w:r>
      <w:r w:rsidR="009E1D58" w:rsidRPr="009E1D58">
        <w:rPr>
          <w:rFonts w:ascii="Aptos" w:hAnsi="Aptos"/>
          <w:lang w:val="en-US"/>
        </w:rPr>
        <w:t xml:space="preserve">Leutert et al. </w:t>
      </w:r>
      <w:r w:rsidR="009E1D58">
        <w:rPr>
          <w:rFonts w:ascii="Aptos" w:hAnsi="Aptos"/>
          <w:lang w:val="en-US"/>
        </w:rPr>
        <w:t>(</w:t>
      </w:r>
      <w:r w:rsidR="009E1D58" w:rsidRPr="009E1D58">
        <w:rPr>
          <w:rFonts w:ascii="Aptos" w:hAnsi="Aptos"/>
          <w:lang w:val="en-US"/>
        </w:rPr>
        <w:t>2026)</w:t>
      </w:r>
      <w:r w:rsidR="009E1D58">
        <w:rPr>
          <w:rFonts w:ascii="Times New Roman" w:hAnsi="Times New Roman" w:cs="Times New Roman"/>
          <w:lang w:val="en-US"/>
        </w:rPr>
        <w:fldChar w:fldCharType="end"/>
      </w:r>
      <w:r w:rsidR="008D1618">
        <w:rPr>
          <w:rFonts w:ascii="Times New Roman" w:hAnsi="Times New Roman" w:cs="Times New Roman"/>
          <w:lang w:val="en-US"/>
        </w:rPr>
        <w:t xml:space="preserve"> showed that, whereas increases in unit labour costs</w:t>
      </w:r>
      <w:r w:rsidR="00092DB5">
        <w:rPr>
          <w:rFonts w:ascii="Times New Roman" w:hAnsi="Times New Roman" w:cs="Times New Roman"/>
          <w:lang w:val="en-US"/>
        </w:rPr>
        <w:t xml:space="preserve"> (UCL)</w:t>
      </w:r>
      <w:r w:rsidR="008D1618">
        <w:rPr>
          <w:rFonts w:ascii="Times New Roman" w:hAnsi="Times New Roman" w:cs="Times New Roman"/>
          <w:lang w:val="en-US"/>
        </w:rPr>
        <w:t xml:space="preserve"> had only a modest impact on CPI inflation in the last 40 years, variations in import prices due to oil price shocks, foreign inflation and the exchange rate explain a substantial part of Swiss CPI movements since the 1980s. This indicates that</w:t>
      </w:r>
      <w:r w:rsidR="00B02988">
        <w:rPr>
          <w:rFonts w:ascii="Times New Roman" w:hAnsi="Times New Roman" w:cs="Times New Roman"/>
          <w:lang w:val="en-US"/>
        </w:rPr>
        <w:t xml:space="preserve"> even though import prices have a low pass-through, they </w:t>
      </w:r>
      <w:r w:rsidR="009E1D58">
        <w:rPr>
          <w:rFonts w:ascii="Times New Roman" w:hAnsi="Times New Roman" w:cs="Times New Roman"/>
          <w:lang w:val="en-US"/>
        </w:rPr>
        <w:t>remain</w:t>
      </w:r>
      <w:r w:rsidR="00B02988">
        <w:rPr>
          <w:rFonts w:ascii="Times New Roman" w:hAnsi="Times New Roman" w:cs="Times New Roman"/>
          <w:lang w:val="en-US"/>
        </w:rPr>
        <w:t xml:space="preserve"> important drivers of inflation dynamics in Switzerland.</w:t>
      </w:r>
      <w:r w:rsidR="00092DB5">
        <w:rPr>
          <w:rFonts w:ascii="Times New Roman" w:hAnsi="Times New Roman" w:cs="Times New Roman"/>
          <w:lang w:val="en-US"/>
        </w:rPr>
        <w:t xml:space="preserve"> On the other hand, the very limited pass-through of UCL on CPI inflation can be explained by the fact that Swiss ULC are more relevant for export prices than for domestic consumer prices as most items of the latter are composed by categories which only marginally depend on labour input for instance rents and health which account for around 40% of the Swiss CPI) </w:t>
      </w:r>
      <w:r w:rsidR="00092DB5">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{"citationID":"K7Hq116Q","properties":{"formattedCitation":"(Leutert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092DB5">
        <w:rPr>
          <w:rFonts w:ascii="Times New Roman" w:hAnsi="Times New Roman" w:cs="Times New Roman"/>
          <w:lang w:val="en-US"/>
        </w:rPr>
        <w:fldChar w:fldCharType="separate"/>
      </w:r>
      <w:r w:rsidR="00092DB5" w:rsidRPr="00092DB5">
        <w:rPr>
          <w:rFonts w:ascii="Aptos" w:hAnsi="Aptos"/>
          <w:lang w:val="en-US"/>
        </w:rPr>
        <w:t>(Leutert et al. 2026</w:t>
      </w:r>
      <w:r w:rsidR="00092DB5">
        <w:rPr>
          <w:rFonts w:ascii="Aptos" w:hAnsi="Aptos"/>
          <w:lang w:val="en-US"/>
        </w:rPr>
        <w:t>, 11</w:t>
      </w:r>
      <w:r w:rsidR="00092DB5" w:rsidRPr="00092DB5">
        <w:rPr>
          <w:rFonts w:ascii="Aptos" w:hAnsi="Aptos"/>
          <w:lang w:val="en-US"/>
        </w:rPr>
        <w:t>)</w:t>
      </w:r>
      <w:r w:rsidR="00092DB5">
        <w:rPr>
          <w:rFonts w:ascii="Times New Roman" w:hAnsi="Times New Roman" w:cs="Times New Roman"/>
          <w:lang w:val="en-US"/>
        </w:rPr>
        <w:fldChar w:fldCharType="end"/>
      </w:r>
      <w:r w:rsidR="00092DB5">
        <w:rPr>
          <w:rFonts w:ascii="Times New Roman" w:hAnsi="Times New Roman" w:cs="Times New Roman"/>
          <w:lang w:val="en-US"/>
        </w:rPr>
        <w:t>.</w:t>
      </w:r>
    </w:p>
    <w:p w14:paraId="221B742D" w14:textId="00BE4205" w:rsidR="008A6600" w:rsidRDefault="00330145" w:rsidP="008A6600">
      <w:pPr>
        <w:jc w:val="both"/>
        <w:rPr>
          <w:rFonts w:ascii="Times New Roman" w:hAnsi="Times New Roman" w:cs="Times New Roman"/>
          <w:lang w:val="en-US"/>
        </w:rPr>
      </w:pPr>
      <w:r>
        <w:rPr>
          <w:rFonts w:ascii="Times New Roman" w:hAnsi="Times New Roman" w:cs="Times New Roman"/>
          <w:lang w:val="en-US"/>
        </w:rPr>
        <w:t xml:space="preserve">Some comparative case studies </w:t>
      </w:r>
      <w:r w:rsidR="008A6600">
        <w:rPr>
          <w:rFonts w:ascii="Times New Roman" w:hAnsi="Times New Roman" w:cs="Times New Roman"/>
          <w:lang w:val="en-US"/>
        </w:rPr>
        <w:t xml:space="preserve">hold that </w:t>
      </w:r>
      <w:r>
        <w:rPr>
          <w:rFonts w:ascii="Times New Roman" w:hAnsi="Times New Roman" w:cs="Times New Roman"/>
          <w:lang w:val="en-US"/>
        </w:rPr>
        <w:t>lower inflation rate in Switzerland can be explained to a considerable extent by the different weights assigned to the items of the CPI</w:t>
      </w:r>
      <w:r w:rsidR="000F1D1E">
        <w:rPr>
          <w:rFonts w:ascii="Times New Roman" w:hAnsi="Times New Roman" w:cs="Times New Roman"/>
          <w:lang w:val="en-US"/>
        </w:rPr>
        <w:t xml:space="preserve"> compared to other countries</w:t>
      </w:r>
      <w:r w:rsidR="008A6600">
        <w:rPr>
          <w:rFonts w:ascii="Times New Roman" w:hAnsi="Times New Roman" w:cs="Times New Roman"/>
          <w:lang w:val="en-US"/>
        </w:rPr>
        <w:t xml:space="preserve">, implying that </w:t>
      </w:r>
      <w:r w:rsidR="008A6600" w:rsidRPr="008A6600">
        <w:rPr>
          <w:rFonts w:ascii="Times New Roman" w:hAnsi="Times New Roman" w:cs="Times New Roman"/>
          <w:lang w:val="en-US"/>
        </w:rPr>
        <w:t>Switzerland's low inflation is in part a statistical artefact, reflecting the specific structure and expenditure weights of the Swiss CPI basket</w:t>
      </w:r>
      <w:r w:rsidR="008A6600">
        <w:rPr>
          <w:rFonts w:ascii="Times New Roman" w:hAnsi="Times New Roman" w:cs="Times New Roman"/>
          <w:lang w:val="en-US"/>
        </w:rPr>
        <w:t>. These studies underline</w:t>
      </w:r>
      <w:r w:rsidR="00A95995">
        <w:rPr>
          <w:rFonts w:ascii="Times New Roman" w:hAnsi="Times New Roman" w:cs="Times New Roman"/>
          <w:lang w:val="en-US"/>
        </w:rPr>
        <w:t>d</w:t>
      </w:r>
      <w:r w:rsidR="008A6600">
        <w:rPr>
          <w:rFonts w:ascii="Times New Roman" w:hAnsi="Times New Roman" w:cs="Times New Roman"/>
          <w:lang w:val="en-US"/>
        </w:rPr>
        <w:t xml:space="preserve"> the relatively low weight assigned to energy (5%) and the exclusion of certain important expenditure items such as the compulsory health insurance premiums and have provided estimations of</w:t>
      </w:r>
      <w:r w:rsidR="008A6600" w:rsidRPr="008A6600">
        <w:rPr>
          <w:rFonts w:ascii="Times New Roman" w:hAnsi="Times New Roman" w:cs="Times New Roman"/>
          <w:lang w:val="en-US"/>
        </w:rPr>
        <w:t xml:space="preserve"> Swiss inflation using the expenditure weights applied in other countries, such as Germany. </w:t>
      </w:r>
      <w:r w:rsidR="008614C6">
        <w:rPr>
          <w:rFonts w:ascii="Times New Roman" w:hAnsi="Times New Roman" w:cs="Times New Roman"/>
          <w:lang w:val="en-US"/>
        </w:rPr>
        <w:t>However, e</w:t>
      </w:r>
      <w:r w:rsidR="008A6600" w:rsidRPr="008A6600">
        <w:rPr>
          <w:rFonts w:ascii="Times New Roman" w:hAnsi="Times New Roman" w:cs="Times New Roman"/>
          <w:lang w:val="en-US"/>
        </w:rPr>
        <w:t>ven under these counterfactual weighting schemes, Swiss inflation remains</w:t>
      </w:r>
      <w:r w:rsidR="008A6600">
        <w:rPr>
          <w:rFonts w:ascii="Times New Roman" w:hAnsi="Times New Roman" w:cs="Times New Roman"/>
          <w:lang w:val="en-US"/>
        </w:rPr>
        <w:t xml:space="preserve"> nonetheless</w:t>
      </w:r>
      <w:r w:rsidR="008A6600" w:rsidRPr="008A6600">
        <w:rPr>
          <w:rFonts w:ascii="Times New Roman" w:hAnsi="Times New Roman" w:cs="Times New Roman"/>
          <w:lang w:val="en-US"/>
        </w:rPr>
        <w:t xml:space="preserve"> substantially lower than in comparable economies</w:t>
      </w:r>
      <w:r w:rsidR="008A6600">
        <w:rPr>
          <w:rFonts w:ascii="Times New Roman" w:hAnsi="Times New Roman" w:cs="Times New Roman"/>
          <w:lang w:val="en-US"/>
        </w:rPr>
        <w:t xml:space="preserve"> </w:t>
      </w:r>
      <w:r w:rsidR="008614C6">
        <w:rPr>
          <w:rFonts w:ascii="Times New Roman" w:hAnsi="Times New Roman" w:cs="Times New Roman"/>
          <w:lang w:val="en-US"/>
        </w:rPr>
        <w:t>as it gains only 1 to 2% percentage points</w:t>
      </w:r>
      <w:r w:rsidR="008A6600">
        <w:rPr>
          <w:rFonts w:ascii="Times New Roman" w:hAnsi="Times New Roman" w:cs="Times New Roman"/>
          <w:lang w:val="en-US"/>
        </w:rPr>
        <w:t xml:space="preserve"> </w:t>
      </w:r>
      <w:r w:rsidR="008A6600">
        <w:rPr>
          <w:rFonts w:ascii="Times New Roman" w:hAnsi="Times New Roman" w:cs="Times New Roman"/>
          <w:lang w:val="en-US"/>
        </w:rPr>
        <w:fldChar w:fldCharType="begin"/>
      </w:r>
      <w:r w:rsidR="008A6600">
        <w:rPr>
          <w:rFonts w:ascii="Times New Roman" w:hAnsi="Times New Roman" w:cs="Times New Roman"/>
          <w:lang w:val="en-US"/>
        </w:rPr>
        <w:instrText xml:space="preserve"> ADDIN ZOTERO_ITEM CSL_CITATION {"citationID":"d1WzfQt4","properties":{"formattedCitation":"(Sonnenberg 2022; Dullien et al. 2024)","plainCitation":"(Sonnenberg 2022; Dullien et al. 2024)","noteIndex":0},"citationItems":[{"id":6661,"uris":["http://zotero.org/groups/6311349/items/AFIXD8C5"],"itemData":{"id":6661,"type":"article-journal","abstract":"Die Inflation ist in Europa seit Anfang 2021 stark gestiegen, das Ausmaß des Anstiegs unterscheidet sich zwischen den einzelnen Ländern indes beträchtlich. Besonders niedrig ist die Inflation in der Schweiz, wo sie im Juli bei lediglich 3,3 Prozent (HVPI) lag. Demgegenüber ist die Inflation im Euroraum im August auf ein Rekordniveau von 9,1 Prozent gestiegen, in Deutschland lag sie bei 8,8 Prozent und in Spanien bei 10,3 Prozent. Mithilfe der detaillierten Preisstatistik des Harmonisierten Verbraucherpreisindex aus dem Juli werden in diesem Beitrag die Ursachen dieser Unterschiede herausgearbeitet. Der HVPI besteht aus vielen Preisreihen, die jeweils mit ihrem Ausgabenanteil gewichtet zum Gesamtindex zusammengefügt werden. Unterschiede in den Inflationsraten zwischen den Ländern können entweder aus Unterschieden in der Entwicklung der einzelnen Preisreihen oder durch Unterschiede in den Gewichten entstehen. Im Folgenden werden die wesentlichen Unterschiede in den vier Überkategorien Energie, Lebensmittel, Waren und Dienstleistungen diskutiert.","language":"ger","license":"http://www.econstor.eu/dspace/Nutzungsbedingungen","publisher":"Kiel: Kiel Institut für Weltwirtschaft (IfW Kiel)","source":"www.econstor.eu","title":"Zu den Inflationsunterschieden zwischen der Schweiz, Spanien und Deutschland","URL":"https://www.econstor.eu/handle/10419/265303","author":[{"family":"Sonnenberg","given":"Nils"}],"accessed":{"date-parts":[["2026",7,8]]},"issued":{"date-parts":[["2022"]]}}},{"id":6508,"uris":["http://zotero.org/groups/6311349/items/A79KYH9F"],"itemData":{"id":6508,"type":"report","abstract":"Als Folge der massiven Preisschocks 2021 und 2022 schnellte die HVPI-Rate in Deutschland teilweise auf über 11 %, überschritt in der Schweiz aber nur kurzzeitig 3 %. Entscheidend war, dass die Energiepreise in der Spitze in Deutschland 5,3 Prozentpunkte zur Inflation beitrugen (Oktober 2022) verglichen mit 1,5 Prozentpunkten in der Schweiz (Juni 2022) und weitgefasste Nahrungsmittel 3,1 Prozentpunkte verglichen mit 0,8 Prozentpunkten (März 2023). Dieser Beitrag untersucht die Rolle struktureller Unterschiede beim Durchwirken der internationalen Preisschocks auf die inländische Inflation. Von Bedeutung sind dabei erstens regulatorische Unterschiede und der ausgeprägte Protektionismus des Agrarsektors in der Schweiz. Ein zweiter Faktor sind unterschiedliche Warenkorbstrukturen. Eingriffe des Staates in die Preisbildung sowie Veränderungen indirekter Steuern und Abgaben begründen drittens, warum die Inflationsunterschiede nicht noch ausgeprägter ausfielen und warum die Strompreise in der Schweiz trotz der Bedeutung der Wasserkraft letztlich ähnlich stark anzogen wie in Deutschland. Demgegenüber dürfte die geldpolitische Reaktion bestenfalls eine untergeordnete Rolle gespielt haben, auch wenn die deutlichere Abwertung des Euro die externen Preisschocks verstärkt hat.","genre":"Working Paper","language":"ger","license":"https://www.econstor.eu/dspace/Nutzungsbedingungen","number":"224","publisher":"IMK Working Paper","source":"www.econstor.eu","title":"Historische Preissteigerungen in Deutschland, niedrige Inflation in der Schweiz: Die Rolle von Regulierung","title-short":"Historische Preissteigerungen in Deutschland, niedrige Inflation in der Schweiz","URL":"https://www.econstor.eu/handle/10419/302161","author":[{"family":"Dullien","given":"Sebastian"},{"family":"Gallusser","given":"David"},{"family":"Tober","given":"Silke"}],"accessed":{"date-parts":[["2026",6,3]]},"issued":{"date-parts":[["2024"]]}}}],"schema":"https://github.com/citation-style-language/schema/raw/master/csl-citation.json"} </w:instrText>
      </w:r>
      <w:r w:rsidR="008A6600">
        <w:rPr>
          <w:rFonts w:ascii="Times New Roman" w:hAnsi="Times New Roman" w:cs="Times New Roman"/>
          <w:lang w:val="en-US"/>
        </w:rPr>
        <w:fldChar w:fldCharType="separate"/>
      </w:r>
      <w:r w:rsidR="008A6600" w:rsidRPr="008A6600">
        <w:rPr>
          <w:rFonts w:ascii="Aptos" w:hAnsi="Aptos"/>
          <w:lang w:val="en-US"/>
        </w:rPr>
        <w:t>(Sonnenberg 2022; Dullien et al. 2024)</w:t>
      </w:r>
      <w:r w:rsidR="008A6600">
        <w:rPr>
          <w:rFonts w:ascii="Times New Roman" w:hAnsi="Times New Roman" w:cs="Times New Roman"/>
          <w:lang w:val="en-US"/>
        </w:rPr>
        <w:fldChar w:fldCharType="end"/>
      </w:r>
      <w:r w:rsidR="008A6600" w:rsidRPr="008A6600">
        <w:rPr>
          <w:rFonts w:ascii="Times New Roman" w:hAnsi="Times New Roman" w:cs="Times New Roman"/>
          <w:lang w:val="en-US"/>
        </w:rPr>
        <w:t>.</w:t>
      </w:r>
      <w:r w:rsidR="008614C6">
        <w:rPr>
          <w:rFonts w:ascii="Times New Roman" w:hAnsi="Times New Roman" w:cs="Times New Roman"/>
          <w:lang w:val="en-US"/>
        </w:rPr>
        <w:t xml:space="preserve"> The dynamics of the CPI remains furthermore the same, as only its level is changed under </w:t>
      </w:r>
      <w:r w:rsidR="00DD0F7F">
        <w:rPr>
          <w:rFonts w:ascii="Times New Roman" w:hAnsi="Times New Roman" w:cs="Times New Roman"/>
          <w:lang w:val="en-US"/>
        </w:rPr>
        <w:t>the re-weighting calculation. The weighting differences are thus not a great explanation of Swiss price dynamics and the relative resistance of the latter to inflationary pressures.</w:t>
      </w:r>
    </w:p>
    <w:p w14:paraId="24A45601" w14:textId="40564C7D" w:rsidR="00E67A87" w:rsidRDefault="008415D0" w:rsidP="00014443">
      <w:pPr>
        <w:jc w:val="both"/>
        <w:rPr>
          <w:rFonts w:ascii="Times New Roman" w:hAnsi="Times New Roman" w:cs="Times New Roman"/>
          <w:lang w:val="en-US"/>
        </w:rPr>
      </w:pPr>
      <w:r>
        <w:rPr>
          <w:rFonts w:ascii="Times New Roman" w:hAnsi="Times New Roman" w:cs="Times New Roman"/>
          <w:lang w:val="en-US"/>
        </w:rPr>
        <w:t xml:space="preserve">Regarding the structure of the Swiss CPI, another line of explanation </w:t>
      </w:r>
      <w:r w:rsidR="001E6524">
        <w:rPr>
          <w:rFonts w:ascii="Times New Roman" w:hAnsi="Times New Roman" w:cs="Times New Roman"/>
          <w:lang w:val="en-US"/>
        </w:rPr>
        <w:t>has emphasized the importance of the high share of administered prices in the basket as a factor behind Switzerland’s price stability.</w:t>
      </w:r>
      <w:r w:rsidR="00A95995">
        <w:rPr>
          <w:rFonts w:ascii="Times New Roman" w:hAnsi="Times New Roman" w:cs="Times New Roman"/>
          <w:lang w:val="en-US"/>
        </w:rPr>
        <w:t xml:space="preserve"> The share of administered prices, defined </w:t>
      </w:r>
      <w:r w:rsidR="009B6415">
        <w:rPr>
          <w:rFonts w:ascii="Times New Roman" w:hAnsi="Times New Roman" w:cs="Times New Roman"/>
          <w:lang w:val="en-US"/>
        </w:rPr>
        <w:t xml:space="preserve">as </w:t>
      </w:r>
      <w:r w:rsidR="009B6415" w:rsidRPr="009B6415">
        <w:rPr>
          <w:rFonts w:ascii="Times New Roman" w:hAnsi="Times New Roman" w:cs="Times New Roman"/>
          <w:lang w:val="en-US"/>
        </w:rPr>
        <w:t>prices set or regulated by the government t</w:t>
      </w:r>
      <w:r w:rsidR="009B6415">
        <w:rPr>
          <w:rFonts w:ascii="Times New Roman" w:hAnsi="Times New Roman" w:cs="Times New Roman"/>
          <w:lang w:val="en-US"/>
        </w:rPr>
        <w:t>hat</w:t>
      </w:r>
      <w:r w:rsidR="009B6415" w:rsidRPr="009B6415">
        <w:rPr>
          <w:rFonts w:ascii="Times New Roman" w:hAnsi="Times New Roman" w:cs="Times New Roman"/>
          <w:lang w:val="en-US"/>
        </w:rPr>
        <w:t xml:space="preserve"> are not determined solely by market supply and demand</w:t>
      </w:r>
      <w:r w:rsidR="009B6415">
        <w:rPr>
          <w:rFonts w:ascii="Times New Roman" w:hAnsi="Times New Roman" w:cs="Times New Roman"/>
          <w:lang w:val="en-US"/>
        </w:rPr>
        <w:t>, is particularly high in Switzerland</w:t>
      </w:r>
      <w:r w:rsidR="00710E8A">
        <w:rPr>
          <w:rFonts w:ascii="Times New Roman" w:hAnsi="Times New Roman" w:cs="Times New Roman"/>
          <w:lang w:val="en-US"/>
        </w:rPr>
        <w:t xml:space="preserve"> as it represents around one-quarter of the CPI</w:t>
      </w:r>
      <w:r w:rsidR="009B6415">
        <w:rPr>
          <w:rFonts w:ascii="Times New Roman" w:hAnsi="Times New Roman" w:cs="Times New Roman"/>
          <w:lang w:val="en-US"/>
        </w:rPr>
        <w:t xml:space="preserve">. In 2025, the share of administrated prices in the harmonized consumer price index was </w:t>
      </w:r>
      <w:r w:rsidR="00374EE4">
        <w:rPr>
          <w:rFonts w:ascii="Times New Roman" w:hAnsi="Times New Roman" w:cs="Times New Roman"/>
          <w:lang w:val="en-US"/>
        </w:rPr>
        <w:t>25</w:t>
      </w:r>
      <w:r w:rsidR="009B6415">
        <w:rPr>
          <w:rFonts w:ascii="Times New Roman" w:hAnsi="Times New Roman" w:cs="Times New Roman"/>
          <w:lang w:val="en-US"/>
        </w:rPr>
        <w:t>% in Switzerland, compared to around 12% in the European Union.</w:t>
      </w:r>
      <w:r w:rsidR="004F583C">
        <w:rPr>
          <w:rFonts w:ascii="Times New Roman" w:hAnsi="Times New Roman" w:cs="Times New Roman"/>
          <w:lang w:val="en-US"/>
        </w:rPr>
        <w:t xml:space="preserve"> </w:t>
      </w:r>
      <w:r w:rsidR="004F583C" w:rsidRPr="004F583C">
        <w:rPr>
          <w:rFonts w:ascii="Times New Roman" w:hAnsi="Times New Roman" w:cs="Times New Roman"/>
          <w:lang w:val="en-US"/>
        </w:rPr>
        <w:t>The fact that one</w:t>
      </w:r>
      <w:r w:rsidR="004F583C">
        <w:rPr>
          <w:rFonts w:ascii="Times New Roman" w:hAnsi="Times New Roman" w:cs="Times New Roman"/>
          <w:lang w:val="en-US"/>
        </w:rPr>
        <w:t xml:space="preserve"> </w:t>
      </w:r>
      <w:r w:rsidR="004F583C" w:rsidRPr="004F583C">
        <w:rPr>
          <w:rFonts w:ascii="Times New Roman" w:hAnsi="Times New Roman" w:cs="Times New Roman"/>
          <w:lang w:val="en-US"/>
        </w:rPr>
        <w:t xml:space="preserve">third of Swiss prices are administered </w:t>
      </w:r>
      <w:r w:rsidR="004F583C">
        <w:rPr>
          <w:rFonts w:ascii="Times New Roman" w:hAnsi="Times New Roman" w:cs="Times New Roman"/>
          <w:lang w:val="en-US"/>
        </w:rPr>
        <w:t xml:space="preserve">naturally raises </w:t>
      </w:r>
      <w:r w:rsidR="004F583C" w:rsidRPr="004F583C">
        <w:rPr>
          <w:rFonts w:ascii="Times New Roman" w:hAnsi="Times New Roman" w:cs="Times New Roman"/>
          <w:lang w:val="en-US"/>
        </w:rPr>
        <w:t xml:space="preserve">the hypothesis that the Swiss government exercises substantial price controls </w:t>
      </w:r>
      <w:r w:rsidR="006457CF" w:rsidRPr="004F583C">
        <w:rPr>
          <w:rFonts w:ascii="Times New Roman" w:hAnsi="Times New Roman" w:cs="Times New Roman"/>
          <w:lang w:val="en-US"/>
        </w:rPr>
        <w:t>to</w:t>
      </w:r>
      <w:r w:rsidR="004F583C" w:rsidRPr="004F583C">
        <w:rPr>
          <w:rFonts w:ascii="Times New Roman" w:hAnsi="Times New Roman" w:cs="Times New Roman"/>
          <w:lang w:val="en-US"/>
        </w:rPr>
        <w:t xml:space="preserve"> keep inflation low</w:t>
      </w:r>
      <w:r w:rsidR="006457CF">
        <w:rPr>
          <w:rFonts w:ascii="Times New Roman" w:hAnsi="Times New Roman" w:cs="Times New Roman"/>
          <w:lang w:val="en-US"/>
        </w:rPr>
        <w:t>.</w:t>
      </w:r>
      <w:r w:rsidR="00AC3DE0">
        <w:rPr>
          <w:rFonts w:ascii="Times New Roman" w:hAnsi="Times New Roman" w:cs="Times New Roman"/>
          <w:lang w:val="en-US"/>
        </w:rPr>
        <w:t xml:space="preserve"> However, </w:t>
      </w:r>
      <w:r w:rsidR="00F575D3">
        <w:rPr>
          <w:rFonts w:ascii="Times New Roman" w:hAnsi="Times New Roman" w:cs="Times New Roman"/>
          <w:lang w:val="en-US"/>
        </w:rPr>
        <w:t xml:space="preserve">the scarce literature on this topic supports that administered prices are not an important driver of low inflation in Switzerland nor a significant factor to explain Switzerland’s inflation gap in comparison with the euro area. On the one hand, despite the importance of administered prices in the Swiss CPI basket, an indicator of inflation excluding them would not have changed substantially price dynamics in the country over the last 20 years, as </w:t>
      </w:r>
      <w:r w:rsidR="00F575D3" w:rsidRPr="00F575D3">
        <w:rPr>
          <w:rFonts w:ascii="Times New Roman" w:hAnsi="Times New Roman" w:cs="Times New Roman"/>
          <w:lang w:val="en-US"/>
        </w:rPr>
        <w:t>CPI inflation excluding administered prices was only 0.1 percentage points higher than CPI inflation including them</w:t>
      </w:r>
      <w:r w:rsidR="00F575D3">
        <w:rPr>
          <w:rFonts w:ascii="Times New Roman" w:hAnsi="Times New Roman" w:cs="Times New Roman"/>
          <w:lang w:val="en-US"/>
        </w:rPr>
        <w:t>. On the other hand, both administered and non-administered prices increased considerably less in Switzerland than in the euro area</w:t>
      </w:r>
      <w:r w:rsidR="00530576">
        <w:rPr>
          <w:rFonts w:ascii="Times New Roman" w:hAnsi="Times New Roman" w:cs="Times New Roman"/>
          <w:lang w:val="en-US"/>
        </w:rPr>
        <w:t xml:space="preserve">. </w:t>
      </w:r>
      <w:r w:rsidR="00530576" w:rsidRPr="00530576">
        <w:rPr>
          <w:rFonts w:ascii="Times New Roman" w:hAnsi="Times New Roman" w:cs="Times New Roman"/>
          <w:lang w:val="en-US"/>
        </w:rPr>
        <w:t xml:space="preserve">This suggests that inflation </w:t>
      </w:r>
      <w:r w:rsidR="00530576">
        <w:rPr>
          <w:rFonts w:ascii="Times New Roman" w:hAnsi="Times New Roman" w:cs="Times New Roman"/>
          <w:lang w:val="en-US"/>
        </w:rPr>
        <w:t>gap</w:t>
      </w:r>
      <w:r w:rsidR="00530576" w:rsidRPr="00530576">
        <w:rPr>
          <w:rFonts w:ascii="Times New Roman" w:hAnsi="Times New Roman" w:cs="Times New Roman"/>
          <w:lang w:val="en-US"/>
        </w:rPr>
        <w:t xml:space="preserve"> between the two economies cannot be attributed solely to </w:t>
      </w:r>
      <w:r w:rsidR="00530576" w:rsidRPr="00530576">
        <w:rPr>
          <w:rFonts w:ascii="Times New Roman" w:hAnsi="Times New Roman" w:cs="Times New Roman"/>
          <w:lang w:val="en-US"/>
        </w:rPr>
        <w:lastRenderedPageBreak/>
        <w:t>administered prices, but must also reflect differences in the evolution of non-administered prices</w:t>
      </w:r>
      <w:r w:rsidR="00530576">
        <w:rPr>
          <w:rFonts w:ascii="Times New Roman" w:hAnsi="Times New Roman" w:cs="Times New Roman"/>
          <w:lang w:val="en-US"/>
        </w:rPr>
        <w:t xml:space="preserve"> </w:t>
      </w:r>
      <w:r w:rsidR="00530576">
        <w:rPr>
          <w:rFonts w:ascii="Times New Roman" w:hAnsi="Times New Roman" w:cs="Times New Roman"/>
          <w:lang w:val="en-US"/>
        </w:rPr>
        <w:fldChar w:fldCharType="begin"/>
      </w:r>
      <w:r w:rsidR="00530576">
        <w:rPr>
          <w:rFonts w:ascii="Times New Roman" w:hAnsi="Times New Roman" w:cs="Times New Roman"/>
          <w:lang w:val="en-US"/>
        </w:rPr>
        <w:instrText xml:space="preserve"> ADDIN ZOTERO_ITEM CSL_CITATION {"citationID":"bWyPTIYZ","properties":{"formattedCitation":"(S. Auer et al. 2025)","plainCitation":"(S. Auer et al. 2025)","noteIndex":0},"citationItems":[{"id":6463,"uris":["http://zotero.org/groups/6311349/items/7KFBSAG5"],"itemData":{"id":6463,"type":"report","number":"10/2025","publisher":"Swiss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schema":"https://github.com/citation-style-language/schema/raw/master/csl-citation.json"} </w:instrText>
      </w:r>
      <w:r w:rsidR="00530576">
        <w:rPr>
          <w:rFonts w:ascii="Times New Roman" w:hAnsi="Times New Roman" w:cs="Times New Roman"/>
          <w:lang w:val="en-US"/>
        </w:rPr>
        <w:fldChar w:fldCharType="separate"/>
      </w:r>
      <w:r w:rsidR="00530576" w:rsidRPr="00530576">
        <w:rPr>
          <w:rFonts w:ascii="Aptos" w:hAnsi="Aptos"/>
          <w:lang w:val="en-US"/>
        </w:rPr>
        <w:t>(S. Auer et al. 2025)</w:t>
      </w:r>
      <w:r w:rsidR="00530576">
        <w:rPr>
          <w:rFonts w:ascii="Times New Roman" w:hAnsi="Times New Roman" w:cs="Times New Roman"/>
          <w:lang w:val="en-US"/>
        </w:rPr>
        <w:fldChar w:fldCharType="end"/>
      </w:r>
      <w:r w:rsidR="00530576">
        <w:rPr>
          <w:rFonts w:ascii="Times New Roman" w:hAnsi="Times New Roman" w:cs="Times New Roman"/>
          <w:lang w:val="en-US"/>
        </w:rPr>
        <w:t>.</w:t>
      </w:r>
    </w:p>
    <w:p w14:paraId="0A85CF08" w14:textId="229D3A0F" w:rsidR="001B2C57" w:rsidRDefault="00F65685" w:rsidP="00014443">
      <w:pPr>
        <w:jc w:val="both"/>
        <w:rPr>
          <w:rFonts w:ascii="Times New Roman" w:hAnsi="Times New Roman" w:cs="Times New Roman"/>
          <w:lang w:val="en-US"/>
        </w:rPr>
      </w:pPr>
      <w:r>
        <w:rPr>
          <w:rFonts w:ascii="Times New Roman" w:hAnsi="Times New Roman" w:cs="Times New Roman"/>
          <w:lang w:val="en-US"/>
        </w:rPr>
        <w:t xml:space="preserve"> </w:t>
      </w:r>
      <w:r w:rsidR="00D266D1">
        <w:rPr>
          <w:rFonts w:ascii="Times New Roman" w:hAnsi="Times New Roman" w:cs="Times New Roman"/>
          <w:lang w:val="en-US"/>
        </w:rPr>
        <w:t>In place of</w:t>
      </w:r>
      <w:r w:rsidR="00A41042">
        <w:rPr>
          <w:rFonts w:ascii="Times New Roman" w:hAnsi="Times New Roman" w:cs="Times New Roman"/>
          <w:lang w:val="en-US"/>
        </w:rPr>
        <w:t xml:space="preserve"> a deliberate policy design</w:t>
      </w:r>
      <w:r w:rsidR="00D266D1">
        <w:rPr>
          <w:rFonts w:ascii="Times New Roman" w:hAnsi="Times New Roman" w:cs="Times New Roman"/>
          <w:lang w:val="en-US"/>
        </w:rPr>
        <w:t>ed</w:t>
      </w:r>
      <w:r w:rsidR="00A41042">
        <w:rPr>
          <w:rFonts w:ascii="Times New Roman" w:hAnsi="Times New Roman" w:cs="Times New Roman"/>
          <w:lang w:val="en-US"/>
        </w:rPr>
        <w:t xml:space="preserve"> to control pr</w:t>
      </w:r>
      <w:r w:rsidR="00D266D1">
        <w:rPr>
          <w:rFonts w:ascii="Times New Roman" w:hAnsi="Times New Roman" w:cs="Times New Roman"/>
          <w:lang w:val="en-US"/>
        </w:rPr>
        <w:t xml:space="preserve">ice level and </w:t>
      </w:r>
      <w:r w:rsidR="00A41042">
        <w:rPr>
          <w:rFonts w:ascii="Times New Roman" w:hAnsi="Times New Roman" w:cs="Times New Roman"/>
          <w:lang w:val="en-US"/>
        </w:rPr>
        <w:t>inflation, the high share of administered prices</w:t>
      </w:r>
      <w:r w:rsidR="00D266D1">
        <w:rPr>
          <w:rFonts w:ascii="Times New Roman" w:hAnsi="Times New Roman" w:cs="Times New Roman"/>
          <w:lang w:val="en-US"/>
        </w:rPr>
        <w:t xml:space="preserve"> rather</w:t>
      </w:r>
      <w:r w:rsidR="00A41042">
        <w:rPr>
          <w:rFonts w:ascii="Times New Roman" w:hAnsi="Times New Roman" w:cs="Times New Roman"/>
          <w:lang w:val="en-US"/>
        </w:rPr>
        <w:t xml:space="preserve"> reflects</w:t>
      </w:r>
      <w:r w:rsidR="00D266D1">
        <w:rPr>
          <w:rFonts w:ascii="Times New Roman" w:hAnsi="Times New Roman" w:cs="Times New Roman"/>
          <w:lang w:val="en-US"/>
        </w:rPr>
        <w:t xml:space="preserve"> in great part</w:t>
      </w:r>
      <w:r w:rsidR="00A41042">
        <w:rPr>
          <w:rFonts w:ascii="Times New Roman" w:hAnsi="Times New Roman" w:cs="Times New Roman"/>
          <w:lang w:val="en-US"/>
        </w:rPr>
        <w:t xml:space="preserve"> Switzerland’s peculiar welfare state system, notably its mandatory health insurance system. </w:t>
      </w:r>
      <w:r w:rsidR="00E67A87">
        <w:rPr>
          <w:rFonts w:ascii="Times New Roman" w:hAnsi="Times New Roman" w:cs="Times New Roman"/>
          <w:lang w:val="en-US"/>
        </w:rPr>
        <w:t>Unlike</w:t>
      </w:r>
      <w:r w:rsidR="00A41042">
        <w:rPr>
          <w:rFonts w:ascii="Times New Roman" w:hAnsi="Times New Roman" w:cs="Times New Roman"/>
          <w:lang w:val="en-US"/>
        </w:rPr>
        <w:t xml:space="preserve"> other European countries</w:t>
      </w:r>
      <w:r w:rsidR="00D266D1">
        <w:rPr>
          <w:rFonts w:ascii="Times New Roman" w:hAnsi="Times New Roman" w:cs="Times New Roman"/>
          <w:lang w:val="en-US"/>
        </w:rPr>
        <w:t xml:space="preserve"> where all health services and products covered by mandatory health insurance are </w:t>
      </w:r>
      <w:r w:rsidR="0058130A">
        <w:rPr>
          <w:rFonts w:ascii="Times New Roman" w:hAnsi="Times New Roman" w:cs="Times New Roman"/>
          <w:lang w:val="en-US"/>
        </w:rPr>
        <w:t xml:space="preserve">directly taken in charge by the state, Swiss </w:t>
      </w:r>
      <w:r w:rsidR="00797B62">
        <w:rPr>
          <w:rFonts w:ascii="Times New Roman" w:hAnsi="Times New Roman" w:cs="Times New Roman"/>
          <w:lang w:val="en-US"/>
        </w:rPr>
        <w:t>residents</w:t>
      </w:r>
      <w:r w:rsidR="0058130A">
        <w:rPr>
          <w:rFonts w:ascii="Times New Roman" w:hAnsi="Times New Roman" w:cs="Times New Roman"/>
          <w:lang w:val="en-US"/>
        </w:rPr>
        <w:t xml:space="preserve"> must </w:t>
      </w:r>
      <w:r w:rsidR="00797B62">
        <w:rPr>
          <w:rFonts w:ascii="Times New Roman" w:hAnsi="Times New Roman" w:cs="Times New Roman"/>
          <w:lang w:val="en-US"/>
        </w:rPr>
        <w:t xml:space="preserve">finance by themselves a great part of health expenditures through out-of-pocket payments </w:t>
      </w:r>
      <w:r w:rsidR="0058130A">
        <w:rPr>
          <w:rFonts w:ascii="Times New Roman" w:hAnsi="Times New Roman" w:cs="Times New Roman"/>
          <w:lang w:val="en-US"/>
        </w:rPr>
        <w:t xml:space="preserve">until a minimum franchise is reached in addition to the premiums which are not taken into account into the Swiss CPI basket. As a result, the </w:t>
      </w:r>
      <w:r w:rsidR="00374EE4">
        <w:rPr>
          <w:rFonts w:ascii="Times New Roman" w:hAnsi="Times New Roman" w:cs="Times New Roman"/>
          <w:lang w:val="en-US"/>
        </w:rPr>
        <w:t>25% share of</w:t>
      </w:r>
      <w:r w:rsidR="0058130A">
        <w:rPr>
          <w:rFonts w:ascii="Times New Roman" w:hAnsi="Times New Roman" w:cs="Times New Roman"/>
          <w:lang w:val="en-US"/>
        </w:rPr>
        <w:t xml:space="preserve"> administered</w:t>
      </w:r>
      <w:r w:rsidR="00374EE4">
        <w:rPr>
          <w:rFonts w:ascii="Times New Roman" w:hAnsi="Times New Roman" w:cs="Times New Roman"/>
          <w:lang w:val="en-US"/>
        </w:rPr>
        <w:t xml:space="preserve"> price</w:t>
      </w:r>
      <w:r w:rsidR="0058130A">
        <w:rPr>
          <w:rFonts w:ascii="Times New Roman" w:hAnsi="Times New Roman" w:cs="Times New Roman"/>
          <w:lang w:val="en-US"/>
        </w:rPr>
        <w:t xml:space="preserve"> </w:t>
      </w:r>
      <w:r w:rsidR="00374EE4">
        <w:rPr>
          <w:rFonts w:ascii="Times New Roman" w:hAnsi="Times New Roman" w:cs="Times New Roman"/>
          <w:lang w:val="en-US"/>
        </w:rPr>
        <w:t xml:space="preserve">is artificially inflated by a high share of health goods and services (around 14%) which are administered as they are covered and thus regulated by the compulsory public plan, but whose expenses must still be supported </w:t>
      </w:r>
      <w:r w:rsidR="00F86060">
        <w:rPr>
          <w:rFonts w:ascii="Times New Roman" w:hAnsi="Times New Roman" w:cs="Times New Roman"/>
          <w:lang w:val="en-US"/>
        </w:rPr>
        <w:t>through</w:t>
      </w:r>
      <w:r w:rsidR="00374EE4">
        <w:rPr>
          <w:rFonts w:ascii="Times New Roman" w:hAnsi="Times New Roman" w:cs="Times New Roman"/>
          <w:lang w:val="en-US"/>
        </w:rPr>
        <w:t xml:space="preserve"> out-of-pocket payments by households.</w:t>
      </w:r>
      <w:r w:rsidR="00E67A87">
        <w:rPr>
          <w:rFonts w:ascii="Times New Roman" w:hAnsi="Times New Roman" w:cs="Times New Roman"/>
          <w:lang w:val="en-US"/>
        </w:rPr>
        <w:t xml:space="preserve"> In contrast, the share of products and services with administered prices </w:t>
      </w:r>
      <w:r w:rsidR="001B2C57">
        <w:rPr>
          <w:rFonts w:ascii="Times New Roman" w:hAnsi="Times New Roman" w:cs="Times New Roman"/>
          <w:lang w:val="en-US"/>
        </w:rPr>
        <w:t xml:space="preserve">for other key items </w:t>
      </w:r>
      <w:r w:rsidR="00E67A87">
        <w:rPr>
          <w:rFonts w:ascii="Times New Roman" w:hAnsi="Times New Roman" w:cs="Times New Roman"/>
          <w:lang w:val="en-US"/>
        </w:rPr>
        <w:t xml:space="preserve">are significantly lower: 3% for energy or 2,3% for transports </w:t>
      </w:r>
      <w:r w:rsidR="00E67A87">
        <w:rPr>
          <w:rFonts w:ascii="Times New Roman" w:hAnsi="Times New Roman" w:cs="Times New Roman"/>
          <w:lang w:val="en-US"/>
        </w:rPr>
        <w:fldChar w:fldCharType="begin"/>
      </w:r>
      <w:r w:rsidR="00E67A87">
        <w:rPr>
          <w:rFonts w:ascii="Times New Roman" w:hAnsi="Times New Roman" w:cs="Times New Roman"/>
          <w:lang w:val="en-US"/>
        </w:rPr>
        <w:instrText xml:space="preserve"> ADDIN ZOTERO_ITEM CSL_CITATION {"citationID":"4DtIyZIQ","properties":{"formattedCitation":"(S. Auer et al. 2025; Mergele et al. 2026)","plainCitation":"(S. Auer et al. 2025; Mergele et al. 2026)","noteIndex":0},"citationItems":[{"id":6463,"uris":["http://zotero.org/groups/6311349/items/7KFBSAG5"],"itemData":{"id":6463,"type":"report","number":"10/2025","publisher":"Swiss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id":6665,"uris":["http://zotero.org/groups/6311349/items/EEFFBZEW"],"itemData":{"id":6665,"type":"article-journal","container-title":"Grundlagen für die Wirtschaftspolitik","issue":"62","publisher":"SECO","publisher-place":"Bern","title":"Administriete Preise","author":[{"family":"Mergele","given":"Lukas"},{"family":"Wehrli","given":"Damian"},{"family":"Winistörfer","given":"Nils"}],"issued":{"date-parts":[["2026"]]}}}],"schema":"https://github.com/citation-style-language/schema/raw/master/csl-citation.json"} </w:instrText>
      </w:r>
      <w:r w:rsidR="00E67A87">
        <w:rPr>
          <w:rFonts w:ascii="Times New Roman" w:hAnsi="Times New Roman" w:cs="Times New Roman"/>
          <w:lang w:val="en-US"/>
        </w:rPr>
        <w:fldChar w:fldCharType="separate"/>
      </w:r>
      <w:r w:rsidR="00E67A87" w:rsidRPr="00E67A87">
        <w:rPr>
          <w:rFonts w:ascii="Aptos" w:hAnsi="Aptos"/>
          <w:lang w:val="en-US"/>
        </w:rPr>
        <w:t>(S. Auer et al. 2025; Mergele et al. 2026)</w:t>
      </w:r>
      <w:r w:rsidR="00E67A87">
        <w:rPr>
          <w:rFonts w:ascii="Times New Roman" w:hAnsi="Times New Roman" w:cs="Times New Roman"/>
          <w:lang w:val="en-US"/>
        </w:rPr>
        <w:fldChar w:fldCharType="end"/>
      </w:r>
      <w:r w:rsidR="00E67A87">
        <w:rPr>
          <w:rFonts w:ascii="Times New Roman" w:hAnsi="Times New Roman" w:cs="Times New Roman"/>
          <w:lang w:val="en-US"/>
        </w:rPr>
        <w:t>.</w:t>
      </w:r>
      <w:r w:rsidR="001B2C57">
        <w:rPr>
          <w:rFonts w:ascii="Times New Roman" w:hAnsi="Times New Roman" w:cs="Times New Roman"/>
          <w:lang w:val="en-US"/>
        </w:rPr>
        <w:t xml:space="preserve"> </w:t>
      </w:r>
    </w:p>
    <w:p w14:paraId="07F5ED2F" w14:textId="16AA3832" w:rsidR="008614C6" w:rsidRDefault="008614C6" w:rsidP="008614C6">
      <w:pPr>
        <w:pStyle w:val="Titre1"/>
        <w:rPr>
          <w:lang w:val="en-US"/>
        </w:rPr>
      </w:pPr>
      <w:r>
        <w:rPr>
          <w:lang w:val="en-US"/>
        </w:rPr>
        <w:t>The role of price administration in systemically significant sectors</w:t>
      </w:r>
    </w:p>
    <w:p w14:paraId="0BCA859F" w14:textId="5391A8BD" w:rsidR="00835200" w:rsidRDefault="00835200" w:rsidP="00835200">
      <w:pPr>
        <w:jc w:val="both"/>
        <w:rPr>
          <w:rFonts w:ascii="Times New Roman" w:hAnsi="Times New Roman" w:cs="Times New Roman"/>
          <w:lang w:val="en-US"/>
        </w:rPr>
      </w:pPr>
      <w:r w:rsidRPr="00835200">
        <w:rPr>
          <w:rFonts w:ascii="Times New Roman" w:hAnsi="Times New Roman" w:cs="Times New Roman"/>
          <w:lang w:val="en-US"/>
        </w:rPr>
        <w:t xml:space="preserve">Does price administration </w:t>
      </w:r>
      <w:r w:rsidR="00744192">
        <w:rPr>
          <w:rFonts w:ascii="Times New Roman" w:hAnsi="Times New Roman" w:cs="Times New Roman"/>
          <w:lang w:val="en-US"/>
        </w:rPr>
        <w:t xml:space="preserve">truly </w:t>
      </w:r>
      <w:r w:rsidRPr="00835200">
        <w:rPr>
          <w:rFonts w:ascii="Times New Roman" w:hAnsi="Times New Roman" w:cs="Times New Roman"/>
          <w:lang w:val="en-US"/>
        </w:rPr>
        <w:t>play</w:t>
      </w:r>
      <w:r w:rsidR="00744192">
        <w:rPr>
          <w:rFonts w:ascii="Times New Roman" w:hAnsi="Times New Roman" w:cs="Times New Roman"/>
          <w:lang w:val="en-US"/>
        </w:rPr>
        <w:t xml:space="preserve"> </w:t>
      </w:r>
      <w:r w:rsidRPr="00835200">
        <w:rPr>
          <w:rFonts w:ascii="Times New Roman" w:hAnsi="Times New Roman" w:cs="Times New Roman"/>
          <w:lang w:val="en-US"/>
        </w:rPr>
        <w:t>no role behind Switzerland’s resistance to inflation?</w:t>
      </w:r>
      <w:r>
        <w:rPr>
          <w:rFonts w:ascii="Times New Roman" w:hAnsi="Times New Roman" w:cs="Times New Roman"/>
          <w:lang w:val="en-US"/>
        </w:rPr>
        <w:t xml:space="preserve"> </w:t>
      </w:r>
      <w:r w:rsidRPr="00835200">
        <w:rPr>
          <w:rFonts w:ascii="Times New Roman" w:hAnsi="Times New Roman" w:cs="Times New Roman"/>
          <w:lang w:val="en-US"/>
        </w:rPr>
        <w:t xml:space="preserve">In this section, </w:t>
      </w:r>
      <w:r>
        <w:rPr>
          <w:rFonts w:ascii="Times New Roman" w:hAnsi="Times New Roman" w:cs="Times New Roman"/>
          <w:lang w:val="en-US"/>
        </w:rPr>
        <w:t xml:space="preserve">we show that the arguments against a substantial effect of price administration on price stability in Switzerland outlined </w:t>
      </w:r>
      <w:r w:rsidR="00F30EDB">
        <w:rPr>
          <w:rFonts w:ascii="Times New Roman" w:hAnsi="Times New Roman" w:cs="Times New Roman"/>
          <w:lang w:val="en-US"/>
        </w:rPr>
        <w:t>in the previous section</w:t>
      </w:r>
      <w:r>
        <w:rPr>
          <w:rFonts w:ascii="Times New Roman" w:hAnsi="Times New Roman" w:cs="Times New Roman"/>
          <w:lang w:val="en-US"/>
        </w:rPr>
        <w:t xml:space="preserve"> </w:t>
      </w:r>
      <w:r w:rsidR="007D40EB">
        <w:rPr>
          <w:rFonts w:ascii="Times New Roman" w:hAnsi="Times New Roman" w:cs="Times New Roman"/>
          <w:lang w:val="en-US"/>
        </w:rPr>
        <w:t>do not hold when we account for the fact that price administration is present in sector</w:t>
      </w:r>
      <w:r w:rsidR="003C705A">
        <w:rPr>
          <w:rFonts w:ascii="Times New Roman" w:hAnsi="Times New Roman" w:cs="Times New Roman"/>
          <w:lang w:val="en-US"/>
        </w:rPr>
        <w:t>s</w:t>
      </w:r>
      <w:r w:rsidR="007D40EB">
        <w:rPr>
          <w:rFonts w:ascii="Times New Roman" w:hAnsi="Times New Roman" w:cs="Times New Roman"/>
          <w:lang w:val="en-US"/>
        </w:rPr>
        <w:t xml:space="preserve"> with systemically significant prices</w:t>
      </w:r>
      <w:r w:rsidR="00710E8A">
        <w:rPr>
          <w:rFonts w:ascii="Times New Roman" w:hAnsi="Times New Roman" w:cs="Times New Roman"/>
          <w:lang w:val="en-US"/>
        </w:rPr>
        <w:t xml:space="preserve">. </w:t>
      </w:r>
      <w:r w:rsidR="00B464A8">
        <w:rPr>
          <w:rFonts w:ascii="Times New Roman" w:hAnsi="Times New Roman" w:cs="Times New Roman"/>
          <w:lang w:val="en-US"/>
        </w:rPr>
        <w:t>We cannot evaluate the impact of administered price simply by comparing the differences in level and evolution of a</w:t>
      </w:r>
      <w:r w:rsidR="002B302B">
        <w:rPr>
          <w:rFonts w:ascii="Times New Roman" w:hAnsi="Times New Roman" w:cs="Times New Roman"/>
          <w:lang w:val="en-US"/>
        </w:rPr>
        <w:t>n</w:t>
      </w:r>
      <w:r w:rsidR="00B464A8">
        <w:rPr>
          <w:rFonts w:ascii="Times New Roman" w:hAnsi="Times New Roman" w:cs="Times New Roman"/>
          <w:lang w:val="en-US"/>
        </w:rPr>
        <w:t xml:space="preserve"> administered prices-free CPI and one excluding them as such an approach overlooks prices interrelationships and potential cascade effects through the cost structures of the economy.</w:t>
      </w:r>
      <w:r w:rsidR="002B302B">
        <w:rPr>
          <w:rFonts w:ascii="Times New Roman" w:hAnsi="Times New Roman" w:cs="Times New Roman"/>
          <w:lang w:val="en-US"/>
        </w:rPr>
        <w:t xml:space="preserve"> This is especially relevant when price administration operates in sectors with systemically significant prices.</w:t>
      </w:r>
      <w:r w:rsidR="00097824">
        <w:rPr>
          <w:rFonts w:ascii="Times New Roman" w:hAnsi="Times New Roman" w:cs="Times New Roman"/>
          <w:lang w:val="en-US"/>
        </w:rPr>
        <w:t xml:space="preserve"> In the context of price stability, </w:t>
      </w:r>
      <w:r w:rsidR="00F30EDB">
        <w:rPr>
          <w:rFonts w:ascii="Times New Roman" w:hAnsi="Times New Roman" w:cs="Times New Roman"/>
          <w:lang w:val="en-US"/>
        </w:rPr>
        <w:t xml:space="preserve">the concept of systemically significant prices developed by </w:t>
      </w:r>
      <w:r w:rsidR="00F30EDB">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{"citationID":"I4rdK7le","properties":{"formattedCitation":"(Weber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sidR="00F30EDB">
        <w:rPr>
          <w:rFonts w:ascii="Times New Roman" w:hAnsi="Times New Roman" w:cs="Times New Roman"/>
          <w:lang w:val="en-US"/>
        </w:rPr>
        <w:fldChar w:fldCharType="separate"/>
      </w:r>
      <w:r w:rsidR="00F30EDB" w:rsidRPr="00F30EDB">
        <w:rPr>
          <w:rFonts w:ascii="Aptos" w:hAnsi="Aptos"/>
          <w:lang w:val="en-US"/>
        </w:rPr>
        <w:t xml:space="preserve">Weber et al. </w:t>
      </w:r>
      <w:r w:rsidR="00F30EDB" w:rsidRPr="004B46A3">
        <w:rPr>
          <w:rFonts w:ascii="Aptos" w:hAnsi="Aptos"/>
          <w:lang w:val="en-US"/>
        </w:rPr>
        <w:t>(2024)</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xml:space="preserve"> (after </w:t>
      </w:r>
      <w:r w:rsidR="00F30EDB">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{"citationID":"2EzF4PzN","properties":{"formattedCitation":"(Hockett and Omarova 2016)","plainCitation":"(Hockett and Omarova 2016)","dontUpdate":true,"noteIndex":0},"citationItems":[{"id":6704,"uris":["http://zotero.org/groups/6311349/items/NZ4TQUBJ"],"itemData":{"id":6704,"type":"article-journal","abstract":"Some prices and indices in domestic or global markets take on particular market-wide importance. This can occur either because (i) they are associated with ubiquitous inputs to production, (ii) they are associated with highly popular asset classes, (iii) by convention they tend to be used as benchmarks in determining other prices, or (iv) some combination of the above.  Examples include prevailing wage and salary rates, certain energy and commodity prices, and such indices and borrowing rates as the Standard &amp;amp; Poor’s 500, the Federal Funds Rate, and the Libor and Euribor interbank lending rate benchmarks.We call such prices and indices ‘systemically important’ prices and indices, or ‘SIPIs’. Over the long term, these prices and indices tend towards certain statistical mean values that reflect determinants that can plausibly be treated as ‘fundamentals’, be these demographic, technological, or global-quantity-rooted in character.  At times, however, SIPIs can move out of alignment with mean values and associated fundamentals owing to distortions stemming from missing information, recursive collective action problems (including ‘noise’ trading and ‘herd’ behaviour), or even deliberately manipulative behaviour on the part of influential or colluding market actors. We develop a general account of systemically important prices and indices as well as of the market vulnerabilities to which they can give rise. We then develop a menu of regulatory strategies for addressing these vulnerabilities in manners that protect markets’ capacities to translate fundamental values into (more) accurate prices or indices when such prices or indices are systemically important.  Key to the effort is recognizing that what we propose is in some cases what regulators are committed to doing already in maintaining market integrity, and in other cases is what central banks do already in determining appropriate money rental (‘interest‘) rates and securing them through open market operations.","container-title":"Journal of Financial Regulation","DOI":"10.1093/jfr/fjw007","ISSN":"2053-4833","issue":"1","journalAbbreviation":"J Financ Regul","page":"1-20","source":"Silverchair","title":"Systemically Significant Prices","volume":"2","author":[{"family":"Hockett","given":"Robert C."},{"family":"Omarova","given":"Saule T."}],"issued":{"date-parts":[["2016",3,1]]}}}],"schema":"https://github.com/citation-style-language/schema/raw/master/csl-citation.json"} </w:instrText>
      </w:r>
      <w:r w:rsidR="00F30EDB">
        <w:rPr>
          <w:rFonts w:ascii="Times New Roman" w:hAnsi="Times New Roman" w:cs="Times New Roman"/>
          <w:lang w:val="en-US"/>
        </w:rPr>
        <w:fldChar w:fldCharType="separate"/>
      </w:r>
      <w:r w:rsidR="00F30EDB" w:rsidRPr="004B46A3">
        <w:rPr>
          <w:rFonts w:ascii="Aptos" w:hAnsi="Aptos"/>
          <w:lang w:val="en-US"/>
        </w:rPr>
        <w:t>Hockett and Omarova (2016)</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refer</w:t>
      </w:r>
      <w:r w:rsidR="003C705A">
        <w:rPr>
          <w:rFonts w:ascii="Times New Roman" w:hAnsi="Times New Roman" w:cs="Times New Roman"/>
          <w:lang w:val="en-US"/>
        </w:rPr>
        <w:t>s</w:t>
      </w:r>
      <w:r w:rsidR="004B46A3" w:rsidRPr="004B46A3">
        <w:rPr>
          <w:rFonts w:ascii="Times New Roman" w:hAnsi="Times New Roman" w:cs="Times New Roman"/>
          <w:lang w:val="en-US"/>
        </w:rPr>
        <w:t xml:space="preserve"> to prices which have a considerable impact on th</w:t>
      </w:r>
      <w:r w:rsidR="004B46A3">
        <w:rPr>
          <w:rFonts w:ascii="Times New Roman" w:hAnsi="Times New Roman" w:cs="Times New Roman"/>
          <w:lang w:val="en-US"/>
        </w:rPr>
        <w:t xml:space="preserve">e general price level measured by the CPI. </w:t>
      </w:r>
      <w:r w:rsidR="00EB26C4">
        <w:rPr>
          <w:rFonts w:ascii="Times New Roman" w:hAnsi="Times New Roman" w:cs="Times New Roman"/>
          <w:lang w:val="en-US"/>
        </w:rPr>
        <w:t xml:space="preserve">Prices should not therefore be analyzed in isolation, but as part of a complex interdependent input-output system in which shocks to some prices matter more than others since they will have a greater impact on overall inflation due to the ubiquity of their products. The interest of this approach is thus to identify </w:t>
      </w:r>
      <w:r w:rsidR="007D40EB">
        <w:rPr>
          <w:rFonts w:ascii="Times New Roman" w:hAnsi="Times New Roman" w:cs="Times New Roman"/>
          <w:lang w:val="en-US"/>
        </w:rPr>
        <w:t>specific points</w:t>
      </w:r>
      <w:r w:rsidR="00EB26C4">
        <w:rPr>
          <w:rFonts w:ascii="Times New Roman" w:hAnsi="Times New Roman" w:cs="Times New Roman"/>
          <w:lang w:val="en-US"/>
        </w:rPr>
        <w:t xml:space="preserve"> of vulnerability among prices that matter the most for inflation, considering the cost relationships between sectors.</w:t>
      </w:r>
    </w:p>
    <w:p w14:paraId="63A53026" w14:textId="2E85E5DF" w:rsidR="007B0599" w:rsidRDefault="00351431" w:rsidP="00835200">
      <w:pPr>
        <w:jc w:val="both"/>
        <w:rPr>
          <w:rFonts w:ascii="Times New Roman" w:hAnsi="Times New Roman" w:cs="Times New Roman"/>
          <w:lang w:val="en-US"/>
        </w:rPr>
      </w:pPr>
      <w:r>
        <w:rPr>
          <w:rFonts w:ascii="Times New Roman" w:hAnsi="Times New Roman" w:cs="Times New Roman"/>
          <w:lang w:val="en-US"/>
        </w:rPr>
        <w:t xml:space="preserve">The foundational study by </w:t>
      </w:r>
      <w:r>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{"citationID":"AEUcrdhb","properties":{"formattedCitation":"(Weber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Pr>
          <w:rFonts w:ascii="Times New Roman" w:hAnsi="Times New Roman" w:cs="Times New Roman"/>
          <w:lang w:val="en-US"/>
        </w:rPr>
        <w:fldChar w:fldCharType="separate"/>
      </w:r>
      <w:r w:rsidRPr="00F30EDB">
        <w:rPr>
          <w:rFonts w:ascii="Aptos" w:hAnsi="Aptos"/>
          <w:lang w:val="en-US"/>
        </w:rPr>
        <w:t xml:space="preserve">Weber et al. </w:t>
      </w:r>
      <w:r w:rsidRPr="004B46A3">
        <w:rPr>
          <w:rFonts w:ascii="Aptos" w:hAnsi="Aptos"/>
          <w:lang w:val="en-US"/>
        </w:rPr>
        <w:t>(2024)</w:t>
      </w:r>
      <w:r>
        <w:rPr>
          <w:rFonts w:ascii="Times New Roman" w:hAnsi="Times New Roman" w:cs="Times New Roman"/>
          <w:lang w:val="en-US"/>
        </w:rPr>
        <w:fldChar w:fldCharType="end"/>
      </w:r>
      <w:r>
        <w:rPr>
          <w:rFonts w:ascii="Times New Roman" w:hAnsi="Times New Roman" w:cs="Times New Roman"/>
          <w:lang w:val="en-US"/>
        </w:rPr>
        <w:t xml:space="preserve"> captured these cost-prices interrelationships using a Leontief price model on input-output table for the US economy in which they ran simulation shocks to explore how price volatility in each sector propagates through indirect and direct effect on </w:t>
      </w:r>
      <w:r w:rsidR="007D40EB">
        <w:rPr>
          <w:rFonts w:ascii="Times New Roman" w:hAnsi="Times New Roman" w:cs="Times New Roman"/>
          <w:lang w:val="en-US"/>
        </w:rPr>
        <w:t>CPI inflation</w:t>
      </w:r>
      <w:r>
        <w:rPr>
          <w:rFonts w:ascii="Times New Roman" w:hAnsi="Times New Roman" w:cs="Times New Roman"/>
          <w:lang w:val="en-US"/>
        </w:rPr>
        <w:t xml:space="preserve">. </w:t>
      </w:r>
      <w:r w:rsidR="00E14A52">
        <w:rPr>
          <w:rFonts w:ascii="Times New Roman" w:hAnsi="Times New Roman" w:cs="Times New Roman"/>
          <w:lang w:val="en-US"/>
        </w:rPr>
        <w:t xml:space="preserve">The results of their simulations of price shocks identified petroleum &amp; coal, oil &amp; gas as the most systemically significant prices considering their price volatility for the period 2000-2022, followed by other items such as food, farming, chemicals, </w:t>
      </w:r>
      <w:r w:rsidR="00E14A52">
        <w:rPr>
          <w:rFonts w:ascii="Times New Roman" w:hAnsi="Times New Roman" w:cs="Times New Roman"/>
          <w:lang w:val="en-US"/>
        </w:rPr>
        <w:lastRenderedPageBreak/>
        <w:t>housing or wholesale trade.</w:t>
      </w:r>
      <w:r w:rsidR="007B0599">
        <w:rPr>
          <w:rFonts w:ascii="Times New Roman" w:hAnsi="Times New Roman" w:cs="Times New Roman"/>
          <w:lang w:val="en-US"/>
        </w:rPr>
        <w:t xml:space="preserve"> In other words, they group three types of systemically significant sectors: those essential for human livelihood such as food, housing and utilities; those providing for the infrastructure of commerce such as wholesale trade; and those that provide key production inputs like oil, petroleum and chemicals. This typology of systemically significant sectors</w:t>
      </w:r>
      <w:r w:rsidR="00D54014">
        <w:rPr>
          <w:rFonts w:ascii="Times New Roman" w:hAnsi="Times New Roman" w:cs="Times New Roman"/>
          <w:lang w:val="en-US"/>
        </w:rPr>
        <w:t xml:space="preserve"> as well of their overall results</w:t>
      </w:r>
      <w:r w:rsidR="007B0599">
        <w:rPr>
          <w:rFonts w:ascii="Times New Roman" w:hAnsi="Times New Roman" w:cs="Times New Roman"/>
          <w:lang w:val="en-US"/>
        </w:rPr>
        <w:t xml:space="preserve"> </w:t>
      </w:r>
      <w:r w:rsidR="00D54014">
        <w:rPr>
          <w:rFonts w:ascii="Times New Roman" w:hAnsi="Times New Roman" w:cs="Times New Roman"/>
          <w:lang w:val="en-US"/>
        </w:rPr>
        <w:t xml:space="preserve">were </w:t>
      </w:r>
      <w:r w:rsidR="007B0599">
        <w:rPr>
          <w:rFonts w:ascii="Times New Roman" w:hAnsi="Times New Roman" w:cs="Times New Roman"/>
          <w:lang w:val="en-US"/>
        </w:rPr>
        <w:t xml:space="preserve">confirmed </w:t>
      </w:r>
      <w:r w:rsidR="00D54014">
        <w:rPr>
          <w:rFonts w:ascii="Times New Roman" w:hAnsi="Times New Roman" w:cs="Times New Roman"/>
          <w:lang w:val="en-US"/>
        </w:rPr>
        <w:t xml:space="preserve">in subsequent studies for instance </w:t>
      </w:r>
      <w:r w:rsidR="007B0599">
        <w:rPr>
          <w:rFonts w:ascii="Times New Roman" w:hAnsi="Times New Roman" w:cs="Times New Roman"/>
          <w:lang w:val="en-US"/>
        </w:rPr>
        <w:t xml:space="preserve">by </w:t>
      </w:r>
      <w:r w:rsidR="007B0599">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{"citationID":"g4aZEgwN","properties":{"formattedCitation":"(Weber et al. 2026)","plainCitation":"(Weber et al. 2026)","dontUpdate":true,"noteIndex":0},"citationItems":[{"id":6586,"uris":["http://zotero.org/groups/6311349/items/8YS97DDS"],"itemData":{"id":6586,"type":"article-journal","abstract":"Climate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7B0599">
        <w:rPr>
          <w:rFonts w:ascii="Times New Roman" w:hAnsi="Times New Roman" w:cs="Times New Roman"/>
          <w:lang w:val="en-US"/>
        </w:rPr>
        <w:fldChar w:fldCharType="separate"/>
      </w:r>
      <w:r w:rsidR="007B0599" w:rsidRPr="007B0599">
        <w:rPr>
          <w:rFonts w:ascii="Aptos" w:hAnsi="Aptos"/>
          <w:lang w:val="en-US"/>
        </w:rPr>
        <w:t xml:space="preserve">Weber et al. </w:t>
      </w:r>
      <w:r w:rsidR="007B0599">
        <w:rPr>
          <w:rFonts w:ascii="Aptos" w:hAnsi="Aptos"/>
          <w:lang w:val="en-US"/>
        </w:rPr>
        <w:t>(</w:t>
      </w:r>
      <w:r w:rsidR="007B0599" w:rsidRPr="007B0599">
        <w:rPr>
          <w:rFonts w:ascii="Aptos" w:hAnsi="Aptos"/>
          <w:lang w:val="en-US"/>
        </w:rPr>
        <w:t>2026)</w:t>
      </w:r>
      <w:r w:rsidR="007B0599">
        <w:rPr>
          <w:rFonts w:ascii="Times New Roman" w:hAnsi="Times New Roman" w:cs="Times New Roman"/>
          <w:lang w:val="en-US"/>
        </w:rPr>
        <w:fldChar w:fldCharType="end"/>
      </w:r>
      <w:r w:rsidR="007B0599">
        <w:rPr>
          <w:rFonts w:ascii="Times New Roman" w:hAnsi="Times New Roman" w:cs="Times New Roman"/>
          <w:lang w:val="en-US"/>
        </w:rPr>
        <w:t xml:space="preserve"> for the German economy</w:t>
      </w:r>
      <w:r w:rsidR="00D54014">
        <w:rPr>
          <w:rFonts w:ascii="Times New Roman" w:hAnsi="Times New Roman" w:cs="Times New Roman"/>
          <w:lang w:val="en-US"/>
        </w:rPr>
        <w:t xml:space="preserve"> and </w:t>
      </w:r>
      <w:r w:rsidR="0086370E">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{"citationID":"GIPrjWvE","properties":{"formattedCitation":"(Goldztejn 2024)","plainCitation":"(Goldztejn 2024)","dontUpdate":true,"noteIndex":0},"citationItems":[{"id":6700,"uris":["http://zotero.org/groups/6311349/items/I3H2DAXF"],"itemData":{"id":6700,"type":"report","abstract":"In this paper, we analyse the recent inflation period (2021-2023) in the case of France. We first study the cost-push dimension of inflation with an Input-Output price model (Leontief price model) using the methodology developed by Weber et al (2024) for the USA, which we extend to include the sensitivity of the CPI to import prices; this allows us to identify, in the case of France, the 'systemically significant' sectors as defined by Weber et al (2024) (after Hockett &amp; Omarova (2016)). In the second part, based on detailed National Accounts data, we study the evolution of price components and value sharing, accounting for the sector heterogeneity of the dynamics. In this section, we also provide elements to the debate on 'profit inflation'. Based on the results obtained, it seems that the term 'cost-push-profit-led inflation' (Nikiforos et al (2024)) appropriately describes the phenomenon observed in France over the period studied. These results call for a rethinking and renewing of the policy toolbox against inflation. These considerations prove particularly relevant in the context of ecological transition, because of the various issues it raises: in terms of energy, raw materials and provisioning (Miller et al (2023)), but also of satisfying essential needs through the production and distribution of specific goods and services in a post-growth context (Doyal &amp; Gough (1984), Briens (2015), Millward-Hopkins (2020), Durand et al (2024)).","genre":"Working Paper","language":"eng","license":"https://www.econstor.eu/dspace/Nutzungsbedingungen","number":"110","publisher":"FMM Working Paper","source":"www.econstor.eu","title":"Cost-push and conflict inflation: The case of France between 2021 and 2023","title-short":"Cost-push and conflict inflation","URL":"https://www.econstor.eu/handle/10419/324475","author":[{"family":"Goldztejn","given":"Dimitri"}],"accessed":{"date-parts":[["2026",7,13]]},"issued":{"date-parts":[["2024"]]}}}],"schema":"https://github.com/citation-style-language/schema/raw/master/csl-citation.json"} </w:instrText>
      </w:r>
      <w:r w:rsidR="0086370E">
        <w:rPr>
          <w:rFonts w:ascii="Times New Roman" w:hAnsi="Times New Roman" w:cs="Times New Roman"/>
          <w:lang w:val="en-US"/>
        </w:rPr>
        <w:fldChar w:fldCharType="separate"/>
      </w:r>
      <w:r w:rsidR="0086370E" w:rsidRPr="0086370E">
        <w:rPr>
          <w:rFonts w:ascii="Aptos" w:hAnsi="Aptos"/>
          <w:lang w:val="en-US"/>
        </w:rPr>
        <w:t xml:space="preserve">Goldztejn </w:t>
      </w:r>
      <w:r w:rsidR="0086370E">
        <w:rPr>
          <w:rFonts w:ascii="Aptos" w:hAnsi="Aptos"/>
          <w:lang w:val="en-US"/>
        </w:rPr>
        <w:t>(</w:t>
      </w:r>
      <w:r w:rsidR="0086370E" w:rsidRPr="0086370E">
        <w:rPr>
          <w:rFonts w:ascii="Aptos" w:hAnsi="Aptos"/>
          <w:lang w:val="en-US"/>
        </w:rPr>
        <w:t>2024)</w:t>
      </w:r>
      <w:r w:rsidR="0086370E">
        <w:rPr>
          <w:rFonts w:ascii="Times New Roman" w:hAnsi="Times New Roman" w:cs="Times New Roman"/>
          <w:lang w:val="en-US"/>
        </w:rPr>
        <w:fldChar w:fldCharType="end"/>
      </w:r>
      <w:r w:rsidR="00D54014">
        <w:rPr>
          <w:rFonts w:ascii="Times New Roman" w:hAnsi="Times New Roman" w:cs="Times New Roman"/>
          <w:lang w:val="en-US"/>
        </w:rPr>
        <w:t xml:space="preserve"> for France.</w:t>
      </w:r>
      <w:r w:rsidR="0086370E">
        <w:rPr>
          <w:rFonts w:ascii="Times New Roman" w:hAnsi="Times New Roman" w:cs="Times New Roman"/>
          <w:lang w:val="en-US"/>
        </w:rPr>
        <w:t xml:space="preserve"> </w:t>
      </w:r>
      <w:r w:rsidR="009A0225">
        <w:rPr>
          <w:rFonts w:ascii="Times New Roman" w:hAnsi="Times New Roman" w:cs="Times New Roman"/>
          <w:lang w:val="en-US"/>
        </w:rPr>
        <w:t xml:space="preserve">Using the World Input Output Database rather than national input output tables, </w:t>
      </w:r>
      <w:r w:rsidR="009A0225">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{"citationID":"vEpmvEfA","properties":{"formattedCitation":"(Ipsen et al. 2025)","plainCitation":"(Ipsen et al. 2025)","dontUpdate":true,"noteIndex":0},"citationItems":[{"id":6694,"uris":["http://zotero.org/groups/6311349/items/EYAZQBGE"],"itemData":{"id":6694,"type":"article-journal","abstract":"This paper documents asymmetries in price shock exposure for the EU, EU core and periphery within the global production network. Building on the foundational work of Weber et al. (2024a), we run a cost-push stress-test using data from the World Input Output Database to estimate a region’s exposure to globally originating and propagating price shocks. We confirm the existence of systemically significant sectors which dominate the overall price level. While the final goods price effects of various sectors are significant, about half are the result of higher-order propagation. This indirect effect is even larger for peripheral countries. Tracing disaggregated shock trajectories uncovers that price volatility originating in core and non-EU countries impacts the peripheral countries more than vice versa. Simultaneously, our method of recovering consumption substitution effects shows that substitution is more limited in the European periphery. The stark asymmetries in exposure have profound implications for fiscal and monetary policy.","container-title":"Structural Change and Economic Dynamics","DOI":"10.1016/j.strueco.2025.05.010","ISSN":"0954-349X","journalAbbreviation":"Structural Change and Economic Dynamics","page":"713-724","source":"ScienceDirect","title":"Stress-testing Inflation Exposure: Systemically significant prices and asymmetric shock propagation in the EU","title-short":"Stress-testing Inflation Exposure","volume":"74","author":[{"family":"Ipsen","given":"Leonhard"},{"family":"Aminian","given":"Armin"},{"family":"Schulz","given":"Jan"}],"issued":{"date-parts":[["2025",9,1]]}}}],"schema":"https://github.com/citation-style-language/schema/raw/master/csl-citation.json"} </w:instrText>
      </w:r>
      <w:r w:rsidR="009A0225">
        <w:rPr>
          <w:rFonts w:ascii="Times New Roman" w:hAnsi="Times New Roman" w:cs="Times New Roman"/>
          <w:lang w:val="en-US"/>
        </w:rPr>
        <w:fldChar w:fldCharType="separate"/>
      </w:r>
      <w:r w:rsidR="009A0225" w:rsidRPr="009A0225">
        <w:rPr>
          <w:rFonts w:ascii="Aptos" w:hAnsi="Aptos"/>
          <w:lang w:val="en-US"/>
        </w:rPr>
        <w:t xml:space="preserve">Ipsen et al. </w:t>
      </w:r>
      <w:r w:rsidR="009A0225">
        <w:rPr>
          <w:rFonts w:ascii="Aptos" w:hAnsi="Aptos"/>
          <w:lang w:val="en-US"/>
        </w:rPr>
        <w:t>(</w:t>
      </w:r>
      <w:r w:rsidR="009A0225" w:rsidRPr="009A0225">
        <w:rPr>
          <w:rFonts w:ascii="Aptos" w:hAnsi="Aptos"/>
          <w:lang w:val="en-US"/>
        </w:rPr>
        <w:t>2025)</w:t>
      </w:r>
      <w:r w:rsidR="009A0225">
        <w:rPr>
          <w:rFonts w:ascii="Times New Roman" w:hAnsi="Times New Roman" w:cs="Times New Roman"/>
          <w:lang w:val="en-US"/>
        </w:rPr>
        <w:fldChar w:fldCharType="end"/>
      </w:r>
      <w:r w:rsidR="009A0225">
        <w:rPr>
          <w:rFonts w:ascii="Times New Roman" w:hAnsi="Times New Roman" w:cs="Times New Roman"/>
          <w:lang w:val="en-US"/>
        </w:rPr>
        <w:t xml:space="preserve"> ran cost-push stress tests to estimate shockflation exposure within the European Union (EU), distinguishing asymmetries of exposures between the EU core and periphery. On the one hand, </w:t>
      </w:r>
      <w:r w:rsidR="00B5790D">
        <w:rPr>
          <w:rFonts w:ascii="Times New Roman" w:hAnsi="Times New Roman" w:cs="Times New Roman"/>
          <w:lang w:val="en-US"/>
        </w:rPr>
        <w:t>they found that common systemically significant sectors in both the core and periphery include real estate activities, energy provision, financial services and food manufacturing. On the other hand, real estate is relatively more significant in the core while energy supply and production matter more in the periphery.</w:t>
      </w:r>
    </w:p>
    <w:p w14:paraId="3E6682A5" w14:textId="304E5FBA" w:rsidR="00365D58" w:rsidRDefault="00365D58" w:rsidP="00365D58">
      <w:pPr>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658240" behindDoc="0" locked="0" layoutInCell="1" allowOverlap="1" wp14:anchorId="6F9A8687" wp14:editId="52A0B8D1">
            <wp:simplePos x="0" y="0"/>
            <wp:positionH relativeFrom="margin">
              <wp:align>center</wp:align>
            </wp:positionH>
            <wp:positionV relativeFrom="paragraph">
              <wp:posOffset>1691640</wp:posOffset>
            </wp:positionV>
            <wp:extent cx="5759450" cy="4114800"/>
            <wp:effectExtent l="0" t="0" r="0" b="0"/>
            <wp:wrapSquare wrapText="bothSides"/>
            <wp:docPr id="6280258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4114800"/>
                    </a:xfrm>
                    <a:prstGeom prst="rect">
                      <a:avLst/>
                    </a:prstGeom>
                    <a:noFill/>
                    <a:ln>
                      <a:noFill/>
                    </a:ln>
                  </pic:spPr>
                </pic:pic>
              </a:graphicData>
            </a:graphic>
          </wp:anchor>
        </w:drawing>
      </w:r>
      <w:r w:rsidR="00595F0E">
        <w:rPr>
          <w:rFonts w:ascii="Times New Roman" w:hAnsi="Times New Roman" w:cs="Times New Roman"/>
          <w:lang w:val="en-US"/>
        </w:rPr>
        <w:t xml:space="preserve">Sectors with systemically significant prices play a great role </w:t>
      </w:r>
      <w:r w:rsidR="002644FF">
        <w:rPr>
          <w:rFonts w:ascii="Times New Roman" w:hAnsi="Times New Roman" w:cs="Times New Roman"/>
          <w:lang w:val="en-US"/>
        </w:rPr>
        <w:t xml:space="preserve">in </w:t>
      </w:r>
      <w:r w:rsidR="00595F0E">
        <w:rPr>
          <w:rFonts w:ascii="Times New Roman" w:hAnsi="Times New Roman" w:cs="Times New Roman"/>
          <w:lang w:val="en-US"/>
        </w:rPr>
        <w:t xml:space="preserve">the process of sellers’ inflation which has been documented in the United States by Weber and Wasner. They showed that commodity price shocks in significant upstream sectors can trigger price hikes by firms with market power which can take advantage of bottlenecks in times of crisis and supply chain disruption to maintain or even increase their </w:t>
      </w:r>
      <w:r w:rsidR="002644FF">
        <w:rPr>
          <w:rFonts w:ascii="Times New Roman" w:hAnsi="Times New Roman" w:cs="Times New Roman"/>
          <w:lang w:val="en-US"/>
        </w:rPr>
        <w:t xml:space="preserve">margins. </w:t>
      </w:r>
      <w:r>
        <w:rPr>
          <w:rFonts w:ascii="Times New Roman" w:hAnsi="Times New Roman" w:cs="Times New Roman"/>
          <w:lang w:val="en-US"/>
        </w:rPr>
        <w:t>Their decomposition of inflation as measured by the GDP deflator into profit and wage components in the United States showed that most of inflation during the 2020-2022 period was captured by nominal profit increases due to price hikes</w:t>
      </w:r>
      <w:r w:rsidR="00A94032">
        <w:rPr>
          <w:rFonts w:ascii="Times New Roman" w:hAnsi="Times New Roman" w:cs="Times New Roman"/>
          <w:lang w:val="en-US"/>
        </w:rPr>
        <w:t xml:space="preserve">. </w:t>
      </w:r>
    </w:p>
    <w:p w14:paraId="43492061" w14:textId="0E23D6D6" w:rsidR="00C044BD" w:rsidRDefault="00365D58" w:rsidP="00C044BD">
      <w:pPr>
        <w:jc w:val="both"/>
        <w:rPr>
          <w:rFonts w:ascii="Times New Roman" w:hAnsi="Times New Roman" w:cs="Times New Roman"/>
          <w:lang w:val="en-US"/>
        </w:rPr>
      </w:pPr>
      <w:r>
        <w:rPr>
          <w:rFonts w:ascii="Times New Roman" w:hAnsi="Times New Roman" w:cs="Times New Roman"/>
          <w:lang w:val="en-US"/>
        </w:rPr>
        <w:lastRenderedPageBreak/>
        <w:t>As shown by the figure above, the same phenomena can be observed in Switzerland during the same period.</w:t>
      </w:r>
      <w:r w:rsidR="00E0438E">
        <w:rPr>
          <w:rFonts w:ascii="Times New Roman" w:hAnsi="Times New Roman" w:cs="Times New Roman"/>
          <w:lang w:val="en-US"/>
        </w:rPr>
        <w:t xml:space="preserve"> Th</w:t>
      </w:r>
      <w:r w:rsidR="007A65E0">
        <w:rPr>
          <w:rFonts w:ascii="Times New Roman" w:hAnsi="Times New Roman" w:cs="Times New Roman"/>
          <w:lang w:val="en-US"/>
        </w:rPr>
        <w:t>is figure</w:t>
      </w:r>
      <w:r w:rsidR="00E0438E">
        <w:rPr>
          <w:rFonts w:ascii="Times New Roman" w:hAnsi="Times New Roman" w:cs="Times New Roman"/>
          <w:lang w:val="en-US"/>
        </w:rPr>
        <w:t xml:space="preserve"> shows how much of the nominal change in the Swiss gross value added (GVA) attributable to inflation is captured by labor in the form of wages and by capital through nominal increases in profit flows.</w:t>
      </w:r>
      <w:r w:rsidR="007A65E0">
        <w:rPr>
          <w:rFonts w:ascii="Times New Roman" w:hAnsi="Times New Roman" w:cs="Times New Roman"/>
          <w:lang w:val="en-US"/>
        </w:rPr>
        <w:t xml:space="preserve"> During the period 2020-2022, profits as measured by gross operating surplus accounted for 12,6% of the 5,4% increase in the inflation rate of the GDP deflator, while compensation of employees accounted for -7,2% of the increase.</w:t>
      </w:r>
      <w:r w:rsidR="00C044BD">
        <w:rPr>
          <w:rFonts w:ascii="Times New Roman" w:hAnsi="Times New Roman" w:cs="Times New Roman"/>
          <w:lang w:val="en-US"/>
        </w:rPr>
        <w:t xml:space="preserve"> This stands in sharp contrast to the economic crisis of the 1990s, when most of inflation was captured by increases in nominal wages. As indicated by </w:t>
      </w:r>
      <w:r w:rsidR="00C044BD">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{"citationID":"7y05Y1Nj","properties":{"formattedCitation":"(Leutert et al. 2026)","plainCitation":"(Leutert et al. 2026)","noteIndex":0},"citationItems":[{"id":6392,"uris":["http://zotero.org/groups/6311349/items/5DL5NGET"],"itemData":{"id":6392,"type":"article-journal","abstract":"We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C044BD">
        <w:rPr>
          <w:rFonts w:ascii="Times New Roman" w:hAnsi="Times New Roman" w:cs="Times New Roman"/>
          <w:lang w:val="en-US"/>
        </w:rPr>
        <w:fldChar w:fldCharType="separate"/>
      </w:r>
      <w:r w:rsidR="00C044BD" w:rsidRPr="00C044BD">
        <w:rPr>
          <w:rFonts w:ascii="Aptos" w:hAnsi="Aptos"/>
          <w:lang w:val="en-US"/>
        </w:rPr>
        <w:t xml:space="preserve">Leutert </w:t>
      </w:r>
      <w:r w:rsidR="00C044BD">
        <w:rPr>
          <w:rFonts w:ascii="Aptos" w:hAnsi="Aptos"/>
          <w:lang w:val="en-US"/>
        </w:rPr>
        <w:t>et</w:t>
      </w:r>
      <w:r w:rsidR="00C044BD" w:rsidRPr="00C044BD">
        <w:rPr>
          <w:rFonts w:ascii="Aptos" w:hAnsi="Aptos"/>
          <w:lang w:val="en-US"/>
        </w:rPr>
        <w:t xml:space="preserve"> al. </w:t>
      </w:r>
      <w:r w:rsidR="00C044BD">
        <w:rPr>
          <w:rFonts w:ascii="Aptos" w:hAnsi="Aptos"/>
          <w:lang w:val="en-US"/>
        </w:rPr>
        <w:t>(</w:t>
      </w:r>
      <w:r w:rsidR="00C044BD" w:rsidRPr="00C044BD">
        <w:rPr>
          <w:rFonts w:ascii="Aptos" w:hAnsi="Aptos"/>
          <w:lang w:val="en-US"/>
        </w:rPr>
        <w:t>2026</w:t>
      </w:r>
      <w:r w:rsidR="00C044BD">
        <w:rPr>
          <w:rFonts w:ascii="Aptos" w:hAnsi="Aptos"/>
          <w:lang w:val="en-US"/>
        </w:rPr>
        <w:t>, 13</w:t>
      </w:r>
      <w:r w:rsidR="00C044BD" w:rsidRPr="00C044BD">
        <w:rPr>
          <w:rFonts w:ascii="Aptos" w:hAnsi="Aptos"/>
          <w:lang w:val="en-US"/>
        </w:rPr>
        <w:t>)</w:t>
      </w:r>
      <w:r w:rsidR="00C044BD">
        <w:rPr>
          <w:rFonts w:ascii="Times New Roman" w:hAnsi="Times New Roman" w:cs="Times New Roman"/>
          <w:lang w:val="en-US"/>
        </w:rPr>
        <w:fldChar w:fldCharType="end"/>
      </w:r>
      <w:r w:rsidR="00C044BD">
        <w:rPr>
          <w:rFonts w:ascii="Times New Roman" w:hAnsi="Times New Roman" w:cs="Times New Roman"/>
          <w:lang w:val="en-US"/>
        </w:rPr>
        <w:t>, wage-price pass-throughs were higher before the 2000s due to a higher wage indexation and higher union coverage rate.</w:t>
      </w:r>
      <w:r w:rsidR="000C20B8">
        <w:rPr>
          <w:rFonts w:ascii="Times New Roman" w:hAnsi="Times New Roman" w:cs="Times New Roman"/>
          <w:lang w:val="en-US"/>
        </w:rPr>
        <w:t xml:space="preserve"> This indicates that sellers’ inflation was also prominent in Switzerland during the energy crisis of 2021-2022, albeit at a lower intensity than in other countries since the overall inflation rate was much lower than in other countries. Our hypothesis is that sellers’ inflation was dampened by direct as well as indirect price administration in critical sectors of the Swiss economy, making the latter more robust to the energy and food crisis of that period.</w:t>
      </w:r>
    </w:p>
    <w:p w14:paraId="75249F1E" w14:textId="497D7302" w:rsidR="00734E09" w:rsidRDefault="003577A6" w:rsidP="00C044BD">
      <w:pPr>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659264" behindDoc="0" locked="0" layoutInCell="1" allowOverlap="1" wp14:anchorId="69A14E6A" wp14:editId="6201E84F">
            <wp:simplePos x="0" y="0"/>
            <wp:positionH relativeFrom="margin">
              <wp:align>center</wp:align>
            </wp:positionH>
            <wp:positionV relativeFrom="paragraph">
              <wp:posOffset>883044</wp:posOffset>
            </wp:positionV>
            <wp:extent cx="6430010" cy="3483610"/>
            <wp:effectExtent l="0" t="0" r="8890" b="2540"/>
            <wp:wrapSquare wrapText="bothSides"/>
            <wp:docPr id="1829126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30010" cy="3483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34E09">
        <w:rPr>
          <w:rFonts w:ascii="Times New Roman" w:hAnsi="Times New Roman" w:cs="Times New Roman"/>
          <w:lang w:val="en-US"/>
        </w:rPr>
        <w:t>We test this hypothesis by applying Weber et al. (2024)’s method using the OECD’s 2022 total input output table for Switzerland. We simulate the impact of a unit price shock in each sector on a synthetic CPI to identify the most significant sectors</w:t>
      </w:r>
      <w:r w:rsidR="00601042">
        <w:rPr>
          <w:rStyle w:val="Appelnotedebasdep"/>
          <w:rFonts w:ascii="Times New Roman" w:hAnsi="Times New Roman" w:cs="Times New Roman"/>
          <w:lang w:val="en-US"/>
        </w:rPr>
        <w:footnoteReference w:id="5"/>
      </w:r>
      <w:r w:rsidR="00734E09">
        <w:rPr>
          <w:rFonts w:ascii="Times New Roman" w:hAnsi="Times New Roman" w:cs="Times New Roman"/>
          <w:lang w:val="en-US"/>
        </w:rPr>
        <w:t>.</w:t>
      </w:r>
      <w:r w:rsidR="00601042">
        <w:rPr>
          <w:rFonts w:ascii="Times New Roman" w:hAnsi="Times New Roman" w:cs="Times New Roman"/>
          <w:lang w:val="en-US"/>
        </w:rPr>
        <w:t xml:space="preserve"> </w:t>
      </w:r>
      <w:r w:rsidR="007623AE">
        <w:rPr>
          <w:rFonts w:ascii="Times New Roman" w:hAnsi="Times New Roman" w:cs="Times New Roman"/>
          <w:lang w:val="en-US"/>
        </w:rPr>
        <w:t>The results of the Leontief price model are shown in the figure below.</w:t>
      </w:r>
    </w:p>
    <w:p w14:paraId="6EE80607" w14:textId="048451D2" w:rsidR="00835098" w:rsidRPr="007B1F6B" w:rsidRDefault="003577A6" w:rsidP="00835098">
      <w:pPr>
        <w:jc w:val="both"/>
        <w:rPr>
          <w:rFonts w:ascii="Times New Roman" w:hAnsi="Times New Roman" w:cs="Times New Roman"/>
        </w:rPr>
      </w:pPr>
      <w:r>
        <w:rPr>
          <w:rFonts w:ascii="Times New Roman" w:hAnsi="Times New Roman" w:cs="Times New Roman"/>
          <w:lang w:val="en-US"/>
        </w:rPr>
        <w:t xml:space="preserve">Figure (a) on the left shows the top 15 most significant sectors for the Swiss economy. Wholesale &amp; retail trade stands out as the sector with the most significant prices as it has large indirect as well as direct effects. It is followed by Real estate, Health &amp; social work and Food &amp; beverages. </w:t>
      </w:r>
      <w:r w:rsidR="00D65FC2">
        <w:rPr>
          <w:rFonts w:ascii="Times New Roman" w:hAnsi="Times New Roman" w:cs="Times New Roman"/>
          <w:lang w:val="en-US"/>
        </w:rPr>
        <w:t xml:space="preserve">The very large significance of Wholesale &amp; retail trade may be surprising at </w:t>
      </w:r>
      <w:r w:rsidR="00A1502D">
        <w:rPr>
          <w:rFonts w:ascii="Times New Roman" w:hAnsi="Times New Roman" w:cs="Times New Roman"/>
          <w:lang w:val="en-US"/>
        </w:rPr>
        <w:t>first but</w:t>
      </w:r>
      <w:r w:rsidR="000166AF">
        <w:rPr>
          <w:rFonts w:ascii="Times New Roman" w:hAnsi="Times New Roman" w:cs="Times New Roman"/>
          <w:lang w:val="en-US"/>
        </w:rPr>
        <w:t xml:space="preserve"> reflects the structural importance of th</w:t>
      </w:r>
      <w:r w:rsidR="00A1502D">
        <w:rPr>
          <w:rFonts w:ascii="Times New Roman" w:hAnsi="Times New Roman" w:cs="Times New Roman"/>
          <w:lang w:val="en-US"/>
        </w:rPr>
        <w:t>is</w:t>
      </w:r>
      <w:r w:rsidR="000166AF">
        <w:rPr>
          <w:rFonts w:ascii="Times New Roman" w:hAnsi="Times New Roman" w:cs="Times New Roman"/>
          <w:lang w:val="en-US"/>
        </w:rPr>
        <w:t xml:space="preserve"> sector </w:t>
      </w:r>
      <w:r w:rsidR="00A1502D">
        <w:rPr>
          <w:rFonts w:ascii="Times New Roman" w:hAnsi="Times New Roman" w:cs="Times New Roman"/>
          <w:lang w:val="en-US"/>
        </w:rPr>
        <w:t xml:space="preserve">for </w:t>
      </w:r>
      <w:r w:rsidR="000166AF">
        <w:rPr>
          <w:rFonts w:ascii="Times New Roman" w:hAnsi="Times New Roman" w:cs="Times New Roman"/>
          <w:lang w:val="en-US"/>
        </w:rPr>
        <w:t xml:space="preserve">the Swiss economy. </w:t>
      </w:r>
      <w:r w:rsidR="007A5B50">
        <w:rPr>
          <w:rFonts w:ascii="Times New Roman" w:hAnsi="Times New Roman" w:cs="Times New Roman"/>
          <w:lang w:val="en-US"/>
        </w:rPr>
        <w:t xml:space="preserve">Whereas Switzerland </w:t>
      </w:r>
      <w:r w:rsidR="007A5B50">
        <w:rPr>
          <w:rFonts w:ascii="Times New Roman" w:hAnsi="Times New Roman" w:cs="Times New Roman"/>
          <w:lang w:val="en-US"/>
        </w:rPr>
        <w:lastRenderedPageBreak/>
        <w:t xml:space="preserve">is widely known for its multinationals specialized in </w:t>
      </w:r>
      <w:r w:rsidR="008D4D65">
        <w:rPr>
          <w:rFonts w:ascii="Times New Roman" w:hAnsi="Times New Roman" w:cs="Times New Roman"/>
          <w:lang w:val="en-US"/>
        </w:rPr>
        <w:t>international commodity trading such as Glencore and Trafigura, the key role played by retail companies oriented towards the national domestic market is far less known.</w:t>
      </w:r>
      <w:r w:rsidR="006B167C">
        <w:rPr>
          <w:rFonts w:ascii="Times New Roman" w:hAnsi="Times New Roman" w:cs="Times New Roman"/>
          <w:lang w:val="en-US"/>
        </w:rPr>
        <w:t xml:space="preserve"> More specifically, the Swiss national retail sector is dominated by Coop and Migros, two large cooperatives. It is indeed hard to overstate the importance of these two firms on the Swiss economy: they are by far the country’s largest </w:t>
      </w:r>
      <w:r w:rsidR="00984592">
        <w:rPr>
          <w:rFonts w:ascii="Times New Roman" w:hAnsi="Times New Roman" w:cs="Times New Roman"/>
          <w:lang w:val="en-US"/>
        </w:rPr>
        <w:t xml:space="preserve">private </w:t>
      </w:r>
      <w:r w:rsidR="006B167C">
        <w:rPr>
          <w:rFonts w:ascii="Times New Roman" w:hAnsi="Times New Roman" w:cs="Times New Roman"/>
          <w:lang w:val="en-US"/>
        </w:rPr>
        <w:t>employers</w:t>
      </w:r>
      <w:r w:rsidR="00FE209F">
        <w:rPr>
          <w:rFonts w:ascii="Times New Roman" w:hAnsi="Times New Roman" w:cs="Times New Roman"/>
          <w:lang w:val="en-US"/>
        </w:rPr>
        <w:t xml:space="preserve">; each has more than two million </w:t>
      </w:r>
      <w:r w:rsidR="00D97B8E">
        <w:rPr>
          <w:rFonts w:ascii="Times New Roman" w:hAnsi="Times New Roman" w:cs="Times New Roman"/>
          <w:lang w:val="en-US"/>
        </w:rPr>
        <w:t xml:space="preserve">cooperative </w:t>
      </w:r>
      <w:r w:rsidR="00FE209F">
        <w:rPr>
          <w:rFonts w:ascii="Times New Roman" w:hAnsi="Times New Roman" w:cs="Times New Roman"/>
          <w:lang w:val="en-US"/>
        </w:rPr>
        <w:t>members; and they are deeply rooted in Switzerland’s history, society and national identity</w:t>
      </w:r>
      <w:r w:rsidR="00984592">
        <w:rPr>
          <w:rFonts w:ascii="Times New Roman" w:hAnsi="Times New Roman" w:cs="Times New Roman"/>
          <w:lang w:val="en-US"/>
        </w:rPr>
        <w:t xml:space="preserve">. </w:t>
      </w:r>
      <w:r w:rsidR="007B1F6B" w:rsidRPr="007B1F6B">
        <w:rPr>
          <w:rFonts w:ascii="Times New Roman" w:hAnsi="Times New Roman" w:cs="Times New Roman"/>
          <w:i/>
          <w:iCs/>
        </w:rPr>
        <w:t>Description de Coop et Migros à travers leurs rapports annuels</w:t>
      </w:r>
    </w:p>
    <w:p w14:paraId="5BC7314E" w14:textId="563C3DAB" w:rsidR="00984592" w:rsidRPr="007B1F6B" w:rsidRDefault="00984592" w:rsidP="00984592">
      <w:pPr>
        <w:jc w:val="both"/>
        <w:rPr>
          <w:rFonts w:ascii="Times New Roman" w:hAnsi="Times New Roman" w:cs="Times New Roman"/>
        </w:rPr>
      </w:pPr>
    </w:p>
    <w:p w14:paraId="71C72AB1" w14:textId="03BB6378" w:rsidR="00984592" w:rsidRPr="007B1F6B" w:rsidRDefault="00984592" w:rsidP="00984592">
      <w:pPr>
        <w:jc w:val="both"/>
      </w:pPr>
    </w:p>
    <w:p w14:paraId="02CFF8DB" w14:textId="61F768A9" w:rsidR="003577A6" w:rsidRPr="007B1F6B" w:rsidRDefault="003577A6" w:rsidP="00C044BD">
      <w:pPr>
        <w:jc w:val="both"/>
        <w:rPr>
          <w:rFonts w:ascii="Times New Roman" w:hAnsi="Times New Roman" w:cs="Times New Roman"/>
        </w:rPr>
      </w:pPr>
    </w:p>
    <w:p w14:paraId="18D1E8F4" w14:textId="11EE2EBE" w:rsidR="0000307C" w:rsidRPr="0000307C" w:rsidRDefault="0000307C" w:rsidP="00C044BD">
      <w:pPr>
        <w:jc w:val="both"/>
        <w:rPr>
          <w:rFonts w:ascii="Times New Roman" w:hAnsi="Times New Roman" w:cs="Times New Roman"/>
        </w:rPr>
      </w:pPr>
      <w:r w:rsidRPr="0000307C">
        <w:rPr>
          <w:rFonts w:ascii="Times New Roman" w:hAnsi="Times New Roman" w:cs="Times New Roman"/>
        </w:rPr>
        <w:t>Ces deux groupes ne dominent p</w:t>
      </w:r>
      <w:r>
        <w:rPr>
          <w:rFonts w:ascii="Times New Roman" w:hAnsi="Times New Roman" w:cs="Times New Roman"/>
        </w:rPr>
        <w:t xml:space="preserve">as seulement le commerce de détail, car leurs activités se répandent dans de nombreux secteurs. Migros est ainsi active aussi dans </w:t>
      </w:r>
    </w:p>
    <w:sectPr w:rsidR="0000307C" w:rsidRPr="0000307C">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1944D" w14:textId="77777777" w:rsidR="000957F4" w:rsidRDefault="000957F4" w:rsidP="00D70947">
      <w:pPr>
        <w:spacing w:after="0" w:line="240" w:lineRule="auto"/>
      </w:pPr>
      <w:r>
        <w:separator/>
      </w:r>
    </w:p>
  </w:endnote>
  <w:endnote w:type="continuationSeparator" w:id="0">
    <w:p w14:paraId="28A1C5C7" w14:textId="77777777" w:rsidR="000957F4" w:rsidRDefault="000957F4"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B6DE3" w14:textId="77777777" w:rsidR="000957F4" w:rsidRDefault="000957F4" w:rsidP="00D70947">
      <w:pPr>
        <w:spacing w:after="0" w:line="240" w:lineRule="auto"/>
      </w:pPr>
      <w:r>
        <w:separator/>
      </w:r>
    </w:p>
  </w:footnote>
  <w:footnote w:type="continuationSeparator" w:id="0">
    <w:p w14:paraId="0A0D24E3" w14:textId="77777777" w:rsidR="000957F4" w:rsidRDefault="000957F4"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40 bd du Pont d'Arve, 1205, Geneva, Switzerland. Email: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4">
    <w:p w14:paraId="26B41C6D" w14:textId="49772D00" w:rsidR="00505858" w:rsidRPr="00E12D4F" w:rsidRDefault="00505858">
      <w:pPr>
        <w:pStyle w:val="Notedebasdepage"/>
        <w:rPr>
          <w:lang w:val="en-US"/>
        </w:rPr>
      </w:pPr>
      <w:r>
        <w:rPr>
          <w:rStyle w:val="Appelnotedebasdep"/>
        </w:rPr>
        <w:footnoteRef/>
      </w:r>
      <w:r w:rsidRPr="00E12D4F">
        <w:rPr>
          <w:lang w:val="en-US"/>
        </w:rPr>
        <w:t xml:space="preserve"> </w:t>
      </w:r>
      <w:r w:rsidR="00E12D4F" w:rsidRPr="00E12D4F">
        <w:rPr>
          <w:lang w:val="en-US"/>
        </w:rPr>
        <w:t xml:space="preserve">For a summary of the </w:t>
      </w:r>
      <w:r w:rsidR="00E12D4F">
        <w:rPr>
          <w:lang w:val="en-US"/>
        </w:rPr>
        <w:t xml:space="preserve">empirical estimates of the ERPT effects in Switzerland, see </w:t>
      </w:r>
      <w:r w:rsidR="00E12D4F">
        <w:rPr>
          <w:lang w:val="en-US"/>
        </w:rPr>
        <w:fldChar w:fldCharType="begin"/>
      </w:r>
      <w:r w:rsidR="00800352">
        <w:rPr>
          <w:lang w:val="en-US"/>
        </w:rPr>
        <w:instrText xml:space="preserve"> ADDIN ZOTERO_ITEM CSL_CITATION {"citationID":"VuGJfKgk","properties":{"formattedCitation":"(Bachmann 2012)","plainCitation":"(Bachmann 2012)","dontUpdate":true,"noteIndex":4},"citationItems":[{"id":6651,"uris":["http://zotero.org/groups/6311349/items/XSJMSN92"],"itemData":{"id":6651,"type":"report","abstract":"The extent to which exchange rate fluctuations are passed through to domestic prices is of high relevance for open economies and for monetary authorities targeting price stability. Existing empirical studies estimating the exchange rate pass-through for Switzerland are based on either single equation estimation or on VAR models. However, these approaches feature some major drawbacks. The former cannot account for dynamic interactions between the time series and both methods disregard longrun equilibrium relations between the variable levels. This paper contributes to the evidence on the exchange rate pass-through in Switzerland by using a vector error correction model, which has the advantage of incorporating both short-run dynamics and long-run equilibrium relations among variables. The results reveal a significant impact of exchange rate shocks on various price (sub-)indices. Passthrough to import prices is substantial both in the short-run and in the long-run and occurs relatively quickly. It is slower, but still considerable in the long-run forthe consumer price index and some of its sub-indices. Producer prices react significantlyto exchange rate shocks as well. In contrast, consumer price inflation for services and for goods of domestic origin show hardly any significant response. The findings of this paper indicate a decline in the pass-through over time.","genre":"Working Paper","language":"eng","license":"http://www.econstor.eu/dspace/Nutzungsbedingungen","number":"12-05","publisher":"Discussion Papers","source":"www.econstor.eu","title":"Exchange rate pass-through to various price indices: Empirical estimation using vector error correction models","title-short":"Exchange rate pass-through to various price indices","URL":"https://www.econstor.eu/handle/10419/76750","author":[{"family":"Bachmann","given":"Andreas"}],"accessed":{"date-parts":[["2026",7,7]]},"issued":{"date-parts":[["2012"]]}}}],"schema":"https://github.com/citation-style-language/schema/raw/master/csl-citation.json"} </w:instrText>
      </w:r>
      <w:r w:rsidR="00E12D4F">
        <w:rPr>
          <w:lang w:val="en-US"/>
        </w:rPr>
        <w:fldChar w:fldCharType="separate"/>
      </w:r>
      <w:r w:rsidR="00E12D4F" w:rsidRPr="00E12D4F">
        <w:rPr>
          <w:rFonts w:ascii="Aptos" w:hAnsi="Aptos"/>
          <w:lang w:val="en-US"/>
        </w:rPr>
        <w:t xml:space="preserve">Bachmann </w:t>
      </w:r>
      <w:r w:rsidR="00E12D4F">
        <w:rPr>
          <w:rFonts w:ascii="Aptos" w:hAnsi="Aptos"/>
          <w:lang w:val="en-US"/>
        </w:rPr>
        <w:t>(</w:t>
      </w:r>
      <w:r w:rsidR="00E12D4F" w:rsidRPr="00E12D4F">
        <w:rPr>
          <w:rFonts w:ascii="Aptos" w:hAnsi="Aptos"/>
          <w:lang w:val="en-US"/>
        </w:rPr>
        <w:t>2012)</w:t>
      </w:r>
      <w:r w:rsidR="00E12D4F">
        <w:rPr>
          <w:lang w:val="en-US"/>
        </w:rPr>
        <w:fldChar w:fldCharType="end"/>
      </w:r>
      <w:r w:rsidR="00E12D4F">
        <w:rPr>
          <w:lang w:val="en-US"/>
        </w:rPr>
        <w:t>.</w:t>
      </w:r>
    </w:p>
  </w:footnote>
  <w:footnote w:id="5">
    <w:p w14:paraId="4B3144FF" w14:textId="3A0B68A7" w:rsidR="00601042" w:rsidRPr="00601042" w:rsidRDefault="00601042">
      <w:pPr>
        <w:pStyle w:val="Notedebasdepage"/>
        <w:rPr>
          <w:lang w:val="en-US"/>
        </w:rPr>
      </w:pPr>
      <w:r>
        <w:rPr>
          <w:rStyle w:val="Appelnotedebasdep"/>
        </w:rPr>
        <w:footnoteRef/>
      </w:r>
      <w:r w:rsidRPr="00601042">
        <w:rPr>
          <w:lang w:val="en-US"/>
        </w:rPr>
        <w:t xml:space="preserve"> Unfortunately, it was not possible t</w:t>
      </w:r>
      <w:r>
        <w:rPr>
          <w:lang w:val="en-US"/>
        </w:rPr>
        <w:t>o use each sector price volatility since such data are not available at the sectoral level in Switzerland.</w:t>
      </w:r>
      <w:r w:rsidR="00DE219B">
        <w:rPr>
          <w:lang w:val="en-US"/>
        </w:rPr>
        <w:t xml:space="preserve"> We thus had to resort to simple unit price shocks.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7645C5"/>
    <w:multiLevelType w:val="hybridMultilevel"/>
    <w:tmpl w:val="93F0D084"/>
    <w:lvl w:ilvl="0" w:tplc="449A5F2C">
      <w:numFmt w:val="bullet"/>
      <w:lvlText w:val=""/>
      <w:lvlJc w:val="left"/>
      <w:pPr>
        <w:ind w:left="720" w:hanging="360"/>
      </w:pPr>
      <w:rPr>
        <w:rFonts w:ascii="Wingdings" w:eastAsiaTheme="minorHAnsi" w:hAnsi="Wingdings"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60060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0307C"/>
    <w:rsid w:val="00012DD0"/>
    <w:rsid w:val="00014443"/>
    <w:rsid w:val="000166AF"/>
    <w:rsid w:val="000233AD"/>
    <w:rsid w:val="00075FFF"/>
    <w:rsid w:val="00092DB5"/>
    <w:rsid w:val="000957F4"/>
    <w:rsid w:val="00097824"/>
    <w:rsid w:val="000A1964"/>
    <w:rsid w:val="000B4794"/>
    <w:rsid w:val="000C20B8"/>
    <w:rsid w:val="000F1D1E"/>
    <w:rsid w:val="000F4C69"/>
    <w:rsid w:val="0012669B"/>
    <w:rsid w:val="00137CCC"/>
    <w:rsid w:val="00143EF6"/>
    <w:rsid w:val="00190688"/>
    <w:rsid w:val="00196BC1"/>
    <w:rsid w:val="001A5326"/>
    <w:rsid w:val="001A7212"/>
    <w:rsid w:val="001B2C57"/>
    <w:rsid w:val="001C24FA"/>
    <w:rsid w:val="001E42B1"/>
    <w:rsid w:val="001E6524"/>
    <w:rsid w:val="00223CBF"/>
    <w:rsid w:val="0024588A"/>
    <w:rsid w:val="002644FF"/>
    <w:rsid w:val="00281FCA"/>
    <w:rsid w:val="002B302B"/>
    <w:rsid w:val="002B6FB4"/>
    <w:rsid w:val="002E6801"/>
    <w:rsid w:val="003051C7"/>
    <w:rsid w:val="0032214C"/>
    <w:rsid w:val="00330145"/>
    <w:rsid w:val="00341512"/>
    <w:rsid w:val="00345D2C"/>
    <w:rsid w:val="00351431"/>
    <w:rsid w:val="003577A6"/>
    <w:rsid w:val="00362EE1"/>
    <w:rsid w:val="00365D58"/>
    <w:rsid w:val="00367A16"/>
    <w:rsid w:val="00374DB7"/>
    <w:rsid w:val="00374EE4"/>
    <w:rsid w:val="00376855"/>
    <w:rsid w:val="00395A91"/>
    <w:rsid w:val="003B2778"/>
    <w:rsid w:val="003C705A"/>
    <w:rsid w:val="003D17CD"/>
    <w:rsid w:val="003E1AB4"/>
    <w:rsid w:val="003E4351"/>
    <w:rsid w:val="003E64AA"/>
    <w:rsid w:val="003F65D8"/>
    <w:rsid w:val="0042672D"/>
    <w:rsid w:val="004304AD"/>
    <w:rsid w:val="004417A5"/>
    <w:rsid w:val="00444C00"/>
    <w:rsid w:val="004772A4"/>
    <w:rsid w:val="004B46A3"/>
    <w:rsid w:val="004B7B56"/>
    <w:rsid w:val="004D6623"/>
    <w:rsid w:val="004D6AD9"/>
    <w:rsid w:val="004E308E"/>
    <w:rsid w:val="004E617C"/>
    <w:rsid w:val="004F24B3"/>
    <w:rsid w:val="004F583C"/>
    <w:rsid w:val="00505858"/>
    <w:rsid w:val="005153D1"/>
    <w:rsid w:val="0052034E"/>
    <w:rsid w:val="00530576"/>
    <w:rsid w:val="00531A14"/>
    <w:rsid w:val="00533033"/>
    <w:rsid w:val="005411B9"/>
    <w:rsid w:val="00554F3C"/>
    <w:rsid w:val="0057548B"/>
    <w:rsid w:val="0058130A"/>
    <w:rsid w:val="005877A1"/>
    <w:rsid w:val="00595F0E"/>
    <w:rsid w:val="005F5B75"/>
    <w:rsid w:val="00601042"/>
    <w:rsid w:val="006313A5"/>
    <w:rsid w:val="006457CF"/>
    <w:rsid w:val="00660AF4"/>
    <w:rsid w:val="00661855"/>
    <w:rsid w:val="006751FA"/>
    <w:rsid w:val="006B0B95"/>
    <w:rsid w:val="006B167C"/>
    <w:rsid w:val="006F4A9E"/>
    <w:rsid w:val="0071064F"/>
    <w:rsid w:val="00710E8A"/>
    <w:rsid w:val="00723F4E"/>
    <w:rsid w:val="00727296"/>
    <w:rsid w:val="00734E09"/>
    <w:rsid w:val="00744192"/>
    <w:rsid w:val="00747538"/>
    <w:rsid w:val="007623AE"/>
    <w:rsid w:val="00766BC6"/>
    <w:rsid w:val="00785484"/>
    <w:rsid w:val="00797B62"/>
    <w:rsid w:val="007A5B50"/>
    <w:rsid w:val="007A65E0"/>
    <w:rsid w:val="007B0599"/>
    <w:rsid w:val="007B1F6B"/>
    <w:rsid w:val="007C1001"/>
    <w:rsid w:val="007C4BFE"/>
    <w:rsid w:val="007D40EB"/>
    <w:rsid w:val="00800352"/>
    <w:rsid w:val="00805731"/>
    <w:rsid w:val="008141DF"/>
    <w:rsid w:val="0082344D"/>
    <w:rsid w:val="00835098"/>
    <w:rsid w:val="00835200"/>
    <w:rsid w:val="008415D0"/>
    <w:rsid w:val="00851C11"/>
    <w:rsid w:val="008614C6"/>
    <w:rsid w:val="0086370E"/>
    <w:rsid w:val="008A6600"/>
    <w:rsid w:val="008D1618"/>
    <w:rsid w:val="008D4D65"/>
    <w:rsid w:val="0092265D"/>
    <w:rsid w:val="00951BCA"/>
    <w:rsid w:val="009529A2"/>
    <w:rsid w:val="009538D7"/>
    <w:rsid w:val="009807FE"/>
    <w:rsid w:val="00984592"/>
    <w:rsid w:val="009A0225"/>
    <w:rsid w:val="009A1F75"/>
    <w:rsid w:val="009B6415"/>
    <w:rsid w:val="009E1D58"/>
    <w:rsid w:val="009E2899"/>
    <w:rsid w:val="009F47F8"/>
    <w:rsid w:val="00A1502D"/>
    <w:rsid w:val="00A20324"/>
    <w:rsid w:val="00A37CC7"/>
    <w:rsid w:val="00A41042"/>
    <w:rsid w:val="00A44345"/>
    <w:rsid w:val="00A47BD9"/>
    <w:rsid w:val="00A54AA6"/>
    <w:rsid w:val="00A81DA5"/>
    <w:rsid w:val="00A94032"/>
    <w:rsid w:val="00A95995"/>
    <w:rsid w:val="00AA3CEC"/>
    <w:rsid w:val="00AC2D5F"/>
    <w:rsid w:val="00AC3DE0"/>
    <w:rsid w:val="00AD1A15"/>
    <w:rsid w:val="00B02988"/>
    <w:rsid w:val="00B25AD4"/>
    <w:rsid w:val="00B464A8"/>
    <w:rsid w:val="00B5790D"/>
    <w:rsid w:val="00B700A9"/>
    <w:rsid w:val="00B70C7D"/>
    <w:rsid w:val="00B726CF"/>
    <w:rsid w:val="00B75A8D"/>
    <w:rsid w:val="00B84956"/>
    <w:rsid w:val="00BA338D"/>
    <w:rsid w:val="00BC1676"/>
    <w:rsid w:val="00BC64DD"/>
    <w:rsid w:val="00BD6014"/>
    <w:rsid w:val="00BE0CA2"/>
    <w:rsid w:val="00BF5280"/>
    <w:rsid w:val="00C044BD"/>
    <w:rsid w:val="00C17663"/>
    <w:rsid w:val="00C208E6"/>
    <w:rsid w:val="00C27A7E"/>
    <w:rsid w:val="00C35F3B"/>
    <w:rsid w:val="00C87B96"/>
    <w:rsid w:val="00CE6245"/>
    <w:rsid w:val="00CF16D5"/>
    <w:rsid w:val="00D22FC2"/>
    <w:rsid w:val="00D266D1"/>
    <w:rsid w:val="00D2720F"/>
    <w:rsid w:val="00D31916"/>
    <w:rsid w:val="00D54014"/>
    <w:rsid w:val="00D65FC2"/>
    <w:rsid w:val="00D70947"/>
    <w:rsid w:val="00D9479F"/>
    <w:rsid w:val="00D97B8E"/>
    <w:rsid w:val="00DA2059"/>
    <w:rsid w:val="00DC67B1"/>
    <w:rsid w:val="00DD0F7F"/>
    <w:rsid w:val="00DD2D62"/>
    <w:rsid w:val="00DE219B"/>
    <w:rsid w:val="00E02A9F"/>
    <w:rsid w:val="00E0438E"/>
    <w:rsid w:val="00E12D4F"/>
    <w:rsid w:val="00E14A52"/>
    <w:rsid w:val="00E33023"/>
    <w:rsid w:val="00E43F5C"/>
    <w:rsid w:val="00E46E24"/>
    <w:rsid w:val="00E50993"/>
    <w:rsid w:val="00E54D69"/>
    <w:rsid w:val="00E67A87"/>
    <w:rsid w:val="00E96BB6"/>
    <w:rsid w:val="00EA6EF6"/>
    <w:rsid w:val="00EB01A0"/>
    <w:rsid w:val="00EB0B32"/>
    <w:rsid w:val="00EB26C4"/>
    <w:rsid w:val="00F30EDB"/>
    <w:rsid w:val="00F44AF7"/>
    <w:rsid w:val="00F55701"/>
    <w:rsid w:val="00F575D3"/>
    <w:rsid w:val="00F65685"/>
    <w:rsid w:val="00F86060"/>
    <w:rsid w:val="00FA2096"/>
    <w:rsid w:val="00FC6D1E"/>
    <w:rsid w:val="00FD583F"/>
    <w:rsid w:val="00FE209F"/>
    <w:rsid w:val="00FF3E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ACDBF7D1-4107-4A6D-B2C5-0E2397F8F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 w:type="paragraph" w:styleId="Lgende">
    <w:name w:val="caption"/>
    <w:basedOn w:val="Normal"/>
    <w:next w:val="Normal"/>
    <w:uiPriority w:val="35"/>
    <w:unhideWhenUsed/>
    <w:qFormat/>
    <w:rsid w:val="009E2899"/>
    <w:pPr>
      <w:spacing w:after="200" w:line="240" w:lineRule="auto"/>
    </w:pPr>
    <w:rPr>
      <w:i/>
      <w:iCs/>
      <w:color w:val="0E2841" w:themeColor="text2"/>
      <w:sz w:val="18"/>
      <w:szCs w:val="18"/>
    </w:rPr>
  </w:style>
  <w:style w:type="paragraph" w:styleId="Bibliographie">
    <w:name w:val="Bibliography"/>
    <w:basedOn w:val="Normal"/>
    <w:next w:val="Normal"/>
    <w:uiPriority w:val="37"/>
    <w:unhideWhenUsed/>
    <w:rsid w:val="00075FFF"/>
    <w:pPr>
      <w:spacing w:after="240" w:line="240" w:lineRule="auto"/>
      <w:ind w:left="720" w:hanging="720"/>
    </w:pPr>
  </w:style>
  <w:style w:type="paragraph" w:styleId="NormalWeb">
    <w:name w:val="Normal (Web)"/>
    <w:basedOn w:val="Normal"/>
    <w:uiPriority w:val="99"/>
    <w:semiHidden/>
    <w:unhideWhenUsed/>
    <w:rsid w:val="0098459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1490</TotalTime>
  <Pages>8</Pages>
  <Words>11228</Words>
  <Characters>61758</Characters>
  <Application>Microsoft Office Word</Application>
  <DocSecurity>0</DocSecurity>
  <Lines>514</Lines>
  <Paragraphs>145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72841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6</cp:revision>
  <cp:lastPrinted>2026-07-16T10:23:00Z</cp:lastPrinted>
  <dcterms:created xsi:type="dcterms:W3CDTF">2026-07-13T08:57:00Z</dcterms:created>
  <dcterms:modified xsi:type="dcterms:W3CDTF">2026-07-16T14:55:00Z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id="3I4yK54n"/&gt;&lt;style id="http://www.zotero.org/styles/chicago-author-date" locale="en-US" hasBibliography="1" bibliographyStyleHasBeenSet="1"/&gt;&lt;prefs&gt;&lt;pref name="fieldType" value="Field"/&gt;&lt;/prefs&gt;&lt;/d</vt:lpwstr>
  </property>
  <property fmtid="{D5CDD505-2E9C-101B-9397-08002B2CF9AE}" pid="3" name="ZOTERO_PREF_2">
    <vt:lpwstr>ata&gt;</vt:lpwstr>
  </property>
</Properties>
</file>