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14DE9" w14:textId="6B135D33" w:rsidR="00FB56FE" w:rsidRPr="00C77B6B" w:rsidRDefault="002B2992" w:rsidP="00C77B6B">
      <w:pPr>
        <w:jc w:val="center"/>
        <w:rPr>
          <w:b/>
          <w:bCs/>
        </w:rPr>
      </w:pPr>
      <w:r>
        <w:rPr>
          <w:b/>
          <w:bCs/>
          <w:noProof/>
        </w:rPr>
        <w:drawing>
          <wp:anchor distT="0" distB="0" distL="114300" distR="114300" simplePos="0" relativeHeight="251658240" behindDoc="0" locked="0" layoutInCell="1" allowOverlap="1" wp14:anchorId="761BB50A" wp14:editId="15AD46BD">
            <wp:simplePos x="0" y="0"/>
            <wp:positionH relativeFrom="margin">
              <wp:posOffset>-17442</wp:posOffset>
            </wp:positionH>
            <wp:positionV relativeFrom="page">
              <wp:posOffset>1368003</wp:posOffset>
            </wp:positionV>
            <wp:extent cx="5513070" cy="4906010"/>
            <wp:effectExtent l="0" t="0" r="0" b="8890"/>
            <wp:wrapSquare wrapText="bothSides"/>
            <wp:docPr id="10309328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13070" cy="4906010"/>
                    </a:xfrm>
                    <a:prstGeom prst="rect">
                      <a:avLst/>
                    </a:prstGeom>
                    <a:noFill/>
                    <a:ln>
                      <a:noFill/>
                    </a:ln>
                  </pic:spPr>
                </pic:pic>
              </a:graphicData>
            </a:graphic>
          </wp:anchor>
        </w:drawing>
      </w:r>
      <w:r w:rsidR="00017353" w:rsidRPr="00C77B6B">
        <w:rPr>
          <w:b/>
          <w:bCs/>
        </w:rPr>
        <w:t>Description des clusters, analyse en classe latente données vox 2024 incluant l’initiative sur l’allègement des primes</w:t>
      </w:r>
    </w:p>
    <w:p w14:paraId="2836D4B2" w14:textId="77777777" w:rsidR="009D5DD1" w:rsidRDefault="009D5DD1"/>
    <w:p w14:paraId="5673DC1C" w14:textId="73EEB8DC" w:rsidR="00017353" w:rsidRDefault="00017353" w:rsidP="007A0218">
      <w:pPr>
        <w:jc w:val="both"/>
      </w:pPr>
      <w:r>
        <w:t>Le premier cluster, qui est de loin de le plus grand de l’échantillon (37,6%), s’oppose fortement à l’augmentation de la taxe sur la valeur ajoutée</w:t>
      </w:r>
      <w:r w:rsidR="00CB3BDF">
        <w:t xml:space="preserve"> (TVA)</w:t>
      </w:r>
      <w:r>
        <w:t xml:space="preserve"> (</w:t>
      </w:r>
      <w:r w:rsidR="002B2992">
        <w:t>80</w:t>
      </w:r>
      <w:r>
        <w:t>%) ainsi qu’à l’augmentation de l’impôt fédéral direct afin de garantir le financement du système de santé. Les membres de ce cluster sont en revanche plutôt pour lier les primes d’assurance-maladie au revenu (55%) et créer une caisse unique (64%), mais contre supprimer l’assurance-maladie obligatoire (92%), renoncer personnellement aux prestations médicales actuelles (</w:t>
      </w:r>
      <w:r w:rsidR="00155D46">
        <w:t>85%) ou en réduire l’étendue de la prise en charge des prestations (92%) ou encore rendre l’accès aux prestations médicales plus difficile (par exemple en limitant l’âge) (92%).</w:t>
      </w:r>
    </w:p>
    <w:p w14:paraId="0520197F" w14:textId="3EC67430" w:rsidR="00155D46" w:rsidRDefault="00155D46" w:rsidP="007A0218">
      <w:pPr>
        <w:jc w:val="both"/>
      </w:pPr>
      <w:r>
        <w:t>Le second cluster (18,6%)</w:t>
      </w:r>
      <w:r w:rsidR="00CB3BDF">
        <w:t xml:space="preserve"> s’oppose comme le cluster 1 à toute augmentation de la TVA, de l’impôt fédéral direct et à la suppression de l’assurance-maladie obligatoire, mais s’oppose davantage à la création d’une caisse unique et encore plus à lier les primes d’assurance-maladie au revenu (64% contre). Contrairement au premier cluster, le deuxième cluster adhère au principe de renonciation personnelle aux prestations médicales actuelles (66%) et à l’idée de réduire le nombre de prestations prises en charge par la LAMal.</w:t>
      </w:r>
    </w:p>
    <w:p w14:paraId="71F34F54" w14:textId="69854671" w:rsidR="00402D4C" w:rsidRDefault="00402D4C" w:rsidP="007A0218">
      <w:pPr>
        <w:jc w:val="both"/>
      </w:pPr>
      <w:r>
        <w:lastRenderedPageBreak/>
        <w:t>Le troisième cluster est de taille similaire au second et soutient quant à lui l’augmentation de l’impôt fédéral direct (73%) et de la TVA (60%)</w:t>
      </w:r>
      <w:r w:rsidR="002D31FF">
        <w:t>, ainsi que la création d’une caisse unique et le fait de lier les primes au revenu. Il s’oppose fortement à la suppression de la LAMal, à la renonciation personnelle aux soins, à la réduction du nombre de prestations prises en charge par la LAMal ainsi qu’a plus de restriction aux prestations médicales couvertes par la LAMal.</w:t>
      </w:r>
    </w:p>
    <w:p w14:paraId="597E34F0" w14:textId="2678145E" w:rsidR="002D31FF" w:rsidRDefault="002D31FF" w:rsidP="007A0218">
      <w:pPr>
        <w:jc w:val="both"/>
      </w:pPr>
      <w:r>
        <w:t xml:space="preserve">Comme pour les deux premiers clusters, le quatrième cluster (8,3% de l’échantillon) est fortement opposé à toute augmentation de taxe ou de la TVA. Les attentes de ce cluster sur le reste des questions sont marquées par l’indécision, ce qui rend ce cluster plutôt « flottant », comme sur le renoncement personnel aux prestations médicales couvertes par la LAMal (57% du cluster déclarant ne pas savoir). Il y a quand même une majorité intra-cluster </w:t>
      </w:r>
      <w:r w:rsidR="00D55CB6">
        <w:t xml:space="preserve">contre rendre l’accès aux prestations plus difficiles (48%), en réduire le nombre (54%) ; ou supprimer l’assurance-maladie obligatoire (57%), ainsi que pour la création d’une caisse unique (50,19%) et lier les primes au revenu (47%). Toutefois, ces proportions sont systématiquement en-dessous de des proportions générale pour chaque question, </w:t>
      </w:r>
      <w:r w:rsidR="002D6176">
        <w:t>car il y a dans ce cluster un nombre important de personnes indécises dans la plupart des questions.</w:t>
      </w:r>
    </w:p>
    <w:p w14:paraId="2D9EEF36" w14:textId="78A433FA" w:rsidR="00E85D18" w:rsidRDefault="00E85D18" w:rsidP="007A0218">
      <w:pPr>
        <w:jc w:val="both"/>
      </w:pPr>
      <w:r>
        <w:t>Le cluster 5 (7,5%) partage des attentes très similaires aux cluster 1 et 3, à la différence qu’il est indifférent vis-à-vis de l’augmentation du la TVA ou de l’impôt fédéral direct (alors que le cluster 1 s’y oppose et le cluster 3 soutient ces mesures).</w:t>
      </w:r>
      <w:r w:rsidR="00CE6DA7">
        <w:t xml:space="preserve"> Le cluster 6 (6,82%) est quant à lui indifférent à tous les indicateurs, n’exprimant aucun avis sur aucune des questions. Le dernier cluster, très marginal (2,7%) exprime des positions favorables sur tous les indicateurs.</w:t>
      </w:r>
    </w:p>
    <w:p w14:paraId="18C11EF7" w14:textId="7649FCD5" w:rsidR="00D3789B" w:rsidRPr="00C14A5C" w:rsidRDefault="00D3789B" w:rsidP="007A0218">
      <w:pPr>
        <w:jc w:val="both"/>
        <w:rPr>
          <w:rStyle w:val="lev"/>
        </w:rPr>
      </w:pPr>
      <w:r w:rsidRPr="00C14A5C">
        <w:rPr>
          <w:rStyle w:val="lev"/>
        </w:rPr>
        <w:t>Caractéristiques socio-</w:t>
      </w:r>
      <w:r w:rsidR="00E047B0">
        <w:rPr>
          <w:rStyle w:val="lev"/>
        </w:rPr>
        <w:t>économiques</w:t>
      </w:r>
      <w:r w:rsidRPr="00C14A5C">
        <w:rPr>
          <w:rStyle w:val="lev"/>
        </w:rPr>
        <w:t xml:space="preserve"> et politiques</w:t>
      </w:r>
    </w:p>
    <w:p w14:paraId="5A46BAE7" w14:textId="55EC68CF" w:rsidR="00D3789B" w:rsidRDefault="00C74831" w:rsidP="007A0218">
      <w:pPr>
        <w:jc w:val="both"/>
      </w:pPr>
      <w:r>
        <w:t>En explorant la constitution socio-démographique ainsi que l’inclinaison politique de chaque cluster au moyen de la méthode des variables inactives, il est possible d’évaluer et comparer les attentes en matière de réforme du système de santé du bloc libéral-conservateur ainsi que du bloc de gauche.</w:t>
      </w:r>
      <w:r w:rsidR="00866E56">
        <w:t xml:space="preserve"> Le cluster 1 est plutôt dans la moyenne générale en termes de caractéristiques socio-économiques, car il n’y pas de sur- ou sous-représentation de certaines catégories de revenu, d’éducation ou bien de langue. La plupart des membres de ce cluster ont fait un apprentissage ou bien une formation professionnelle, et une part assez faible déclare bien s’en sortir financièrement après le paiement de leur loyer et des assurance (40% de oui contre 46% en moyenne). On pourrait donc considérer les membres de ce cluster comme appartenant à la classe moyenne ou classe moyenne légèrement inférieure, se sentant menacée par une potentielle baisse de leur niveau de vie.</w:t>
      </w:r>
      <w:r w:rsidR="002F3D87">
        <w:t xml:space="preserve"> </w:t>
      </w:r>
      <w:r w:rsidR="00E047B0">
        <w:t>C</w:t>
      </w:r>
      <w:r w:rsidR="002F3D87">
        <w:t>e cluster soutient en majorité l’UDC (17% contre 15,7% en moyenne)</w:t>
      </w:r>
      <w:r w:rsidR="0032699B">
        <w:t xml:space="preserve"> et s’identifie </w:t>
      </w:r>
      <w:r w:rsidR="00E047B0">
        <w:t>à droite politiquement</w:t>
      </w:r>
      <w:r w:rsidR="0032699B">
        <w:t xml:space="preserve">. </w:t>
      </w:r>
      <w:r w:rsidR="00E047B0">
        <w:t>Il</w:t>
      </w:r>
      <w:r w:rsidR="0032699B">
        <w:t xml:space="preserve"> correspond </w:t>
      </w:r>
      <w:r w:rsidR="00E047B0">
        <w:t>fortement</w:t>
      </w:r>
      <w:r w:rsidR="0032699B">
        <w:t xml:space="preserve"> à la composante conservatrice et (relativement) populaire du bloc libéral-conservateur suisse identifié par Güney (2024)</w:t>
      </w:r>
      <w:r w:rsidR="00F508C3">
        <w:t>.</w:t>
      </w:r>
      <w:r w:rsidR="00E047B0">
        <w:t xml:space="preserve"> </w:t>
      </w:r>
    </w:p>
    <w:p w14:paraId="597CE7C3" w14:textId="77777777" w:rsidR="00C14A5C" w:rsidRDefault="00F508C3" w:rsidP="007A0218">
      <w:pPr>
        <w:jc w:val="both"/>
      </w:pPr>
      <w:r>
        <w:t xml:space="preserve">En ce qui concerne le deuxième cluster, ce dernier correspond à la partie néolibérale du bloc social dominant suisse. Soutenant fortement le PLR, l’UDC et dans une moindre mesure Le Centre, il est composé en majorité de travailleurs indépendants, d’auto-entrepreneurs ainsi </w:t>
      </w:r>
      <w:r>
        <w:lastRenderedPageBreak/>
        <w:t>que d’employés du secteur privé exerçant une fonction de supervision dans leur travail qui ont de très hauts niveaux de revenus et d’éducation ; parlent allemand (75%) et sont de genre masculin (60,5%). 19,4% des membres de ce cluster ont déclaré avoir un revenu mensuel brut dépassant les 15'000 francs par mois.</w:t>
      </w:r>
    </w:p>
    <w:p w14:paraId="4AA3D6BF" w14:textId="77777777" w:rsidR="007A0218" w:rsidRDefault="00C14A5C" w:rsidP="007A0218">
      <w:pPr>
        <w:jc w:val="both"/>
      </w:pPr>
      <w:r>
        <w:t>Le troisième cluster est constitué d’employés sans fonction de supervision (43%) du secteur privé, avec une partie non négligeable exerçant dans le secteur public (27%) ayant un haut niveau d’éducation mais pas forcément un haut niveau de revenu</w:t>
      </w:r>
      <w:r w:rsidR="00A31B0E">
        <w:t xml:space="preserve"> et situé avant tout en Suisse-alémanique</w:t>
      </w:r>
      <w:r>
        <w:t>. Les membres de ce cluster se déclarent être plutôt proche du PS (22%), de Le Centre (13%), et s’auto-identifient à gauche (43%)</w:t>
      </w:r>
      <w:r w:rsidR="00A31B0E">
        <w:t>. Ce troisième cluster peut donc être considéré comme la principale composante du bloc de gauche suisse.</w:t>
      </w:r>
    </w:p>
    <w:p w14:paraId="0228FC54" w14:textId="5F368BF3" w:rsidR="00CC132A" w:rsidRDefault="00CC132A" w:rsidP="007A0218">
      <w:pPr>
        <w:jc w:val="both"/>
      </w:pPr>
      <w:r>
        <w:t xml:space="preserve">Le quatrième cluster est composé d’individus plutôt jeune, à niveau d’éducation moyen et à plutôt faible revenu, avec une forte représentation en Suisse romande (canton de Genève et de Vaud), dont la majorité sont des employés sans fonction de supervision. Il est difficile de placer ce cluster politiquement, car une forte proportion de ses membres ne </w:t>
      </w:r>
      <w:r w:rsidR="009B37BF">
        <w:t>s’identifie</w:t>
      </w:r>
      <w:r>
        <w:t xml:space="preserve"> à aucun parti politique suisse, ni à la droite ou à la gauche, ce qui reflète la tendance à l’indécision soulignée plus haut.</w:t>
      </w:r>
    </w:p>
    <w:p w14:paraId="73F8D36F" w14:textId="701E154C" w:rsidR="009076B4" w:rsidRDefault="00584988" w:rsidP="007A0218">
      <w:pPr>
        <w:jc w:val="both"/>
      </w:pPr>
      <w:r>
        <w:t xml:space="preserve">Le cluster 5 correspond </w:t>
      </w:r>
      <w:r w:rsidR="00290C0F">
        <w:t>à la partie romande et tessinoise du bloc de gauche. Il est marqué par une forte représentation de francophones et d’italophones (45% et 15%) et est plutôt moins aisé financièrement que les clusters 1, 2 et 3.</w:t>
      </w:r>
      <w:r w:rsidR="00B97F78">
        <w:t xml:space="preserve"> Il y a aussi une très forte représentation de femmes (68%) et d’employés sans fonction de supervision (45%).</w:t>
      </w:r>
    </w:p>
    <w:p w14:paraId="64817950" w14:textId="7619E932" w:rsidR="00B97F78" w:rsidRDefault="00B97F78" w:rsidP="007A0218">
      <w:pPr>
        <w:jc w:val="both"/>
      </w:pPr>
      <w:r>
        <w:t>Enfin, les faibles taux de réponse parmi les membres des clusters 6 rendent la qualification socio-économique et politique de ses membres difficiles à effectuer.</w:t>
      </w:r>
    </w:p>
    <w:p w14:paraId="15FDED3B" w14:textId="24182867" w:rsidR="00CC132A" w:rsidRPr="00606E6C" w:rsidRDefault="004C751C" w:rsidP="007A0218">
      <w:pPr>
        <w:jc w:val="both"/>
        <w:rPr>
          <w:rStyle w:val="lev"/>
        </w:rPr>
      </w:pPr>
      <w:r w:rsidRPr="00606E6C">
        <w:rPr>
          <w:rStyle w:val="lev"/>
        </w:rPr>
        <w:t>Conclusion</w:t>
      </w:r>
    </w:p>
    <w:p w14:paraId="7A05E2ED" w14:textId="1552AE4A" w:rsidR="006B7D73" w:rsidRDefault="00CB4E6C" w:rsidP="007A0218">
      <w:pPr>
        <w:jc w:val="both"/>
      </w:pPr>
      <w:r>
        <w:t>Les résultats du modèle ACL en 7 (sous)groupes socio-politiques en lien avec les attentes vis-à-vis du système de santé suisse permet de tirer les conclusions suivantes. Premièrement, les attentes des groupes composant le bloc social dominant suisse sont très hétérogènes. D’un côté, le seul point d’accord entre la classe moyenne conservatrice et la bourgeoisie néolibérale est le refus de toute augmentation de la TVA ou de l’impôt fédéral direct afin de résoudre le problème de financement du système de santé. D’un autre côté, la classe moyenne conservatrice est fortement opposée aux solutions largement préférées par la bourgeoisie néolibérale, à savoir le renoncement personnel aux soins, la limitation d’accès à certaines prestations médicales ou encore la réduction du nombre de services pris en charge par la LAMal.</w:t>
      </w:r>
      <w:r w:rsidR="006B7D73">
        <w:t xml:space="preserve"> Deuxièmement, les groupes socio-politiques du bloc de gauche</w:t>
      </w:r>
      <w:r w:rsidR="007A0218">
        <w:t xml:space="preserve"> (clusters 3 et 5)</w:t>
      </w:r>
      <w:r w:rsidR="006B7D73">
        <w:t xml:space="preserve"> sont moins divisés sur ces mêmes attentes que le bloc social dominant.</w:t>
      </w:r>
      <w:r w:rsidR="00022320">
        <w:t xml:space="preserve"> Les seules divergences importantes entre ces deux groupes concernent l’indécision du cluster 5 vis-à-vis d’un financement provenant d’augmentation de la TVA ou de l’impôt, mais ces solutions ne sont pas celles qui sont mises en avant par la gauche suisse afin de réformer le système de santé </w:t>
      </w:r>
      <w:r w:rsidR="00022320">
        <w:lastRenderedPageBreak/>
        <w:t>suisse, il n’est donc que peu probable que ces questions soient sources de conflit au sein du bloc.</w:t>
      </w:r>
    </w:p>
    <w:p w14:paraId="3FC3E38E" w14:textId="552E0664" w:rsidR="00022320" w:rsidRPr="00CC132A" w:rsidRDefault="00022320" w:rsidP="007A0218">
      <w:pPr>
        <w:jc w:val="both"/>
      </w:pPr>
      <w:r>
        <w:t>Enfin, les réformes néolibérales mettant l’accent sur une accentuation de la responsabilité individuelle (renoncement personnel à des prestations)</w:t>
      </w:r>
      <w:r w:rsidR="00FF4509">
        <w:t xml:space="preserve">, la restriction d’accès aux soins ou encore la réduction du nombre de services pris en charge par la LAMal sont celles qui agrègent le moins de soutien à travers les clusters. Seule la bourgeoisie néolibérale suisse (cluster 2), qui représente 18,6% de l’échantillon, supporte ces mesures de manière significative. L’augmentation de la TVA et de l’impôt fédéral direct sont quant à elles aussi fortement </w:t>
      </w:r>
      <w:r w:rsidR="00D22F82">
        <w:t xml:space="preserve">refusées à travers tous les groupes, sauf le principal cluster de gauche (cluster 3). Mais contrairement aux réformes néolibérales qui sont régulièrement mises en avant par la presse économique suisse ou bien les associations patronales et </w:t>
      </w:r>
      <w:proofErr w:type="spellStart"/>
      <w:r w:rsidR="00D22F82">
        <w:t>think</w:t>
      </w:r>
      <w:proofErr w:type="spellEnd"/>
      <w:r w:rsidR="00D22F82">
        <w:t xml:space="preserve"> </w:t>
      </w:r>
      <w:proofErr w:type="spellStart"/>
      <w:r w:rsidR="00D22F82">
        <w:t>thank</w:t>
      </w:r>
      <w:proofErr w:type="spellEnd"/>
      <w:r w:rsidR="00D22F82">
        <w:t xml:space="preserve"> néolibéraux du pays, les augmentations d’impôt ne sont pas le principal fer de lance de la gauche afin de résoudre la crise du système de santé. </w:t>
      </w:r>
      <w:r w:rsidR="00037AB4">
        <w:t xml:space="preserve">Finalement, la création d’une caisse unique est la réforme engendrant le moins de divergence à travers les clusters, ce qui reflète l’acceptation croissante de la population suisse envers cette mesure. Cela peut paraître à première vue étonnant étant donné le fait que la population suisse avait fortement rejeté cette réforme il y a environ 20 ans (taux de refus de 71% aux votations populaires de 2007), mais implique que les attentes ont fortement changé compte tenu de la crise croissante </w:t>
      </w:r>
      <w:r w:rsidR="00890DD5">
        <w:t>du système de santé suisse.</w:t>
      </w:r>
    </w:p>
    <w:sectPr w:rsidR="00022320" w:rsidRPr="00CC132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F5F63" w14:textId="77777777" w:rsidR="00B82271" w:rsidRDefault="00B82271" w:rsidP="00C74831">
      <w:pPr>
        <w:spacing w:after="0" w:line="240" w:lineRule="auto"/>
      </w:pPr>
      <w:r>
        <w:separator/>
      </w:r>
    </w:p>
  </w:endnote>
  <w:endnote w:type="continuationSeparator" w:id="0">
    <w:p w14:paraId="72B05A2D" w14:textId="77777777" w:rsidR="00B82271" w:rsidRDefault="00B82271" w:rsidP="00C748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D29B5" w14:textId="77777777" w:rsidR="00B82271" w:rsidRDefault="00B82271" w:rsidP="00C74831">
      <w:pPr>
        <w:spacing w:after="0" w:line="240" w:lineRule="auto"/>
      </w:pPr>
      <w:r>
        <w:separator/>
      </w:r>
    </w:p>
  </w:footnote>
  <w:footnote w:type="continuationSeparator" w:id="0">
    <w:p w14:paraId="23CC1A84" w14:textId="77777777" w:rsidR="00B82271" w:rsidRDefault="00B82271" w:rsidP="00C7483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353"/>
    <w:rsid w:val="000115F0"/>
    <w:rsid w:val="00017353"/>
    <w:rsid w:val="00022320"/>
    <w:rsid w:val="00037AB4"/>
    <w:rsid w:val="000A7BCC"/>
    <w:rsid w:val="00155D46"/>
    <w:rsid w:val="00257506"/>
    <w:rsid w:val="00290C0F"/>
    <w:rsid w:val="002B2992"/>
    <w:rsid w:val="002D31FF"/>
    <w:rsid w:val="002D6176"/>
    <w:rsid w:val="002F3D87"/>
    <w:rsid w:val="0032699B"/>
    <w:rsid w:val="00402D4C"/>
    <w:rsid w:val="00416492"/>
    <w:rsid w:val="004C751C"/>
    <w:rsid w:val="00584988"/>
    <w:rsid w:val="00606E6C"/>
    <w:rsid w:val="006B7D73"/>
    <w:rsid w:val="007A0218"/>
    <w:rsid w:val="00866E56"/>
    <w:rsid w:val="00890DD5"/>
    <w:rsid w:val="009076B4"/>
    <w:rsid w:val="009B37BF"/>
    <w:rsid w:val="009B5689"/>
    <w:rsid w:val="009D5DD1"/>
    <w:rsid w:val="00A044F5"/>
    <w:rsid w:val="00A31B0E"/>
    <w:rsid w:val="00A878D7"/>
    <w:rsid w:val="00B1475B"/>
    <w:rsid w:val="00B82271"/>
    <w:rsid w:val="00B97F78"/>
    <w:rsid w:val="00C14A5C"/>
    <w:rsid w:val="00C36543"/>
    <w:rsid w:val="00C50A3F"/>
    <w:rsid w:val="00C74831"/>
    <w:rsid w:val="00C77B6B"/>
    <w:rsid w:val="00CB3BDF"/>
    <w:rsid w:val="00CB4E6C"/>
    <w:rsid w:val="00CC132A"/>
    <w:rsid w:val="00CD404A"/>
    <w:rsid w:val="00CE6DA7"/>
    <w:rsid w:val="00D22F82"/>
    <w:rsid w:val="00D3789B"/>
    <w:rsid w:val="00D47DB1"/>
    <w:rsid w:val="00D55CB6"/>
    <w:rsid w:val="00E047B0"/>
    <w:rsid w:val="00E85D18"/>
    <w:rsid w:val="00F055C8"/>
    <w:rsid w:val="00F508C3"/>
    <w:rsid w:val="00FB56FE"/>
    <w:rsid w:val="00FF450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B5F34"/>
  <w15:chartTrackingRefBased/>
  <w15:docId w15:val="{C5BD8B3E-A7EA-465F-8E2D-BCFD20C48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73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0173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735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735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735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735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735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735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735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735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01735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735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735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735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735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735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735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7353"/>
    <w:rPr>
      <w:rFonts w:eastAsiaTheme="majorEastAsia" w:cstheme="majorBidi"/>
      <w:color w:val="272727" w:themeColor="text1" w:themeTint="D8"/>
    </w:rPr>
  </w:style>
  <w:style w:type="paragraph" w:styleId="Titre">
    <w:name w:val="Title"/>
    <w:basedOn w:val="Normal"/>
    <w:next w:val="Normal"/>
    <w:link w:val="TitreCar"/>
    <w:uiPriority w:val="10"/>
    <w:qFormat/>
    <w:rsid w:val="00017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735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735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735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7353"/>
    <w:pPr>
      <w:spacing w:before="160"/>
      <w:jc w:val="center"/>
    </w:pPr>
    <w:rPr>
      <w:i/>
      <w:iCs/>
      <w:color w:val="404040" w:themeColor="text1" w:themeTint="BF"/>
    </w:rPr>
  </w:style>
  <w:style w:type="character" w:customStyle="1" w:styleId="CitationCar">
    <w:name w:val="Citation Car"/>
    <w:basedOn w:val="Policepardfaut"/>
    <w:link w:val="Citation"/>
    <w:uiPriority w:val="29"/>
    <w:rsid w:val="00017353"/>
    <w:rPr>
      <w:i/>
      <w:iCs/>
      <w:color w:val="404040" w:themeColor="text1" w:themeTint="BF"/>
    </w:rPr>
  </w:style>
  <w:style w:type="paragraph" w:styleId="Paragraphedeliste">
    <w:name w:val="List Paragraph"/>
    <w:basedOn w:val="Normal"/>
    <w:uiPriority w:val="34"/>
    <w:qFormat/>
    <w:rsid w:val="00017353"/>
    <w:pPr>
      <w:ind w:left="720"/>
      <w:contextualSpacing/>
    </w:pPr>
  </w:style>
  <w:style w:type="character" w:styleId="Accentuationintense">
    <w:name w:val="Intense Emphasis"/>
    <w:basedOn w:val="Policepardfaut"/>
    <w:uiPriority w:val="21"/>
    <w:qFormat/>
    <w:rsid w:val="00017353"/>
    <w:rPr>
      <w:i/>
      <w:iCs/>
      <w:color w:val="2F5496" w:themeColor="accent1" w:themeShade="BF"/>
    </w:rPr>
  </w:style>
  <w:style w:type="paragraph" w:styleId="Citationintense">
    <w:name w:val="Intense Quote"/>
    <w:basedOn w:val="Normal"/>
    <w:next w:val="Normal"/>
    <w:link w:val="CitationintenseCar"/>
    <w:uiPriority w:val="30"/>
    <w:qFormat/>
    <w:rsid w:val="000173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7353"/>
    <w:rPr>
      <w:i/>
      <w:iCs/>
      <w:color w:val="2F5496" w:themeColor="accent1" w:themeShade="BF"/>
    </w:rPr>
  </w:style>
  <w:style w:type="character" w:styleId="Rfrenceintense">
    <w:name w:val="Intense Reference"/>
    <w:basedOn w:val="Policepardfaut"/>
    <w:uiPriority w:val="32"/>
    <w:qFormat/>
    <w:rsid w:val="00017353"/>
    <w:rPr>
      <w:b/>
      <w:bCs/>
      <w:smallCaps/>
      <w:color w:val="2F5496" w:themeColor="accent1" w:themeShade="BF"/>
      <w:spacing w:val="5"/>
    </w:rPr>
  </w:style>
  <w:style w:type="paragraph" w:styleId="Notedefin">
    <w:name w:val="endnote text"/>
    <w:basedOn w:val="Normal"/>
    <w:link w:val="NotedefinCar"/>
    <w:uiPriority w:val="99"/>
    <w:semiHidden/>
    <w:unhideWhenUsed/>
    <w:rsid w:val="00C74831"/>
    <w:pPr>
      <w:spacing w:after="0" w:line="240" w:lineRule="auto"/>
    </w:pPr>
    <w:rPr>
      <w:sz w:val="20"/>
      <w:szCs w:val="20"/>
    </w:rPr>
  </w:style>
  <w:style w:type="character" w:customStyle="1" w:styleId="NotedefinCar">
    <w:name w:val="Note de fin Car"/>
    <w:basedOn w:val="Policepardfaut"/>
    <w:link w:val="Notedefin"/>
    <w:uiPriority w:val="99"/>
    <w:semiHidden/>
    <w:rsid w:val="00C74831"/>
    <w:rPr>
      <w:sz w:val="20"/>
      <w:szCs w:val="20"/>
    </w:rPr>
  </w:style>
  <w:style w:type="character" w:styleId="Appeldenotedefin">
    <w:name w:val="endnote reference"/>
    <w:basedOn w:val="Policepardfaut"/>
    <w:uiPriority w:val="99"/>
    <w:semiHidden/>
    <w:unhideWhenUsed/>
    <w:rsid w:val="00C74831"/>
    <w:rPr>
      <w:vertAlign w:val="superscript"/>
    </w:rPr>
  </w:style>
  <w:style w:type="character" w:styleId="lev">
    <w:name w:val="Strong"/>
    <w:basedOn w:val="Policepardfaut"/>
    <w:uiPriority w:val="22"/>
    <w:qFormat/>
    <w:rsid w:val="00C14A5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3036</TotalTime>
  <Pages>4</Pages>
  <Words>1448</Words>
  <Characters>7969</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Celâl Guney</dc:creator>
  <cp:keywords/>
  <dc:description/>
  <cp:lastModifiedBy>Celal Güney</cp:lastModifiedBy>
  <cp:revision>33</cp:revision>
  <dcterms:created xsi:type="dcterms:W3CDTF">2026-07-26T15:31:00Z</dcterms:created>
  <dcterms:modified xsi:type="dcterms:W3CDTF">2026-07-29T16:17:00Z</dcterms:modified>
</cp:coreProperties>
</file>